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025" w:rsidP="00254025" w:rsidRDefault="00254025" w14:paraId="0BFB6996" w14:textId="30D8616C">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AH 667</w:t>
      </w:r>
    </w:p>
    <w:p w:rsidR="00254025" w:rsidP="00254025" w:rsidRDefault="00254025" w14:paraId="0F38A058" w14:textId="77777777">
      <w:pPr>
        <w:autoSpaceDE w:val="0"/>
        <w:autoSpaceDN w:val="0"/>
        <w:adjustRightInd w:val="0"/>
        <w:spacing w:after="0" w:line="240" w:lineRule="atLeast"/>
        <w:rPr>
          <w:rFonts w:eastAsia="DejaVuSerifCondensed" w:cs="DejaVuSerifCondensed"/>
          <w:szCs w:val="18"/>
        </w:rPr>
      </w:pPr>
    </w:p>
    <w:p w:rsidR="00254025" w:rsidP="00254025" w:rsidRDefault="00254025" w14:paraId="384E684C" w14:textId="4A608380">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2024Z12917</w:t>
      </w:r>
    </w:p>
    <w:p w:rsidR="00254025" w:rsidP="00254025" w:rsidRDefault="00254025" w14:paraId="6C292575" w14:textId="77777777">
      <w:pPr>
        <w:autoSpaceDE w:val="0"/>
        <w:autoSpaceDN w:val="0"/>
        <w:adjustRightInd w:val="0"/>
        <w:spacing w:after="0" w:line="240" w:lineRule="atLeast"/>
        <w:rPr>
          <w:rFonts w:eastAsia="DejaVuSerifCondensed" w:cs="DejaVuSerifCondensed"/>
          <w:szCs w:val="18"/>
        </w:rPr>
      </w:pPr>
    </w:p>
    <w:p w:rsidRPr="00254025" w:rsidR="00254025" w:rsidP="00254025" w:rsidRDefault="00254025" w14:paraId="6019CE23" w14:textId="3456FA87">
      <w:pPr>
        <w:rPr>
          <w:rFonts w:ascii="Arial" w:hAnsi="Arial" w:cs="Arial"/>
          <w:color w:val="000000"/>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Van Oostenbruggen</w:t>
      </w:r>
      <w:r w:rsidRPr="00B37A93">
        <w:rPr>
          <w:rFonts w:ascii="Times New Roman" w:hAnsi="Times New Roman"/>
          <w:sz w:val="24"/>
          <w:szCs w:val="24"/>
        </w:rPr>
        <w:t xml:space="preserve"> (Financiën)</w:t>
      </w:r>
      <w:r>
        <w:rPr>
          <w:rFonts w:ascii="Times New Roman" w:hAnsi="Times New Roman"/>
          <w:sz w:val="24"/>
          <w:szCs w:val="24"/>
        </w:rPr>
        <w:t xml:space="preserve">, mede namens de </w:t>
      </w:r>
      <w:r w:rsidRPr="007D78AD">
        <w:rPr>
          <w:rFonts w:ascii="Times New Roman" w:hAnsi="Times New Roman"/>
          <w:sz w:val="24"/>
        </w:rPr>
        <w:t>staatssecretaris van Justitie en Veiligheid</w:t>
      </w:r>
      <w:r w:rsidRPr="00B37A93">
        <w:rPr>
          <w:rFonts w:ascii="Times New Roman" w:hAnsi="Times New Roman"/>
          <w:sz w:val="24"/>
          <w:szCs w:val="24"/>
        </w:rPr>
        <w:t xml:space="preserve"> (ontvangen</w:t>
      </w:r>
      <w:r>
        <w:rPr>
          <w:rFonts w:ascii="Times New Roman" w:hAnsi="Times New Roman"/>
          <w:sz w:val="24"/>
          <w:szCs w:val="24"/>
        </w:rPr>
        <w:t xml:space="preserve"> 27 november 2024)</w:t>
      </w:r>
    </w:p>
    <w:p w:rsidR="00254025" w:rsidP="00840EE9" w:rsidRDefault="00254025" w14:paraId="6D1D2CA3" w14:textId="77777777">
      <w:pPr>
        <w:pStyle w:val="Geenafstand"/>
        <w:rPr>
          <w:rFonts w:ascii="Times New Roman" w:hAnsi="Times New Roman"/>
          <w:sz w:val="24"/>
          <w:szCs w:val="24"/>
        </w:rPr>
      </w:pPr>
    </w:p>
    <w:p w:rsidRPr="00254025" w:rsidR="00254025" w:rsidP="00254025" w:rsidRDefault="00254025" w14:paraId="26716C4B" w14:textId="54D916EB">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59</w:t>
      </w:r>
    </w:p>
    <w:p w:rsidRPr="00586F2E" w:rsidR="00254025" w:rsidP="00254025" w:rsidRDefault="00254025" w14:paraId="779FC451" w14:textId="260D1CE2">
      <w:pPr>
        <w:autoSpaceDE w:val="0"/>
        <w:autoSpaceDN w:val="0"/>
        <w:adjustRightInd w:val="0"/>
        <w:spacing w:after="0" w:line="240" w:lineRule="atLeast"/>
        <w:rPr>
          <w:rFonts w:eastAsia="DejaVuSerifCondensed" w:cs="DejaVuSerifCondensed"/>
          <w:szCs w:val="18"/>
        </w:rPr>
      </w:pPr>
    </w:p>
    <w:p w:rsidRPr="00586F2E" w:rsidR="00254025" w:rsidP="00254025" w:rsidRDefault="00254025" w14:paraId="470E506C" w14:textId="77777777">
      <w:pPr>
        <w:autoSpaceDE w:val="0"/>
        <w:autoSpaceDN w:val="0"/>
        <w:adjustRightInd w:val="0"/>
        <w:spacing w:after="0" w:line="240" w:lineRule="atLeast"/>
        <w:rPr>
          <w:rFonts w:eastAsia="DejaVuSerifCondensed" w:cs="DejaVuSerifCondensed"/>
          <w:b/>
          <w:bCs/>
          <w:szCs w:val="18"/>
        </w:rPr>
      </w:pPr>
      <w:r w:rsidRPr="00586F2E">
        <w:rPr>
          <w:rFonts w:eastAsia="DejaVuSerifCondensed" w:cs="DejaVuSerifCondensed"/>
          <w:b/>
          <w:bCs/>
          <w:szCs w:val="18"/>
        </w:rPr>
        <w:t>Vraag 1</w:t>
      </w:r>
    </w:p>
    <w:p w:rsidRPr="00586F2E" w:rsidR="00254025" w:rsidP="00254025" w:rsidRDefault="00254025" w14:paraId="0B300A2B"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Deelt u de mening dat het dweilen met de kraan open is, als de staat aan de ene kant een</w:t>
      </w:r>
    </w:p>
    <w:p w:rsidRPr="00586F2E" w:rsidR="00254025" w:rsidP="00254025" w:rsidRDefault="00254025" w14:paraId="4D02B94F"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verantwoord kansspelaanbod wil faciliteren in Holland Casino, maar aan de andere kant 30</w:t>
      </w:r>
    </w:p>
    <w:p w:rsidRPr="00586F2E" w:rsidR="00254025" w:rsidP="00254025" w:rsidRDefault="00254025" w14:paraId="7C8BF38C"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vergunningen verleent aan veel makkelijker toegankelijke online kansspelaanbieders?</w:t>
      </w:r>
      <w:r>
        <w:rPr>
          <w:rStyle w:val="Voetnootmarkering"/>
          <w:rFonts w:eastAsia="DejaVuSerifCondensed" w:cs="DejaVuSerifCondensed"/>
          <w:szCs w:val="18"/>
        </w:rPr>
        <w:footnoteReference w:id="1"/>
      </w:r>
    </w:p>
    <w:p w:rsidRPr="00586F2E" w:rsidR="00254025" w:rsidP="00254025" w:rsidRDefault="00254025" w14:paraId="200B389F" w14:textId="77777777">
      <w:pPr>
        <w:autoSpaceDE w:val="0"/>
        <w:autoSpaceDN w:val="0"/>
        <w:adjustRightInd w:val="0"/>
        <w:spacing w:after="0" w:line="240" w:lineRule="atLeast"/>
        <w:rPr>
          <w:rFonts w:eastAsia="DejaVuSerifCondensed" w:cs="DejaVuSerifCondensed"/>
          <w:szCs w:val="18"/>
        </w:rPr>
      </w:pPr>
    </w:p>
    <w:p w:rsidRPr="00586F2E" w:rsidR="00254025" w:rsidP="00254025" w:rsidRDefault="00254025" w14:paraId="698801DA" w14:textId="77777777">
      <w:pPr>
        <w:autoSpaceDE w:val="0"/>
        <w:autoSpaceDN w:val="0"/>
        <w:adjustRightInd w:val="0"/>
        <w:spacing w:after="0" w:line="240" w:lineRule="atLeast"/>
        <w:rPr>
          <w:rFonts w:eastAsia="DejaVuSerifCondensed" w:cs="DejaVuSerifCondensed"/>
          <w:b/>
          <w:bCs/>
          <w:szCs w:val="18"/>
        </w:rPr>
      </w:pPr>
      <w:r w:rsidRPr="00586F2E">
        <w:rPr>
          <w:rFonts w:eastAsia="DejaVuSerifCondensed" w:cs="DejaVuSerifCondensed"/>
          <w:b/>
          <w:bCs/>
          <w:szCs w:val="18"/>
        </w:rPr>
        <w:t>Antwoord vraag 1</w:t>
      </w:r>
    </w:p>
    <w:p w:rsidRPr="00586F2E" w:rsidR="00254025" w:rsidP="00254025" w:rsidRDefault="00254025" w14:paraId="21BBFD16"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De markten</w:t>
      </w:r>
      <w:r>
        <w:rPr>
          <w:rFonts w:eastAsia="DejaVuSerifCondensed" w:cs="DejaVuSerifCondensed"/>
          <w:szCs w:val="18"/>
        </w:rPr>
        <w:t xml:space="preserve"> voor</w:t>
      </w:r>
      <w:r w:rsidRPr="00586F2E">
        <w:rPr>
          <w:rFonts w:eastAsia="DejaVuSerifCondensed" w:cs="DejaVuSerifCondensed"/>
          <w:szCs w:val="18"/>
        </w:rPr>
        <w:t xml:space="preserve"> landgebonden casinospelen en online casinospelen kennen andere wettelijke regimes en een andere dynamiek en zijn niet direct met elkaar te vergelijken</w:t>
      </w:r>
      <w:r>
        <w:rPr>
          <w:rFonts w:eastAsia="DejaVuSerifCondensed" w:cs="DejaVuSerifCondensed"/>
          <w:szCs w:val="18"/>
        </w:rPr>
        <w:t xml:space="preserve">. </w:t>
      </w:r>
      <w:r w:rsidRPr="00586F2E">
        <w:rPr>
          <w:rFonts w:eastAsia="DejaVuSerifCondensed" w:cs="DejaVuSerifCondensed"/>
          <w:szCs w:val="18"/>
        </w:rPr>
        <w:t xml:space="preserve">Holland Casino biedt op verschillende locaties verspreid door het land kansspelen aan en voorziet daardoor in een behoefte aan specifieke fysieke kansspelen, zoals roulette of poker. Daarmee draagt dit aanbod van Holland Casino bij aan de doelstellingen van het kansspelbeleid: het beschermen van consumenten, het tegengaan van kansspelverslaving en het tegengaan van aan kansspel gerelateerde criminaliteit en fraude binnen gereguleerd aanbod. </w:t>
      </w:r>
    </w:p>
    <w:p w:rsidRPr="00586F2E" w:rsidR="00254025" w:rsidP="00254025" w:rsidRDefault="00254025" w14:paraId="43E8F641" w14:textId="77777777">
      <w:pPr>
        <w:autoSpaceDE w:val="0"/>
        <w:autoSpaceDN w:val="0"/>
        <w:adjustRightInd w:val="0"/>
        <w:spacing w:after="0" w:line="240" w:lineRule="atLeast"/>
        <w:rPr>
          <w:rFonts w:eastAsia="DejaVuSerifCondensed" w:cs="DejaVuSerifCondensed"/>
          <w:szCs w:val="18"/>
        </w:rPr>
      </w:pPr>
    </w:p>
    <w:p w:rsidR="00254025" w:rsidP="00254025" w:rsidRDefault="00254025" w14:paraId="5B3BFD78"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Bij de totstandkoming van de Wet kansspelen op afstand</w:t>
      </w:r>
      <w:r>
        <w:rPr>
          <w:rFonts w:eastAsia="DejaVuSerifCondensed" w:cs="DejaVuSerifCondensed"/>
          <w:szCs w:val="18"/>
        </w:rPr>
        <w:t xml:space="preserve"> (koa)</w:t>
      </w:r>
      <w:r w:rsidRPr="00586F2E">
        <w:rPr>
          <w:rFonts w:eastAsia="DejaVuSerifCondensed" w:cs="DejaVuSerifCondensed"/>
          <w:szCs w:val="18"/>
        </w:rPr>
        <w:t xml:space="preserve"> is </w:t>
      </w:r>
      <w:r>
        <w:rPr>
          <w:rFonts w:eastAsia="DejaVuSerifCondensed" w:cs="DejaVuSerifCondensed"/>
          <w:szCs w:val="18"/>
        </w:rPr>
        <w:t>besloten</w:t>
      </w:r>
      <w:r w:rsidRPr="00586F2E">
        <w:rPr>
          <w:rFonts w:eastAsia="DejaVuSerifCondensed" w:cs="DejaVuSerifCondensed"/>
          <w:szCs w:val="18"/>
        </w:rPr>
        <w:t xml:space="preserve"> dat een open markt met meerdere aanbieders nodig is om te zorgen voor voldoende attractief gereguleerd aanbod</w:t>
      </w:r>
      <w:r>
        <w:rPr>
          <w:rFonts w:eastAsia="DejaVuSerifCondensed" w:cs="DejaVuSerifCondensed"/>
          <w:szCs w:val="18"/>
        </w:rPr>
        <w:t xml:space="preserve">. Dit biedt mensen die online willen gokken een </w:t>
      </w:r>
      <w:r w:rsidRPr="00586F2E">
        <w:rPr>
          <w:rFonts w:eastAsia="DejaVuSerifCondensed" w:cs="DejaVuSerifCondensed"/>
          <w:szCs w:val="18"/>
        </w:rPr>
        <w:t>alternatief voor illegale aanbieders</w:t>
      </w:r>
      <w:r>
        <w:rPr>
          <w:rFonts w:eastAsia="DejaVuSerifCondensed" w:cs="DejaVuSerifCondensed"/>
          <w:szCs w:val="18"/>
        </w:rPr>
        <w:t>,</w:t>
      </w:r>
      <w:r w:rsidRPr="00586F2E">
        <w:rPr>
          <w:rFonts w:eastAsia="DejaVuSerifCondensed" w:cs="DejaVuSerifCondensed"/>
          <w:szCs w:val="18"/>
        </w:rPr>
        <w:t xml:space="preserve"> waar doorgaans geen sprake is van bescherming van spelers.</w:t>
      </w:r>
      <w:r>
        <w:rPr>
          <w:rFonts w:eastAsia="DejaVuSerifCondensed" w:cs="DejaVuSerifCondensed"/>
          <w:szCs w:val="18"/>
        </w:rPr>
        <w:t xml:space="preserve"> Op 5 november jl. is de evaluatie van de Wet koa naar de Kamer verstuurd.</w:t>
      </w:r>
      <w:r>
        <w:rPr>
          <w:rStyle w:val="Voetnootmarkering"/>
          <w:rFonts w:eastAsia="DejaVuSerifCondensed" w:cs="DejaVuSerifCondensed"/>
          <w:szCs w:val="18"/>
        </w:rPr>
        <w:footnoteReference w:id="2"/>
      </w:r>
      <w:r>
        <w:rPr>
          <w:rFonts w:eastAsia="DejaVuSerifCondensed" w:cs="DejaVuSerifCondensed"/>
          <w:szCs w:val="18"/>
        </w:rPr>
        <w:t xml:space="preserve"> </w:t>
      </w:r>
      <w:r w:rsidRPr="00E969BA">
        <w:rPr>
          <w:rFonts w:eastAsia="DejaVuSerifCondensed" w:cs="DejaVuSerifCondensed"/>
          <w:szCs w:val="18"/>
        </w:rPr>
        <w:t>De staatssecretaris Rechtsbescherming is voornemens om voor het commissiedebat kansspelen op 27 maart 2025 een inhoudelijke beleidsreactie op de evaluatie van de Wet koa naar de Kamer te sturen.</w:t>
      </w:r>
      <w:r>
        <w:rPr>
          <w:rFonts w:eastAsia="DejaVuSerifCondensed" w:cs="DejaVuSerifCondensed"/>
          <w:szCs w:val="18"/>
        </w:rPr>
        <w:t xml:space="preserve"> </w:t>
      </w:r>
    </w:p>
    <w:p w:rsidRPr="00E969BA" w:rsidR="00254025" w:rsidP="00254025" w:rsidRDefault="00254025" w14:paraId="2777C6FA" w14:textId="77777777">
      <w:pPr>
        <w:autoSpaceDE w:val="0"/>
        <w:autoSpaceDN w:val="0"/>
        <w:adjustRightInd w:val="0"/>
        <w:spacing w:after="0" w:line="240" w:lineRule="atLeast"/>
        <w:rPr>
          <w:rFonts w:eastAsia="DejaVuSerifCondensed" w:cs="DejaVuSerifCondensed"/>
          <w:szCs w:val="18"/>
        </w:rPr>
      </w:pPr>
    </w:p>
    <w:p w:rsidRPr="00586F2E" w:rsidR="00254025" w:rsidP="00254025" w:rsidRDefault="00254025" w14:paraId="39192B41"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b/>
          <w:bCs/>
          <w:szCs w:val="18"/>
        </w:rPr>
        <w:t>Vraag 2</w:t>
      </w:r>
    </w:p>
    <w:p w:rsidRPr="00586F2E" w:rsidR="00254025" w:rsidP="00254025" w:rsidRDefault="00254025" w14:paraId="159D2C91"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Deelt u de mening dat dit beleid (nu al aantoonbaar) meer verslaving in de hand werkt, en dat de beste oplossing is het terugdraaien van de legalisering van online kansspelen?</w:t>
      </w:r>
    </w:p>
    <w:p w:rsidRPr="00586F2E" w:rsidR="00254025" w:rsidP="00254025" w:rsidRDefault="00254025" w14:paraId="49C362E2" w14:textId="77777777">
      <w:pPr>
        <w:autoSpaceDE w:val="0"/>
        <w:autoSpaceDN w:val="0"/>
        <w:adjustRightInd w:val="0"/>
        <w:spacing w:after="0" w:line="240" w:lineRule="atLeast"/>
        <w:rPr>
          <w:rFonts w:eastAsia="DejaVuSerifCondensed" w:cs="DejaVuSerifCondensed"/>
          <w:szCs w:val="18"/>
        </w:rPr>
      </w:pPr>
    </w:p>
    <w:p w:rsidRPr="00586F2E" w:rsidR="00254025" w:rsidP="00254025" w:rsidRDefault="00254025" w14:paraId="67B55862" w14:textId="77777777">
      <w:pPr>
        <w:autoSpaceDE w:val="0"/>
        <w:autoSpaceDN w:val="0"/>
        <w:adjustRightInd w:val="0"/>
        <w:spacing w:after="0" w:line="240" w:lineRule="atLeast"/>
        <w:rPr>
          <w:rFonts w:eastAsia="DejaVuSerifCondensed" w:cs="DejaVuSerifCondensed"/>
          <w:b/>
          <w:bCs/>
          <w:szCs w:val="18"/>
        </w:rPr>
      </w:pPr>
      <w:r w:rsidRPr="00586F2E">
        <w:rPr>
          <w:rFonts w:eastAsia="DejaVuSerifCondensed" w:cs="DejaVuSerifCondensed"/>
          <w:b/>
          <w:bCs/>
          <w:szCs w:val="18"/>
        </w:rPr>
        <w:t>Antwoord vraag 2</w:t>
      </w:r>
    </w:p>
    <w:p w:rsidR="00254025" w:rsidP="00254025" w:rsidRDefault="00254025" w14:paraId="330C911A"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De evaluatie van de Wet Koa concludeert dat het te vroeg is om uitspraken te doen over het effect van de legalisering op het aantal personen met een kansspelverslaving. De reden daarvoor is dat het volgens experts vaak vijf tot acht jaar duurt voordat iemand met een gokverslaving zich meldt bij de verslavingszorg. Wel laten de</w:t>
      </w:r>
      <w:r w:rsidRPr="00586F2E">
        <w:rPr>
          <w:rFonts w:eastAsia="DejaVuSerifCondensed" w:cs="DejaVuSerifCondensed"/>
          <w:szCs w:val="18"/>
        </w:rPr>
        <w:t xml:space="preserve"> recentelijk gepubliceerde cijfers in de rapportage van het Landelijk Alcohol en Drugs Informatie Systeem (LADIS) een stijging zien van het aantal mensen in behandeling voor gokverslaving</w:t>
      </w:r>
      <w:r>
        <w:rPr>
          <w:rFonts w:eastAsia="DejaVuSerifCondensed" w:cs="DejaVuSerifCondensed"/>
          <w:szCs w:val="18"/>
        </w:rPr>
        <w:t>.</w:t>
      </w:r>
      <w:r>
        <w:rPr>
          <w:rStyle w:val="Voetnootmarkering"/>
          <w:rFonts w:eastAsia="DejaVuSerifCondensed" w:cs="DejaVuSerifCondensed"/>
          <w:szCs w:val="18"/>
        </w:rPr>
        <w:footnoteReference w:id="3"/>
      </w:r>
      <w:r>
        <w:rPr>
          <w:rFonts w:eastAsia="DejaVuSerifCondensed" w:cs="DejaVuSerifCondensed"/>
          <w:szCs w:val="18"/>
        </w:rPr>
        <w:t xml:space="preserve"> </w:t>
      </w:r>
      <w:r w:rsidRPr="00586F2E">
        <w:rPr>
          <w:rFonts w:eastAsia="DejaVuSerifCondensed" w:cs="DejaVuSerifCondensed"/>
          <w:szCs w:val="18"/>
        </w:rPr>
        <w:t>D</w:t>
      </w:r>
      <w:r>
        <w:rPr>
          <w:rFonts w:eastAsia="DejaVuSerifCondensed" w:cs="DejaVuSerifCondensed"/>
          <w:szCs w:val="18"/>
        </w:rPr>
        <w:t>i</w:t>
      </w:r>
      <w:r w:rsidRPr="00586F2E">
        <w:rPr>
          <w:rFonts w:eastAsia="DejaVuSerifCondensed" w:cs="DejaVuSerifCondensed"/>
          <w:szCs w:val="18"/>
        </w:rPr>
        <w:t>e cijfers zijn zorgwekkend</w:t>
      </w:r>
      <w:r>
        <w:rPr>
          <w:rFonts w:eastAsia="DejaVuSerifCondensed" w:cs="DejaVuSerifCondensed"/>
          <w:szCs w:val="18"/>
        </w:rPr>
        <w:t xml:space="preserve">. Daarnaast bevestigen de uitkomsten van de evaluatie de eerdere signalen dat de bescherming van spelers onvoldoende is en dat er verbeteringen nodig zijn. In de beleidsreactie op de evaluatie van de Wet koa zal de staatssecretaris </w:t>
      </w:r>
      <w:r>
        <w:rPr>
          <w:rFonts w:eastAsia="DejaVuSerifCondensed" w:cs="DejaVuSerifCondensed"/>
          <w:szCs w:val="18"/>
        </w:rPr>
        <w:lastRenderedPageBreak/>
        <w:t>Rechtsbescherming ingaan op welke aanpassingen en aanscherpingen in het beleid gewenst zijn om mensen beter tegen de negatieve effecten van kansspelen te beschermen.</w:t>
      </w:r>
    </w:p>
    <w:p w:rsidR="00254025" w:rsidP="00254025" w:rsidRDefault="00254025" w14:paraId="042762B3" w14:textId="77777777">
      <w:pPr>
        <w:autoSpaceDE w:val="0"/>
        <w:autoSpaceDN w:val="0"/>
        <w:adjustRightInd w:val="0"/>
        <w:spacing w:after="0" w:line="240" w:lineRule="atLeast"/>
        <w:rPr>
          <w:rFonts w:eastAsia="DejaVuSerifCondensed" w:cs="DejaVuSerifCondensed"/>
          <w:szCs w:val="18"/>
        </w:rPr>
      </w:pPr>
    </w:p>
    <w:p w:rsidRPr="00586F2E" w:rsidR="00254025" w:rsidP="00254025" w:rsidRDefault="00254025" w14:paraId="76020EBE"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b/>
          <w:bCs/>
          <w:szCs w:val="18"/>
        </w:rPr>
        <w:t xml:space="preserve">Vraag </w:t>
      </w:r>
      <w:r>
        <w:rPr>
          <w:rFonts w:eastAsia="DejaVuSerifCondensed" w:cs="DejaVuSerifCondensed"/>
          <w:b/>
          <w:bCs/>
          <w:szCs w:val="18"/>
        </w:rPr>
        <w:t>3</w:t>
      </w:r>
    </w:p>
    <w:p w:rsidRPr="00EC2610" w:rsidR="00254025" w:rsidP="00254025" w:rsidRDefault="00254025" w14:paraId="47FC852F" w14:textId="77777777">
      <w:pPr>
        <w:autoSpaceDE w:val="0"/>
        <w:autoSpaceDN w:val="0"/>
        <w:adjustRightInd w:val="0"/>
        <w:spacing w:after="0" w:line="240" w:lineRule="atLeast"/>
        <w:rPr>
          <w:rFonts w:eastAsia="DejaVuSerifCondensed" w:cs="DejaVuSerifCondensed"/>
          <w:szCs w:val="18"/>
        </w:rPr>
      </w:pPr>
      <w:r w:rsidRPr="00EC2610">
        <w:rPr>
          <w:rFonts w:eastAsia="DejaVuSerifCondensed" w:cs="DejaVuSerifCondensed"/>
          <w:szCs w:val="18"/>
        </w:rPr>
        <w:t>Deelt u de mening dat zonder het terugdraaien van de legalisering van online gokspelen, het werkelijk geen enkele zin heeft voor de staat om Holland Casino in publieke handen te houden</w:t>
      </w:r>
      <w:r>
        <w:rPr>
          <w:rFonts w:eastAsia="DejaVuSerifCondensed" w:cs="DejaVuSerifCondensed"/>
          <w:szCs w:val="18"/>
        </w:rPr>
        <w:t>?</w:t>
      </w:r>
    </w:p>
    <w:p w:rsidR="00254025" w:rsidP="00254025" w:rsidRDefault="00254025" w14:paraId="3D8E4726" w14:textId="77777777">
      <w:pPr>
        <w:autoSpaceDE w:val="0"/>
        <w:autoSpaceDN w:val="0"/>
        <w:adjustRightInd w:val="0"/>
        <w:spacing w:after="0" w:line="240" w:lineRule="atLeast"/>
        <w:rPr>
          <w:rFonts w:eastAsia="DejaVuSerifCondensed" w:cs="DejaVuSerifCondensed"/>
          <w:b/>
          <w:bCs/>
          <w:szCs w:val="18"/>
        </w:rPr>
      </w:pPr>
    </w:p>
    <w:p w:rsidRPr="00586F2E" w:rsidR="00254025" w:rsidP="00254025" w:rsidRDefault="00254025" w14:paraId="164C45F0"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b/>
          <w:bCs/>
          <w:szCs w:val="18"/>
        </w:rPr>
        <w:t>Vraag 4</w:t>
      </w:r>
    </w:p>
    <w:p w:rsidRPr="00586F2E" w:rsidR="00254025" w:rsidP="00254025" w:rsidRDefault="00254025" w14:paraId="0723C675"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Deelt u de mening dat de deelneming in Holland Casino überhaupt overbodig is, omdat we inmiddels een sterk gereguleerde omgeving hebben via de Wet op de Kansspelen, de Wet kansspelen op afstand en de Wet ter voorkoming van witwassen en financieren van terrorisme, allen onder toezicht van de Kansspelautoriteit (zie ook de conclusies in een rapport in opdracht van de Eerste Kamer vorig jaar)?</w:t>
      </w:r>
    </w:p>
    <w:p w:rsidRPr="00586F2E" w:rsidR="00254025" w:rsidP="00254025" w:rsidRDefault="00254025" w14:paraId="028127D0" w14:textId="77777777">
      <w:pPr>
        <w:autoSpaceDE w:val="0"/>
        <w:autoSpaceDN w:val="0"/>
        <w:adjustRightInd w:val="0"/>
        <w:spacing w:after="0" w:line="240" w:lineRule="atLeast"/>
        <w:rPr>
          <w:rFonts w:eastAsia="DejaVuSerifCondensed" w:cs="DejaVuSerifCondensed"/>
          <w:szCs w:val="18"/>
        </w:rPr>
      </w:pPr>
    </w:p>
    <w:p w:rsidRPr="00586F2E" w:rsidR="00254025" w:rsidP="00254025" w:rsidRDefault="00254025" w14:paraId="2FE0F79B"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b/>
          <w:bCs/>
          <w:szCs w:val="18"/>
        </w:rPr>
        <w:t>Vraag 5</w:t>
      </w:r>
    </w:p>
    <w:p w:rsidRPr="00586F2E" w:rsidR="00254025" w:rsidP="00254025" w:rsidRDefault="00254025" w14:paraId="6487D31F"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Deelt u ook de mening dat het publiek aandeelhouderschap eveneens niet tot de gewenste resultaten leidt en daarmee meerwaarde biedt, zoals het bericht beschrijft: “De transparantiebenchmark van het ministerie van Economische Zaken, die het maatschappelijk verantwoord ondernemen van staatsdeelnemingen beoordeelt, schaarde de toko in 2021 in de categorie achterblijvers. Ook de financiële prestaties zijn mager: omdat uiteenlopende tegenvallers dat niet toelieten, kreeg de overheid na 2018 geen cent dividend meer uitgekeerd.”?</w:t>
      </w:r>
    </w:p>
    <w:p w:rsidRPr="00586F2E" w:rsidR="00254025" w:rsidP="00254025" w:rsidRDefault="00254025" w14:paraId="49BB26A0" w14:textId="77777777">
      <w:pPr>
        <w:autoSpaceDE w:val="0"/>
        <w:autoSpaceDN w:val="0"/>
        <w:adjustRightInd w:val="0"/>
        <w:spacing w:after="0" w:line="240" w:lineRule="atLeast"/>
        <w:rPr>
          <w:rFonts w:eastAsia="DejaVuSerifCondensed" w:cs="DejaVuSerifCondensed"/>
          <w:b/>
          <w:bCs/>
          <w:szCs w:val="18"/>
        </w:rPr>
      </w:pPr>
    </w:p>
    <w:p w:rsidRPr="00586F2E" w:rsidR="00254025" w:rsidP="00254025" w:rsidRDefault="00254025" w14:paraId="2BC5A437"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b/>
          <w:bCs/>
          <w:szCs w:val="18"/>
        </w:rPr>
        <w:t>Vraag 6</w:t>
      </w:r>
    </w:p>
    <w:p w:rsidRPr="00586F2E" w:rsidR="00254025" w:rsidP="00254025" w:rsidRDefault="00254025" w14:paraId="58398E85"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Kunt u reflecteren op de stelling in het bericht:</w:t>
      </w:r>
      <w:r>
        <w:rPr>
          <w:rFonts w:eastAsia="DejaVuSerifCondensed" w:cs="DejaVuSerifCondensed"/>
          <w:szCs w:val="18"/>
        </w:rPr>
        <w:t xml:space="preserve"> </w:t>
      </w:r>
      <w:r w:rsidRPr="00586F2E">
        <w:rPr>
          <w:rFonts w:eastAsia="DejaVuSerifCondensed" w:cs="DejaVuSerifCondensed"/>
          <w:szCs w:val="18"/>
        </w:rPr>
        <w:t>“Toezicht houden op de gokmarkt en de uitwassen die zich daar voordoen bestrijden, dat is een overheidstaak. Een noodlijdend bedrijf in de benen houden dat aanzet tot verkwisting, met alle verslavingsrisico's van dien, is dat zeker niet.”?</w:t>
      </w:r>
    </w:p>
    <w:p w:rsidR="00254025" w:rsidP="00254025" w:rsidRDefault="00254025" w14:paraId="331D7B87" w14:textId="77777777">
      <w:pPr>
        <w:autoSpaceDE w:val="0"/>
        <w:autoSpaceDN w:val="0"/>
        <w:adjustRightInd w:val="0"/>
        <w:spacing w:after="0" w:line="240" w:lineRule="atLeast"/>
        <w:rPr>
          <w:rFonts w:eastAsia="DejaVuSerifCondensed" w:cs="DejaVuSerifCondensed"/>
          <w:b/>
          <w:bCs/>
          <w:szCs w:val="18"/>
        </w:rPr>
      </w:pPr>
    </w:p>
    <w:p w:rsidRPr="00586F2E" w:rsidR="00254025" w:rsidP="00254025" w:rsidRDefault="00254025" w14:paraId="0D18C383" w14:textId="77777777">
      <w:pPr>
        <w:autoSpaceDE w:val="0"/>
        <w:autoSpaceDN w:val="0"/>
        <w:adjustRightInd w:val="0"/>
        <w:spacing w:after="0" w:line="240" w:lineRule="atLeast"/>
        <w:rPr>
          <w:rFonts w:eastAsia="DejaVuSerifCondensed" w:cs="DejaVuSerifCondensed"/>
          <w:b/>
          <w:bCs/>
          <w:szCs w:val="18"/>
        </w:rPr>
      </w:pPr>
      <w:r w:rsidRPr="00586F2E">
        <w:rPr>
          <w:rFonts w:eastAsia="DejaVuSerifCondensed" w:cs="DejaVuSerifCondensed"/>
          <w:b/>
          <w:bCs/>
          <w:szCs w:val="18"/>
        </w:rPr>
        <w:t xml:space="preserve">Antwoord vragen </w:t>
      </w:r>
      <w:r>
        <w:rPr>
          <w:rFonts w:eastAsia="DejaVuSerifCondensed" w:cs="DejaVuSerifCondensed"/>
          <w:b/>
          <w:bCs/>
          <w:szCs w:val="18"/>
        </w:rPr>
        <w:t xml:space="preserve">3, 4, 5 en </w:t>
      </w:r>
      <w:r w:rsidRPr="00586F2E">
        <w:rPr>
          <w:rFonts w:eastAsia="DejaVuSerifCondensed" w:cs="DejaVuSerifCondensed"/>
          <w:b/>
          <w:bCs/>
          <w:szCs w:val="18"/>
        </w:rPr>
        <w:t>6</w:t>
      </w:r>
    </w:p>
    <w:p w:rsidR="00254025" w:rsidP="00254025" w:rsidRDefault="00254025" w14:paraId="0A11276C" w14:textId="77777777">
      <w:pPr>
        <w:autoSpaceDE w:val="0"/>
        <w:autoSpaceDN w:val="0"/>
        <w:adjustRightInd w:val="0"/>
        <w:spacing w:after="0" w:line="240" w:lineRule="atLeast"/>
        <w:rPr>
          <w:szCs w:val="18"/>
        </w:rPr>
      </w:pPr>
      <w:r>
        <w:t xml:space="preserve">Bovenstaande vragen gaan over het (toekomstig) aandeelhouderschap van de staat in Holland Casino. </w:t>
      </w:r>
      <w:r w:rsidRPr="00447F18">
        <w:t>De Nota Deelnemingenbeleid Rijksoverheid 2022 (Nota 2022) bevat het uitgangspunt dat eens in de zeven jaar het aandeelhouderschap in elke staatsdeelneming wordt geëvalueerd.</w:t>
      </w:r>
      <w:r>
        <w:t xml:space="preserve"> Vorig jaar is het aandeelhouderschap van de staat in Holland Casino geëvalueerd. </w:t>
      </w:r>
      <w:r>
        <w:rPr>
          <w:rFonts w:eastAsia="DejaVuSerifCondensed" w:cs="DejaVuSerifCondensed"/>
          <w:szCs w:val="18"/>
        </w:rPr>
        <w:t>Op 24 mei 2023 heb ik uw Kamer het rapport met daarin de evaluatie doen toekomen.</w:t>
      </w:r>
      <w:r>
        <w:rPr>
          <w:rStyle w:val="Voetnootmarkering"/>
          <w:rFonts w:eastAsia="DejaVuSerifCondensed" w:cs="DejaVuSerifCondensed"/>
          <w:szCs w:val="18"/>
        </w:rPr>
        <w:footnoteReference w:id="4"/>
      </w:r>
      <w:r>
        <w:rPr>
          <w:rFonts w:eastAsia="DejaVuSerifCondensed" w:cs="DejaVuSerifCondensed"/>
          <w:szCs w:val="18"/>
        </w:rPr>
        <w:t xml:space="preserve"> </w:t>
      </w:r>
      <w:r w:rsidRPr="00685821">
        <w:rPr>
          <w:szCs w:val="18"/>
        </w:rPr>
        <w:t>D</w:t>
      </w:r>
      <w:r>
        <w:rPr>
          <w:szCs w:val="18"/>
        </w:rPr>
        <w:t>i</w:t>
      </w:r>
      <w:r w:rsidRPr="00685821">
        <w:rPr>
          <w:szCs w:val="18"/>
        </w:rPr>
        <w:t xml:space="preserve">e evaluatie </w:t>
      </w:r>
      <w:r>
        <w:rPr>
          <w:szCs w:val="18"/>
        </w:rPr>
        <w:t>is</w:t>
      </w:r>
      <w:r w:rsidRPr="00685821">
        <w:rPr>
          <w:szCs w:val="18"/>
        </w:rPr>
        <w:t xml:space="preserve"> uitgevoerd op basis van de Nota 2022 en conform het daarop gebaseerde evaluatiemodel uit het ‘Handboek evalueren deelnemingen’.</w:t>
      </w:r>
      <w:r w:rsidRPr="00685821">
        <w:rPr>
          <w:sz w:val="12"/>
          <w:szCs w:val="12"/>
        </w:rPr>
        <w:t xml:space="preserve"> </w:t>
      </w:r>
      <w:r w:rsidRPr="00685821">
        <w:rPr>
          <w:szCs w:val="18"/>
        </w:rPr>
        <w:t xml:space="preserve">Dit evaluatiemodel wordt gebruikt om te bezien of een deelneming nog steeds het juiste instrument is om een bijdrage te leveren aan de borging van de betreffende publieke belangen. Ook </w:t>
      </w:r>
      <w:r>
        <w:rPr>
          <w:szCs w:val="18"/>
        </w:rPr>
        <w:t>is</w:t>
      </w:r>
      <w:r w:rsidRPr="00685821">
        <w:rPr>
          <w:szCs w:val="18"/>
        </w:rPr>
        <w:t xml:space="preserve"> in de evaluatie ingegaan op de vraag of het beheer van de aandelen de gewenste toegevoegde waarde heeft gehad (doeltreffendheid).</w:t>
      </w:r>
    </w:p>
    <w:p w:rsidR="00254025" w:rsidP="00254025" w:rsidRDefault="00254025" w14:paraId="4F2221DD" w14:textId="77777777">
      <w:pPr>
        <w:autoSpaceDE w:val="0"/>
        <w:autoSpaceDN w:val="0"/>
        <w:adjustRightInd w:val="0"/>
        <w:spacing w:after="0" w:line="240" w:lineRule="atLeast"/>
        <w:rPr>
          <w:szCs w:val="18"/>
        </w:rPr>
      </w:pPr>
    </w:p>
    <w:p w:rsidR="00254025" w:rsidP="00254025" w:rsidRDefault="00254025" w14:paraId="6B7A0DFF" w14:textId="77777777">
      <w:pPr>
        <w:spacing w:after="0" w:line="276" w:lineRule="auto"/>
        <w:rPr>
          <w:szCs w:val="18"/>
        </w:rPr>
      </w:pPr>
      <w:r>
        <w:rPr>
          <w:szCs w:val="18"/>
        </w:rPr>
        <w:t>In de evaluatie va</w:t>
      </w:r>
      <w:r w:rsidRPr="00864722">
        <w:rPr>
          <w:szCs w:val="18"/>
        </w:rPr>
        <w:t>n</w:t>
      </w:r>
      <w:r>
        <w:rPr>
          <w:szCs w:val="18"/>
        </w:rPr>
        <w:t xml:space="preserve"> het staatsaandeelhouderschap in Holland Casino wordt </w:t>
      </w:r>
      <w:r w:rsidRPr="00864722">
        <w:rPr>
          <w:szCs w:val="18"/>
        </w:rPr>
        <w:t>geconcludeerd</w:t>
      </w:r>
      <w:r>
        <w:rPr>
          <w:szCs w:val="18"/>
        </w:rPr>
        <w:t xml:space="preserve"> </w:t>
      </w:r>
      <w:r w:rsidRPr="00864722">
        <w:rPr>
          <w:szCs w:val="18"/>
        </w:rPr>
        <w:t>dat wet- en regelgeving mogelijkheden biedt om de publieke belangen te kunnen borgen</w:t>
      </w:r>
      <w:r>
        <w:rPr>
          <w:szCs w:val="18"/>
        </w:rPr>
        <w:t xml:space="preserve">. Hierdoor is in beginsel </w:t>
      </w:r>
      <w:r w:rsidRPr="008844CB">
        <w:rPr>
          <w:szCs w:val="18"/>
        </w:rPr>
        <w:t xml:space="preserve">staatsaandeelhouderschap van </w:t>
      </w:r>
      <w:r>
        <w:rPr>
          <w:szCs w:val="18"/>
        </w:rPr>
        <w:t xml:space="preserve">Holland Casino </w:t>
      </w:r>
      <w:r w:rsidRPr="008844CB">
        <w:rPr>
          <w:szCs w:val="18"/>
        </w:rPr>
        <w:t>niet noodzakelijk.</w:t>
      </w:r>
      <w:r>
        <w:rPr>
          <w:szCs w:val="18"/>
        </w:rPr>
        <w:t xml:space="preserve"> Ook werd in de evaluatie geconcludeerd dat </w:t>
      </w:r>
      <w:r w:rsidRPr="008844CB">
        <w:rPr>
          <w:szCs w:val="18"/>
        </w:rPr>
        <w:t>het aandeelhouderschap een bepaalde toegevoegde waarde vertegenwoordigt die verloren gaat mocht tot vervreemding over worden gegaan. Het aandeelhouderschap voorziet in die toegevoegde waarde, omdat de staat als aandeelhouder op de publieke belangen stuurt. Tegelijk w</w:t>
      </w:r>
      <w:r>
        <w:rPr>
          <w:szCs w:val="18"/>
        </w:rPr>
        <w:t>erd in de evaluatie</w:t>
      </w:r>
      <w:r w:rsidRPr="008844CB">
        <w:rPr>
          <w:szCs w:val="18"/>
        </w:rPr>
        <w:t xml:space="preserve"> vastgesteld dat de toegevoegde waarde van het aandeelhouderschap niet</w:t>
      </w:r>
      <w:r>
        <w:rPr>
          <w:szCs w:val="18"/>
        </w:rPr>
        <w:t xml:space="preserve"> </w:t>
      </w:r>
      <w:r w:rsidRPr="008844CB">
        <w:rPr>
          <w:szCs w:val="18"/>
        </w:rPr>
        <w:t>zwaarwegend genoeg is dat een verdere verkenning naar andere toekomstopties bij voorbaat uitgesloten zou zijn.</w:t>
      </w:r>
      <w:r>
        <w:t xml:space="preserve"> </w:t>
      </w:r>
    </w:p>
    <w:p w:rsidR="00254025" w:rsidP="00254025" w:rsidRDefault="00254025" w14:paraId="4477F35C" w14:textId="77777777">
      <w:pPr>
        <w:spacing w:after="0" w:line="276" w:lineRule="auto"/>
        <w:rPr>
          <w:szCs w:val="18"/>
        </w:rPr>
      </w:pPr>
    </w:p>
    <w:p w:rsidR="00254025" w:rsidP="00254025" w:rsidRDefault="00254025" w14:paraId="48BFF6D9" w14:textId="77777777">
      <w:pPr>
        <w:spacing w:after="0" w:line="276" w:lineRule="auto"/>
        <w:rPr>
          <w:szCs w:val="18"/>
        </w:rPr>
      </w:pPr>
      <w:r w:rsidRPr="00733FD3">
        <w:rPr>
          <w:szCs w:val="18"/>
        </w:rPr>
        <w:t xml:space="preserve">Met Holland Casino ben ik op dit moment in gesprek over de impact van de voorgenomen verhoging van de kansspelbelasting. De verhoging van de kansspelbelasting zet de continuïteit van de onderneming mogelijk onder druk. In deze gesprekken gaat het over maatregelen die het herstel kunnen bevorderen en opties om de toekomstige uitdagingen het hoofd te kunnen bieden. </w:t>
      </w:r>
    </w:p>
    <w:p w:rsidRPr="00733FD3" w:rsidR="00254025" w:rsidP="00254025" w:rsidRDefault="00254025" w14:paraId="076DC84A" w14:textId="77777777">
      <w:pPr>
        <w:spacing w:after="0" w:line="276" w:lineRule="auto"/>
        <w:rPr>
          <w:szCs w:val="18"/>
        </w:rPr>
      </w:pPr>
      <w:r w:rsidRPr="00733FD3">
        <w:rPr>
          <w:szCs w:val="18"/>
        </w:rPr>
        <w:t xml:space="preserve">Ik streef ernaar om u rond de zomer van 2025 te informeren over de ontwikkelingen bij </w:t>
      </w:r>
      <w:r>
        <w:rPr>
          <w:szCs w:val="18"/>
        </w:rPr>
        <w:t xml:space="preserve">Holland Casino. Hierbij </w:t>
      </w:r>
      <w:r w:rsidRPr="00733FD3">
        <w:rPr>
          <w:szCs w:val="18"/>
        </w:rPr>
        <w:t>houd ik rekening met de uitkomsten van de evaluatie van de Wet kansspelen op afstand</w:t>
      </w:r>
      <w:r>
        <w:rPr>
          <w:szCs w:val="18"/>
        </w:rPr>
        <w:t>,</w:t>
      </w:r>
      <w:r w:rsidRPr="00733FD3">
        <w:rPr>
          <w:szCs w:val="18"/>
        </w:rPr>
        <w:t xml:space="preserve"> de beleidsreactie daarop, en de beleidsvisie op kansspelen die de staatssecretaris Rechtsbescherming</w:t>
      </w:r>
      <w:r>
        <w:rPr>
          <w:szCs w:val="18"/>
        </w:rPr>
        <w:t xml:space="preserve"> </w:t>
      </w:r>
      <w:r w:rsidRPr="00E969BA">
        <w:t>naar verwachting voor het commissiedebat kansspelen op 27 maart 2025 naar de Kamer zal sturen</w:t>
      </w:r>
      <w:r w:rsidRPr="00733FD3">
        <w:rPr>
          <w:szCs w:val="18"/>
        </w:rPr>
        <w:t>.</w:t>
      </w:r>
    </w:p>
    <w:p w:rsidRPr="00586F2E" w:rsidR="00254025" w:rsidP="00254025" w:rsidRDefault="00254025" w14:paraId="19A9701D" w14:textId="77777777">
      <w:pPr>
        <w:autoSpaceDE w:val="0"/>
        <w:autoSpaceDN w:val="0"/>
        <w:adjustRightInd w:val="0"/>
        <w:spacing w:after="0" w:line="240" w:lineRule="atLeast"/>
        <w:rPr>
          <w:rFonts w:eastAsia="DejaVuSerifCondensed" w:cs="DejaVuSerifCondensed"/>
          <w:b/>
          <w:bCs/>
          <w:szCs w:val="18"/>
        </w:rPr>
      </w:pPr>
    </w:p>
    <w:p w:rsidRPr="00586F2E" w:rsidR="00254025" w:rsidP="00254025" w:rsidRDefault="00254025" w14:paraId="143EC8FA"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b/>
          <w:bCs/>
          <w:szCs w:val="18"/>
        </w:rPr>
        <w:t>Vraag 7</w:t>
      </w:r>
    </w:p>
    <w:p w:rsidRPr="00586F2E" w:rsidR="00254025" w:rsidP="00254025" w:rsidRDefault="00254025" w14:paraId="47B0DA63"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Kunt u een inschatting geven wat het de staat oplevert aan incidentele middelen als de deelneming in Holland Casino verkocht wordt?</w:t>
      </w:r>
    </w:p>
    <w:p w:rsidRPr="00586F2E" w:rsidR="00254025" w:rsidP="00254025" w:rsidRDefault="00254025" w14:paraId="66B6F150" w14:textId="77777777">
      <w:pPr>
        <w:autoSpaceDE w:val="0"/>
        <w:autoSpaceDN w:val="0"/>
        <w:adjustRightInd w:val="0"/>
        <w:spacing w:after="0" w:line="240" w:lineRule="atLeast"/>
        <w:rPr>
          <w:rFonts w:eastAsia="DejaVuSerifCondensed" w:cs="DejaVuSerifCondensed"/>
          <w:b/>
          <w:bCs/>
          <w:szCs w:val="18"/>
        </w:rPr>
      </w:pPr>
    </w:p>
    <w:p w:rsidRPr="00586F2E" w:rsidR="00254025" w:rsidP="00254025" w:rsidRDefault="00254025" w14:paraId="135472BE" w14:textId="77777777">
      <w:pPr>
        <w:autoSpaceDE w:val="0"/>
        <w:autoSpaceDN w:val="0"/>
        <w:adjustRightInd w:val="0"/>
        <w:spacing w:after="0" w:line="240" w:lineRule="atLeast"/>
        <w:rPr>
          <w:rFonts w:eastAsia="DejaVuSerifCondensed" w:cs="DejaVuSerifCondensed"/>
          <w:b/>
          <w:bCs/>
          <w:szCs w:val="18"/>
        </w:rPr>
      </w:pPr>
      <w:r w:rsidRPr="00586F2E">
        <w:rPr>
          <w:rFonts w:eastAsia="DejaVuSerifCondensed" w:cs="DejaVuSerifCondensed"/>
          <w:b/>
          <w:bCs/>
          <w:szCs w:val="18"/>
        </w:rPr>
        <w:t>Vraag 8</w:t>
      </w:r>
    </w:p>
    <w:p w:rsidRPr="00586F2E" w:rsidR="00254025" w:rsidP="00254025" w:rsidRDefault="00254025" w14:paraId="29C28CFC"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Deelt u de mening dat alle incidentele middelen die dit oplevert beter ingezet kunnen worden voor het tegengaan van gokverslaving en helpen van mensen die mede als gevolg hiervan in de schulden zijn geraakt?</w:t>
      </w:r>
    </w:p>
    <w:p w:rsidRPr="00586F2E" w:rsidR="00254025" w:rsidP="00254025" w:rsidRDefault="00254025" w14:paraId="27A76E99" w14:textId="77777777">
      <w:pPr>
        <w:autoSpaceDE w:val="0"/>
        <w:autoSpaceDN w:val="0"/>
        <w:adjustRightInd w:val="0"/>
        <w:spacing w:after="0" w:line="240" w:lineRule="atLeast"/>
        <w:rPr>
          <w:rFonts w:eastAsia="DejaVuSerifCondensed" w:cs="DejaVuSerifCondensed"/>
          <w:szCs w:val="18"/>
        </w:rPr>
      </w:pPr>
    </w:p>
    <w:p w:rsidR="00254025" w:rsidP="00254025" w:rsidRDefault="00254025" w14:paraId="5D4AAF42" w14:textId="77777777">
      <w:pPr>
        <w:autoSpaceDE w:val="0"/>
        <w:autoSpaceDN w:val="0"/>
        <w:adjustRightInd w:val="0"/>
        <w:spacing w:after="0" w:line="240" w:lineRule="atLeast"/>
        <w:rPr>
          <w:rFonts w:eastAsia="DejaVuSerifCondensed" w:cs="DejaVuSerifCondensed"/>
          <w:b/>
          <w:bCs/>
          <w:szCs w:val="18"/>
        </w:rPr>
      </w:pPr>
    </w:p>
    <w:p w:rsidR="00254025" w:rsidP="00254025" w:rsidRDefault="00254025" w14:paraId="1532625A" w14:textId="77777777">
      <w:pPr>
        <w:autoSpaceDE w:val="0"/>
        <w:autoSpaceDN w:val="0"/>
        <w:adjustRightInd w:val="0"/>
        <w:spacing w:after="0" w:line="240" w:lineRule="atLeast"/>
        <w:rPr>
          <w:rFonts w:eastAsia="DejaVuSerifCondensed" w:cs="DejaVuSerifCondensed"/>
          <w:b/>
          <w:bCs/>
          <w:szCs w:val="18"/>
        </w:rPr>
      </w:pPr>
    </w:p>
    <w:p w:rsidR="00254025" w:rsidP="00254025" w:rsidRDefault="00254025" w14:paraId="48F3D556" w14:textId="77777777">
      <w:pPr>
        <w:autoSpaceDE w:val="0"/>
        <w:autoSpaceDN w:val="0"/>
        <w:adjustRightInd w:val="0"/>
        <w:spacing w:after="0" w:line="240" w:lineRule="atLeast"/>
        <w:rPr>
          <w:rFonts w:eastAsia="DejaVuSerifCondensed" w:cs="DejaVuSerifCondensed"/>
          <w:b/>
          <w:bCs/>
          <w:szCs w:val="18"/>
        </w:rPr>
      </w:pPr>
      <w:r w:rsidRPr="00586F2E">
        <w:rPr>
          <w:rFonts w:eastAsia="DejaVuSerifCondensed" w:cs="DejaVuSerifCondensed"/>
          <w:b/>
          <w:bCs/>
          <w:szCs w:val="18"/>
        </w:rPr>
        <w:t>Antwoord vragen 7 en 8</w:t>
      </w:r>
    </w:p>
    <w:p w:rsidRPr="00EC2610" w:rsidR="00254025" w:rsidP="00254025" w:rsidRDefault="00254025" w14:paraId="4D4C1863"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Zoals in de antwoorden hierboven beschreven is, is er nog geen besluit genomen over de toekomst van (het aandeelhouderschap) in Holland Casino. Een verkoop en eventuele besteding van de incidentele middelen die dat oplevert is dan ook niet aan de orde.  </w:t>
      </w:r>
    </w:p>
    <w:p w:rsidR="00254025" w:rsidP="00254025" w:rsidRDefault="00254025" w14:paraId="7B506720" w14:textId="77777777">
      <w:pPr>
        <w:autoSpaceDE w:val="0"/>
        <w:autoSpaceDN w:val="0"/>
        <w:adjustRightInd w:val="0"/>
        <w:spacing w:after="0" w:line="240" w:lineRule="atLeast"/>
        <w:rPr>
          <w:rFonts w:eastAsia="DejaVuSerifCondensed" w:cs="DejaVuSerifCondensed"/>
          <w:b/>
          <w:bCs/>
          <w:szCs w:val="18"/>
        </w:rPr>
      </w:pPr>
    </w:p>
    <w:p w:rsidRPr="00586F2E" w:rsidR="00254025" w:rsidP="00254025" w:rsidRDefault="00254025" w14:paraId="56913CAC"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b/>
          <w:bCs/>
          <w:szCs w:val="18"/>
        </w:rPr>
        <w:t>Vraag 9</w:t>
      </w:r>
    </w:p>
    <w:p w:rsidRPr="00586F2E" w:rsidR="00254025" w:rsidP="00254025" w:rsidRDefault="00254025" w14:paraId="1CD16AAD"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Bent u voornemens met een nieuw deelnemingenbeleid te komen, zo ja, wilt u daarin expliciet</w:t>
      </w:r>
    </w:p>
    <w:p w:rsidRPr="00586F2E" w:rsidR="00254025" w:rsidP="00254025" w:rsidRDefault="00254025" w14:paraId="28F640AC"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opnemen waarom en wanneer het maatschappelijk wenselijk is om publieke deelnemingen te</w:t>
      </w:r>
    </w:p>
    <w:p w:rsidRPr="00586F2E" w:rsidR="00254025" w:rsidP="00254025" w:rsidRDefault="00254025" w14:paraId="0A1BC773" w14:textId="77777777">
      <w:pPr>
        <w:autoSpaceDE w:val="0"/>
        <w:autoSpaceDN w:val="0"/>
        <w:adjustRightInd w:val="0"/>
        <w:spacing w:after="0" w:line="240" w:lineRule="atLeast"/>
        <w:rPr>
          <w:rFonts w:eastAsia="DejaVuSerifCondensed" w:cs="DejaVuSerifCondensed"/>
          <w:szCs w:val="18"/>
        </w:rPr>
      </w:pPr>
      <w:r w:rsidRPr="00586F2E">
        <w:rPr>
          <w:rFonts w:eastAsia="DejaVuSerifCondensed" w:cs="DejaVuSerifCondensed"/>
          <w:szCs w:val="18"/>
        </w:rPr>
        <w:t>hebben/verwerven?</w:t>
      </w:r>
    </w:p>
    <w:p w:rsidRPr="00586F2E" w:rsidR="00254025" w:rsidP="00254025" w:rsidRDefault="00254025" w14:paraId="66BF4CC2" w14:textId="77777777">
      <w:pPr>
        <w:autoSpaceDE w:val="0"/>
        <w:autoSpaceDN w:val="0"/>
        <w:adjustRightInd w:val="0"/>
        <w:spacing w:after="0" w:line="240" w:lineRule="atLeast"/>
        <w:rPr>
          <w:rFonts w:eastAsia="DejaVuSerifCondensed" w:cs="DejaVuSerifCondensed"/>
          <w:szCs w:val="18"/>
        </w:rPr>
      </w:pPr>
    </w:p>
    <w:p w:rsidRPr="00586F2E" w:rsidR="00254025" w:rsidP="00254025" w:rsidRDefault="00254025" w14:paraId="53F0A157" w14:textId="77777777">
      <w:pPr>
        <w:autoSpaceDE w:val="0"/>
        <w:autoSpaceDN w:val="0"/>
        <w:adjustRightInd w:val="0"/>
        <w:spacing w:after="0" w:line="240" w:lineRule="atLeast"/>
        <w:rPr>
          <w:rFonts w:eastAsia="DejaVuSerifCondensed" w:cs="DejaVuSerifCondensed"/>
          <w:b/>
          <w:bCs/>
          <w:szCs w:val="18"/>
        </w:rPr>
      </w:pPr>
      <w:r w:rsidRPr="00586F2E">
        <w:rPr>
          <w:rFonts w:eastAsia="DejaVuSerifCondensed" w:cs="DejaVuSerifCondensed"/>
          <w:b/>
          <w:bCs/>
          <w:szCs w:val="18"/>
        </w:rPr>
        <w:t>Antwoord vraag 9</w:t>
      </w:r>
    </w:p>
    <w:p w:rsidRPr="00FC4169" w:rsidR="00254025" w:rsidP="00254025" w:rsidRDefault="00254025" w14:paraId="516A71E7" w14:textId="77777777">
      <w:pPr>
        <w:autoSpaceDE w:val="0"/>
        <w:autoSpaceDN w:val="0"/>
        <w:adjustRightInd w:val="0"/>
        <w:spacing w:after="0" w:line="240" w:lineRule="atLeast"/>
        <w:rPr>
          <w:rFonts w:eastAsia="DejaVuSerifCondensed" w:cs="DejaVuSerifCondensed"/>
          <w:szCs w:val="18"/>
        </w:rPr>
      </w:pPr>
      <w:r w:rsidRPr="00FC4169">
        <w:rPr>
          <w:rFonts w:eastAsia="DejaVuSerifCondensed" w:cs="DejaVuSerifCondensed"/>
          <w:szCs w:val="18"/>
        </w:rPr>
        <w:t>In het kader van het schriftelijk overleg staatsdeelnemingen is een vergelijkbare vraag gesteld. Omdat ik beide vragen graag integraal wil beantwoorden,</w:t>
      </w:r>
      <w:r>
        <w:rPr>
          <w:rFonts w:eastAsia="DejaVuSerifCondensed" w:cs="DejaVuSerifCondensed"/>
          <w:szCs w:val="18"/>
        </w:rPr>
        <w:t xml:space="preserve"> </w:t>
      </w:r>
      <w:r w:rsidRPr="00FC4169">
        <w:rPr>
          <w:rFonts w:eastAsia="DejaVuSerifCondensed" w:cs="DejaVuSerifCondensed"/>
          <w:szCs w:val="18"/>
        </w:rPr>
        <w:t>verwijs ik naar de beantwoording van het schriftelijk overleg en bijbehorende aanbiedingsbrief</w:t>
      </w:r>
      <w:r>
        <w:rPr>
          <w:rFonts w:eastAsia="DejaVuSerifCondensed" w:cs="DejaVuSerifCondensed"/>
          <w:szCs w:val="18"/>
        </w:rPr>
        <w:t>.</w:t>
      </w:r>
      <w:r>
        <w:rPr>
          <w:rStyle w:val="Voetnootmarkering"/>
          <w:rFonts w:eastAsia="DejaVuSerifCondensed" w:cs="DejaVuSerifCondensed"/>
          <w:szCs w:val="18"/>
        </w:rPr>
        <w:footnoteReference w:id="5"/>
      </w:r>
      <w:r>
        <w:rPr>
          <w:rFonts w:eastAsia="DejaVuSerifCondensed" w:cs="DejaVuSerifCondensed"/>
          <w:szCs w:val="18"/>
        </w:rPr>
        <w:t xml:space="preserve"> </w:t>
      </w:r>
    </w:p>
    <w:p w:rsidRPr="007B0E8D" w:rsidR="00254025" w:rsidP="00254025" w:rsidRDefault="00254025" w14:paraId="7BA088F3" w14:textId="77777777">
      <w:pPr>
        <w:autoSpaceDE w:val="0"/>
        <w:autoSpaceDN w:val="0"/>
        <w:adjustRightInd w:val="0"/>
        <w:spacing w:after="0" w:line="240" w:lineRule="atLeast"/>
        <w:rPr>
          <w:rFonts w:eastAsia="DejaVuSerifCondensed" w:cs="DejaVuSerifCondensed"/>
          <w:b/>
          <w:bCs/>
          <w:color w:val="FF0000"/>
          <w:szCs w:val="18"/>
        </w:rPr>
      </w:pPr>
    </w:p>
    <w:p w:rsidR="00E85C33" w:rsidRDefault="00E85C33" w14:paraId="58B2D0E8" w14:textId="77777777"/>
    <w:sectPr w:rsidR="00E85C33" w:rsidSect="002540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5380" w14:textId="77777777" w:rsidR="00254025" w:rsidRDefault="00254025" w:rsidP="00254025">
      <w:pPr>
        <w:spacing w:after="0" w:line="240" w:lineRule="auto"/>
      </w:pPr>
      <w:r>
        <w:separator/>
      </w:r>
    </w:p>
  </w:endnote>
  <w:endnote w:type="continuationSeparator" w:id="0">
    <w:p w14:paraId="3DC9B763" w14:textId="77777777" w:rsidR="00254025" w:rsidRDefault="00254025" w:rsidP="0025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C822" w14:textId="77777777" w:rsidR="00254025" w:rsidRPr="00254025" w:rsidRDefault="00254025" w:rsidP="002540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BD49" w14:textId="77777777" w:rsidR="00254025" w:rsidRPr="00254025" w:rsidRDefault="00254025" w:rsidP="002540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AFD9" w14:textId="77777777" w:rsidR="00254025" w:rsidRPr="00254025" w:rsidRDefault="00254025" w:rsidP="00254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2FB5" w14:textId="77777777" w:rsidR="00254025" w:rsidRDefault="00254025" w:rsidP="00254025">
      <w:pPr>
        <w:spacing w:after="0" w:line="240" w:lineRule="auto"/>
      </w:pPr>
      <w:r>
        <w:separator/>
      </w:r>
    </w:p>
  </w:footnote>
  <w:footnote w:type="continuationSeparator" w:id="0">
    <w:p w14:paraId="19FFD6F7" w14:textId="77777777" w:rsidR="00254025" w:rsidRDefault="00254025" w:rsidP="00254025">
      <w:pPr>
        <w:spacing w:after="0" w:line="240" w:lineRule="auto"/>
      </w:pPr>
      <w:r>
        <w:continuationSeparator/>
      </w:r>
    </w:p>
  </w:footnote>
  <w:footnote w:id="1">
    <w:p w14:paraId="6D3ADD22" w14:textId="77777777" w:rsidR="00254025" w:rsidRPr="00D74EEF" w:rsidRDefault="00254025" w:rsidP="00254025">
      <w:pPr>
        <w:pStyle w:val="Voetnoottekst"/>
        <w:rPr>
          <w:sz w:val="16"/>
          <w:szCs w:val="16"/>
          <w:lang w:val="nl-NL"/>
        </w:rPr>
      </w:pPr>
      <w:r w:rsidRPr="00D74EEF">
        <w:rPr>
          <w:rStyle w:val="Voetnootmarkering"/>
          <w:sz w:val="16"/>
          <w:szCs w:val="16"/>
        </w:rPr>
        <w:footnoteRef/>
      </w:r>
      <w:r w:rsidRPr="00D74EEF">
        <w:rPr>
          <w:sz w:val="16"/>
          <w:szCs w:val="16"/>
          <w:lang w:val="nl-NL"/>
        </w:rPr>
        <w:t xml:space="preserve"> Reformatorisch Dagblad, 28 augustus 2024, </w:t>
      </w:r>
      <w:hyperlink r:id="rId1" w:history="1">
        <w:r w:rsidRPr="00D74EEF">
          <w:rPr>
            <w:rStyle w:val="Hyperlink"/>
            <w:rFonts w:cs="Verdana"/>
            <w:sz w:val="16"/>
            <w:szCs w:val="16"/>
            <w:lang w:val="nl-NL"/>
            <w14:ligatures w14:val="standardContextual"/>
          </w:rPr>
          <w:t>https://www.rd.nl/artikel/1075374-staat-moet-holland-casinoafstoten</w:t>
        </w:r>
      </w:hyperlink>
      <w:r w:rsidRPr="00D74EEF">
        <w:rPr>
          <w:rFonts w:cs="Verdana"/>
          <w:color w:val="0563C2"/>
          <w:sz w:val="16"/>
          <w:szCs w:val="16"/>
          <w:lang w:val="nl-NL"/>
          <w14:ligatures w14:val="standardContextual"/>
        </w:rPr>
        <w:t xml:space="preserve"> </w:t>
      </w:r>
    </w:p>
  </w:footnote>
  <w:footnote w:id="2">
    <w:p w14:paraId="064265D4" w14:textId="77777777" w:rsidR="00254025" w:rsidRPr="00D74EEF" w:rsidRDefault="00254025" w:rsidP="00254025">
      <w:pPr>
        <w:pStyle w:val="Voetnoottekst"/>
        <w:rPr>
          <w:sz w:val="16"/>
          <w:szCs w:val="16"/>
          <w:lang w:val="nl-NL"/>
        </w:rPr>
      </w:pPr>
      <w:r w:rsidRPr="00D74EEF">
        <w:rPr>
          <w:rStyle w:val="Voetnootmarkering"/>
          <w:sz w:val="16"/>
          <w:szCs w:val="16"/>
        </w:rPr>
        <w:footnoteRef/>
      </w:r>
      <w:r w:rsidRPr="00D74EEF">
        <w:rPr>
          <w:sz w:val="16"/>
          <w:szCs w:val="16"/>
          <w:lang w:val="nl-NL"/>
        </w:rPr>
        <w:t xml:space="preserve"> Kamerstukken II 2023/24, 24 557, nr. 244</w:t>
      </w:r>
    </w:p>
  </w:footnote>
  <w:footnote w:id="3">
    <w:p w14:paraId="3C492EE3" w14:textId="77777777" w:rsidR="00254025" w:rsidRPr="00D74EEF" w:rsidRDefault="00254025" w:rsidP="00254025">
      <w:pPr>
        <w:pStyle w:val="Voetnoottekst"/>
        <w:rPr>
          <w:sz w:val="16"/>
          <w:szCs w:val="16"/>
          <w:lang w:val="nl-NL"/>
        </w:rPr>
      </w:pPr>
      <w:r w:rsidRPr="00D74EEF">
        <w:rPr>
          <w:rStyle w:val="Voetnootmarkering"/>
          <w:sz w:val="16"/>
          <w:szCs w:val="16"/>
        </w:rPr>
        <w:footnoteRef/>
      </w:r>
      <w:r w:rsidRPr="00D74EEF">
        <w:rPr>
          <w:sz w:val="16"/>
          <w:szCs w:val="16"/>
          <w:lang w:val="nl-NL"/>
        </w:rPr>
        <w:t xml:space="preserve"> Stichting IVZ (2024). Kerncijfers verslavingszorg 2018-2023, pagina 10: het gaat om 15,3% stijging bij instellingen die al eerder gegevens </w:t>
      </w:r>
      <w:r w:rsidRPr="00D74EEF">
        <w:rPr>
          <w:b/>
          <w:bCs/>
          <w:sz w:val="16"/>
          <w:szCs w:val="16"/>
          <w:lang w:val="nl-NL"/>
        </w:rPr>
        <w:t>aanleverden</w:t>
      </w:r>
      <w:r w:rsidRPr="00D74EEF">
        <w:rPr>
          <w:sz w:val="16"/>
          <w:szCs w:val="16"/>
          <w:lang w:val="nl-NL"/>
        </w:rPr>
        <w:t>. LADIS Home</w:t>
      </w:r>
    </w:p>
  </w:footnote>
  <w:footnote w:id="4">
    <w:p w14:paraId="5E988F22" w14:textId="77777777" w:rsidR="00254025" w:rsidRPr="00D74EEF" w:rsidRDefault="00254025" w:rsidP="00254025">
      <w:pPr>
        <w:pStyle w:val="Voetnoottekst"/>
        <w:rPr>
          <w:sz w:val="16"/>
          <w:szCs w:val="16"/>
          <w:lang w:val="nl-NL"/>
        </w:rPr>
      </w:pPr>
      <w:r w:rsidRPr="00D74EEF">
        <w:rPr>
          <w:rStyle w:val="Voetnootmarkering"/>
          <w:sz w:val="16"/>
          <w:szCs w:val="16"/>
        </w:rPr>
        <w:footnoteRef/>
      </w:r>
      <w:r w:rsidRPr="00D74EEF">
        <w:rPr>
          <w:sz w:val="16"/>
          <w:szCs w:val="16"/>
          <w:lang w:val="nl-NL"/>
        </w:rPr>
        <w:t xml:space="preserve"> Kamerstukken II 2022/23, 28 165, nr. 395, bijlage.</w:t>
      </w:r>
    </w:p>
  </w:footnote>
  <w:footnote w:id="5">
    <w:p w14:paraId="1DB7EEEF" w14:textId="77777777" w:rsidR="00254025" w:rsidRPr="00D74EEF" w:rsidRDefault="00254025" w:rsidP="00254025">
      <w:pPr>
        <w:pStyle w:val="Voetnoottekst"/>
        <w:rPr>
          <w:sz w:val="16"/>
          <w:szCs w:val="16"/>
          <w:lang w:val="nl-NL"/>
        </w:rPr>
      </w:pPr>
      <w:r w:rsidRPr="00D74EEF">
        <w:rPr>
          <w:rStyle w:val="Voetnootmarkering"/>
          <w:sz w:val="16"/>
          <w:szCs w:val="16"/>
        </w:rPr>
        <w:footnoteRef/>
      </w:r>
      <w:r w:rsidRPr="00D74EEF">
        <w:rPr>
          <w:sz w:val="16"/>
          <w:szCs w:val="16"/>
          <w:lang w:val="nl-NL"/>
        </w:rPr>
        <w:t xml:space="preserve"> Kamerstukken II 2024/25, 28 165, nr. 430 en 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9431" w14:textId="77777777" w:rsidR="00254025" w:rsidRPr="00254025" w:rsidRDefault="00254025" w:rsidP="002540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CEDB" w14:textId="77777777" w:rsidR="00254025" w:rsidRPr="00254025" w:rsidRDefault="00254025" w:rsidP="002540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3FE6" w14:textId="77777777" w:rsidR="00254025" w:rsidRPr="00254025" w:rsidRDefault="00254025" w:rsidP="002540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25"/>
    <w:rsid w:val="00254025"/>
    <w:rsid w:val="00E85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CD5D"/>
  <w15:chartTrackingRefBased/>
  <w15:docId w15:val="{2E86EB9F-136A-4A1B-873E-4681C434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254025"/>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54025"/>
    <w:rPr>
      <w:rFonts w:ascii="Verdana" w:hAnsi="Verdana"/>
      <w:kern w:val="0"/>
      <w:sz w:val="20"/>
      <w:szCs w:val="20"/>
      <w:lang w:val="en-US"/>
      <w14:ligatures w14:val="none"/>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SUPERS,Times 10 Point,FR"/>
    <w:basedOn w:val="Standaardalinea-lettertype"/>
    <w:link w:val="FootnotesymbolCarZchn"/>
    <w:uiPriority w:val="99"/>
    <w:unhideWhenUsed/>
    <w:qFormat/>
    <w:rsid w:val="00254025"/>
    <w:rPr>
      <w:vertAlign w:val="superscript"/>
    </w:rPr>
  </w:style>
  <w:style w:type="character" w:styleId="Hyperlink">
    <w:name w:val="Hyperlink"/>
    <w:basedOn w:val="Standaardalinea-lettertype"/>
    <w:uiPriority w:val="99"/>
    <w:unhideWhenUsed/>
    <w:rsid w:val="00254025"/>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254025"/>
    <w:pPr>
      <w:spacing w:line="240" w:lineRule="exact"/>
      <w:jc w:val="both"/>
    </w:pPr>
    <w:rPr>
      <w:vertAlign w:val="superscript"/>
    </w:rPr>
  </w:style>
  <w:style w:type="paragraph" w:styleId="Koptekst">
    <w:name w:val="header"/>
    <w:basedOn w:val="Standaard"/>
    <w:link w:val="KoptekstChar"/>
    <w:uiPriority w:val="99"/>
    <w:unhideWhenUsed/>
    <w:rsid w:val="00254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4025"/>
  </w:style>
  <w:style w:type="paragraph" w:styleId="Voettekst">
    <w:name w:val="footer"/>
    <w:basedOn w:val="Standaard"/>
    <w:link w:val="VoettekstChar"/>
    <w:uiPriority w:val="99"/>
    <w:unhideWhenUsed/>
    <w:rsid w:val="002540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4025"/>
  </w:style>
  <w:style w:type="paragraph" w:styleId="Geenafstand">
    <w:name w:val="No Spacing"/>
    <w:basedOn w:val="Standaard"/>
    <w:uiPriority w:val="1"/>
    <w:qFormat/>
    <w:rsid w:val="00254025"/>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d.nl/artikel/1075374-staat-moet-holland-casinoafsto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1214</ap:Words>
  <ap:Characters>6682</ap:Characters>
  <ap:DocSecurity>0</ap:DocSecurity>
  <ap:Lines>55</ap:Lines>
  <ap:Paragraphs>15</ap:Paragraphs>
  <ap:ScaleCrop>false</ap:ScaleCrop>
  <ap:LinksUpToDate>false</ap:LinksUpToDate>
  <ap:CharactersWithSpaces>7881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2024-11-27T15:20:00.0000000Z</dcterms:created>
  <dcterms:modified xsi:type="dcterms:W3CDTF">2024-11-27T15:22:00.0000000Z</dcterms:modified>
  <version/>
  <category/>
</coreProperties>
</file>