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2D2D" w:rsidRDefault="00052D2D" w14:paraId="3374E82D" w14:textId="77777777">
      <w:pPr>
        <w:pStyle w:val="StandaardAanhef"/>
      </w:pPr>
    </w:p>
    <w:p w:rsidR="001A2AB0" w:rsidRDefault="00427C13" w14:paraId="26FBCBCF" w14:textId="77777777">
      <w:pPr>
        <w:pStyle w:val="StandaardAanhef"/>
      </w:pPr>
      <w:r>
        <w:t>Geachte voorzitter,</w:t>
      </w:r>
    </w:p>
    <w:p w:rsidR="00427C13" w:rsidP="00427C13" w:rsidRDefault="00427C13" w14:paraId="24C6864A" w14:textId="77777777">
      <w:pPr>
        <w:rPr>
          <w:color w:val="auto"/>
        </w:rPr>
      </w:pPr>
    </w:p>
    <w:p w:rsidR="00052D2D" w:rsidP="00052D2D" w:rsidRDefault="00052D2D" w14:paraId="6F1A804C" w14:textId="77777777">
      <w:pPr>
        <w:rPr>
          <w:rFonts w:cstheme="minorHAnsi"/>
        </w:rPr>
      </w:pPr>
      <w:bookmarkStart w:name="_Hlk120266467" w:id="0"/>
      <w:r>
        <w:rPr>
          <w:rFonts w:cstheme="minorHAnsi"/>
          <w:lang w:eastAsia="en-US"/>
        </w:rPr>
        <w:t>Naar aanleiding van de vragen van rapporteur</w:t>
      </w:r>
      <w:r w:rsidR="00CB0116">
        <w:rPr>
          <w:rFonts w:cstheme="minorHAnsi"/>
          <w:lang w:eastAsia="en-US"/>
        </w:rPr>
        <w:t xml:space="preserve">s </w:t>
      </w:r>
      <w:proofErr w:type="spellStart"/>
      <w:r w:rsidR="00CB0116">
        <w:rPr>
          <w:rFonts w:cstheme="minorHAnsi"/>
          <w:lang w:eastAsia="en-US"/>
        </w:rPr>
        <w:t>Faddegon</w:t>
      </w:r>
      <w:proofErr w:type="spellEnd"/>
      <w:r w:rsidR="00CB0116">
        <w:rPr>
          <w:rFonts w:cstheme="minorHAnsi"/>
          <w:lang w:eastAsia="en-US"/>
        </w:rPr>
        <w:t xml:space="preserve"> en</w:t>
      </w:r>
      <w:r>
        <w:rPr>
          <w:rFonts w:cstheme="minorHAnsi"/>
          <w:lang w:eastAsia="en-US"/>
        </w:rPr>
        <w:t xml:space="preserve"> </w:t>
      </w:r>
      <w:proofErr w:type="spellStart"/>
      <w:r>
        <w:rPr>
          <w:rFonts w:cstheme="minorHAnsi"/>
          <w:lang w:eastAsia="en-US"/>
        </w:rPr>
        <w:t>Maatoug</w:t>
      </w:r>
      <w:proofErr w:type="spellEnd"/>
      <w:r>
        <w:rPr>
          <w:rFonts w:cstheme="minorHAnsi"/>
          <w:lang w:eastAsia="en-US"/>
        </w:rPr>
        <w:t xml:space="preserve"> over </w:t>
      </w:r>
      <w:r w:rsidR="00CB0116">
        <w:rPr>
          <w:rFonts w:cstheme="minorHAnsi"/>
          <w:lang w:eastAsia="en-US"/>
        </w:rPr>
        <w:t>de Begroting</w:t>
      </w:r>
      <w:r>
        <w:rPr>
          <w:rFonts w:cstheme="minorHAnsi"/>
          <w:lang w:eastAsia="en-US"/>
        </w:rPr>
        <w:t xml:space="preserve"> van het ministerie van Financiën en de Nationale Schuld (IX) 202</w:t>
      </w:r>
      <w:r w:rsidR="00CB0116">
        <w:rPr>
          <w:rFonts w:cstheme="minorHAnsi"/>
          <w:lang w:eastAsia="en-US"/>
        </w:rPr>
        <w:t>5</w:t>
      </w:r>
      <w:r>
        <w:rPr>
          <w:rFonts w:cstheme="minorHAnsi"/>
          <w:lang w:eastAsia="en-US"/>
        </w:rPr>
        <w:t>, die ons 1</w:t>
      </w:r>
      <w:r w:rsidR="00CB0116">
        <w:rPr>
          <w:rFonts w:cstheme="minorHAnsi"/>
          <w:lang w:eastAsia="en-US"/>
        </w:rPr>
        <w:t>2 november zij</w:t>
      </w:r>
      <w:r>
        <w:rPr>
          <w:rFonts w:cstheme="minorHAnsi"/>
          <w:lang w:eastAsia="en-US"/>
        </w:rPr>
        <w:t xml:space="preserve">n toegezonden, beantwoorden wij middels deze brief de gestelde vragen per onderwerp. </w:t>
      </w:r>
      <w:r>
        <w:t>Omdat de onderwerpen in deze brief raken aan de portefeuilles van alle drie de bewindspersonen, stuur ik deze brief mede namens de staatssecretaris van</w:t>
      </w:r>
      <w:r w:rsidR="00D0181B">
        <w:t xml:space="preserve"> Financiën -</w:t>
      </w:r>
      <w:r>
        <w:t xml:space="preserve"> Fiscaliteit en Belastingdienst</w:t>
      </w:r>
      <w:r w:rsidR="0042385A">
        <w:t>.</w:t>
      </w:r>
    </w:p>
    <w:p w:rsidR="00052D2D" w:rsidP="00052D2D" w:rsidRDefault="00052D2D" w14:paraId="66B8E562" w14:textId="77777777">
      <w:pPr>
        <w:rPr>
          <w:rFonts w:cstheme="minorHAnsi"/>
        </w:rPr>
      </w:pPr>
    </w:p>
    <w:p w:rsidR="00EC5B47" w:rsidP="00052D2D" w:rsidRDefault="00EC5B47" w14:paraId="5E44D184" w14:textId="77777777">
      <w:pPr>
        <w:rPr>
          <w:rFonts w:cstheme="minorHAnsi"/>
        </w:rPr>
      </w:pPr>
    </w:p>
    <w:p w:rsidR="00052D2D" w:rsidP="00052D2D" w:rsidRDefault="00CB0116" w14:paraId="1126AAE5" w14:textId="77777777">
      <w:pPr>
        <w:pStyle w:val="Lijstalinea"/>
        <w:numPr>
          <w:ilvl w:val="0"/>
          <w:numId w:val="7"/>
        </w:numPr>
        <w:spacing w:line="240" w:lineRule="atLeast"/>
        <w:jc w:val="left"/>
        <w:rPr>
          <w:rFonts w:ascii="Verdana" w:hAnsi="Verdana"/>
          <w:b/>
          <w:sz w:val="18"/>
          <w:szCs w:val="18"/>
        </w:rPr>
      </w:pPr>
      <w:r>
        <w:rPr>
          <w:rFonts w:ascii="Verdana" w:hAnsi="Verdana"/>
          <w:b/>
          <w:sz w:val="18"/>
          <w:szCs w:val="18"/>
        </w:rPr>
        <w:t>Neerslag Hoofdlijnenakkoord</w:t>
      </w:r>
    </w:p>
    <w:p w:rsidR="00052D2D" w:rsidP="00052D2D" w:rsidRDefault="00052D2D" w14:paraId="1376C2EC" w14:textId="77777777">
      <w:pPr>
        <w:rPr>
          <w:b/>
        </w:rPr>
      </w:pPr>
    </w:p>
    <w:p w:rsidRPr="00191A04" w:rsidR="00CB0116" w:rsidP="00AD0F7D" w:rsidRDefault="00CB0116" w14:paraId="4E20A642" w14:textId="77777777">
      <w:pPr>
        <w:pStyle w:val="Default"/>
        <w:rPr>
          <w:rFonts w:cs="Lohit Hindi"/>
          <w:i/>
          <w:iCs/>
          <w:sz w:val="18"/>
          <w:szCs w:val="18"/>
        </w:rPr>
      </w:pPr>
      <w:bookmarkStart w:name="_Hlk182485413" w:id="1"/>
      <w:bookmarkStart w:name="_Hlk120538924" w:id="2"/>
      <w:bookmarkStart w:name="_Hlk120041695" w:id="3"/>
      <w:r w:rsidRPr="00191A04">
        <w:rPr>
          <w:rFonts w:cs="Lohit Hindi"/>
          <w:i/>
          <w:iCs/>
          <w:sz w:val="18"/>
          <w:szCs w:val="18"/>
        </w:rPr>
        <w:t>De commissie vraagt of en zo ja voor welke activiteiten van de Wereldbank de verminderde bijdrage aan de Wereldbank – als invulling van de taakstelling ‘Gerichte keuzes ontwikkelingssamenwerking’ uit het HLA - gevolgen heeft</w:t>
      </w:r>
      <w:r w:rsidRPr="00191A04" w:rsidR="00AD0F7D">
        <w:rPr>
          <w:rFonts w:cs="Lohit Hindi"/>
          <w:i/>
          <w:iCs/>
          <w:sz w:val="18"/>
          <w:szCs w:val="18"/>
        </w:rPr>
        <w:t>.</w:t>
      </w:r>
    </w:p>
    <w:p w:rsidRPr="00191A04" w:rsidR="00291E2C" w:rsidP="00AD0F7D" w:rsidRDefault="00B60BC4" w14:paraId="5597199A" w14:textId="77777777">
      <w:pPr>
        <w:shd w:val="clear" w:color="auto" w:fill="FFFFFF"/>
        <w:rPr>
          <w:color w:val="auto"/>
        </w:rPr>
      </w:pPr>
      <w:r>
        <w:br/>
      </w:r>
      <w:r w:rsidRPr="00191A04">
        <w:rPr>
          <w:color w:val="auto"/>
        </w:rPr>
        <w:t>De</w:t>
      </w:r>
      <w:r w:rsidRPr="00191A04" w:rsidR="000A12BA">
        <w:rPr>
          <w:color w:val="auto"/>
        </w:rPr>
        <w:t xml:space="preserve"> maatregel ‘Gerichte keuzes ontwikkelingssamenwerking’ uit het HLA is verwerkt in de vorm van een</w:t>
      </w:r>
      <w:r w:rsidRPr="00191A04">
        <w:rPr>
          <w:color w:val="auto"/>
        </w:rPr>
        <w:t xml:space="preserve"> </w:t>
      </w:r>
      <w:r w:rsidRPr="00191A04" w:rsidR="000A12BA">
        <w:rPr>
          <w:color w:val="auto"/>
        </w:rPr>
        <w:t>taakstelling</w:t>
      </w:r>
      <w:r w:rsidRPr="00191A04">
        <w:rPr>
          <w:color w:val="auto"/>
        </w:rPr>
        <w:t xml:space="preserve"> op de </w:t>
      </w:r>
      <w:proofErr w:type="spellStart"/>
      <w:r w:rsidRPr="00191A04">
        <w:rPr>
          <w:color w:val="auto"/>
        </w:rPr>
        <w:t>Rijksbrede</w:t>
      </w:r>
      <w:proofErr w:type="spellEnd"/>
      <w:r w:rsidRPr="00191A04">
        <w:rPr>
          <w:color w:val="auto"/>
        </w:rPr>
        <w:t xml:space="preserve"> ODA-middelen</w:t>
      </w:r>
      <w:r w:rsidRPr="00191A04" w:rsidR="000A12BA">
        <w:rPr>
          <w:color w:val="auto"/>
        </w:rPr>
        <w:t xml:space="preserve"> (Official Development Assistance). Bij </w:t>
      </w:r>
      <w:r w:rsidRPr="00191A04">
        <w:rPr>
          <w:color w:val="auto"/>
        </w:rPr>
        <w:t xml:space="preserve">Financiën </w:t>
      </w:r>
      <w:r w:rsidRPr="00191A04" w:rsidR="000A12BA">
        <w:rPr>
          <w:color w:val="auto"/>
        </w:rPr>
        <w:t xml:space="preserve">slaat dit </w:t>
      </w:r>
      <w:r w:rsidRPr="00191A04">
        <w:rPr>
          <w:color w:val="auto"/>
        </w:rPr>
        <w:t>neer op de bijdrage aan de International Development Association (IDA), het onderdeel van de Wereldbankgroep dat concessionele leningen – en in beperkte mate schenkingen – verstrekt aan de armste landen in de wereld.</w:t>
      </w:r>
      <w:r w:rsidRPr="00191A04" w:rsidR="005157F9">
        <w:rPr>
          <w:color w:val="auto"/>
        </w:rPr>
        <w:t xml:space="preserve"> </w:t>
      </w:r>
      <w:r w:rsidRPr="00191A04" w:rsidR="00F173C3">
        <w:rPr>
          <w:color w:val="auto"/>
        </w:rPr>
        <w:t>Op de Financiën-begroting staat een reservering voor toekomstige Nederlandse bijdrage</w:t>
      </w:r>
      <w:r w:rsidRPr="00191A04" w:rsidR="00F50239">
        <w:rPr>
          <w:color w:val="auto"/>
        </w:rPr>
        <w:t>s</w:t>
      </w:r>
      <w:r w:rsidRPr="00191A04" w:rsidR="00F173C3">
        <w:rPr>
          <w:color w:val="auto"/>
        </w:rPr>
        <w:t xml:space="preserve"> aan IDA. Deze betrof €</w:t>
      </w:r>
      <w:r w:rsidRPr="00191A04" w:rsidR="006509D0">
        <w:rPr>
          <w:color w:val="auto"/>
        </w:rPr>
        <w:t> </w:t>
      </w:r>
      <w:r w:rsidRPr="00191A04" w:rsidR="00F173C3">
        <w:rPr>
          <w:color w:val="auto"/>
        </w:rPr>
        <w:t xml:space="preserve">1.955 mln. voor 2027 t/m 2034 en is door het invullen van de taakstelling verkleind naar € 1.517 mln. </w:t>
      </w:r>
    </w:p>
    <w:bookmarkEnd w:id="1"/>
    <w:p w:rsidR="00AD0F7D" w:rsidP="00AD0F7D" w:rsidRDefault="00AD0F7D" w14:paraId="20BE0ACE" w14:textId="77777777">
      <w:pPr>
        <w:pStyle w:val="Default"/>
        <w:rPr>
          <w:rFonts w:cs="Lohit Hindi"/>
          <w:sz w:val="18"/>
          <w:szCs w:val="18"/>
        </w:rPr>
      </w:pPr>
    </w:p>
    <w:p w:rsidRPr="00191A04" w:rsidR="00CB0116" w:rsidP="00AD0F7D" w:rsidRDefault="00AD0F7D" w14:paraId="35B13CDB" w14:textId="77777777">
      <w:pPr>
        <w:pStyle w:val="Default"/>
        <w:rPr>
          <w:rFonts w:cs="Lohit Hindi"/>
          <w:i/>
          <w:iCs/>
          <w:sz w:val="18"/>
          <w:szCs w:val="18"/>
        </w:rPr>
      </w:pPr>
      <w:r w:rsidRPr="00191A04">
        <w:rPr>
          <w:rFonts w:cs="Lohit Hindi"/>
          <w:i/>
          <w:iCs/>
          <w:sz w:val="18"/>
          <w:szCs w:val="18"/>
        </w:rPr>
        <w:t xml:space="preserve">Daarnaast vraagt de commissie </w:t>
      </w:r>
      <w:r w:rsidRPr="00191A04" w:rsidR="00CB0116">
        <w:rPr>
          <w:rFonts w:cs="Lohit Hindi"/>
          <w:i/>
          <w:iCs/>
          <w:sz w:val="18"/>
          <w:szCs w:val="18"/>
        </w:rPr>
        <w:t>waar de HLA-taakstelling op inhuur van externen die oploopt tot €</w:t>
      </w:r>
      <w:r w:rsidRPr="00191A04">
        <w:rPr>
          <w:rFonts w:cs="Lohit Hindi"/>
          <w:i/>
          <w:iCs/>
          <w:sz w:val="18"/>
          <w:szCs w:val="18"/>
        </w:rPr>
        <w:t xml:space="preserve"> </w:t>
      </w:r>
      <w:r w:rsidRPr="00191A04" w:rsidR="00CB0116">
        <w:rPr>
          <w:rFonts w:cs="Lohit Hindi"/>
          <w:i/>
          <w:iCs/>
          <w:sz w:val="18"/>
          <w:szCs w:val="18"/>
        </w:rPr>
        <w:t>9 miljoen is neergeslagen</w:t>
      </w:r>
      <w:r w:rsidRPr="00191A04">
        <w:rPr>
          <w:rFonts w:cs="Lohit Hindi"/>
          <w:i/>
          <w:iCs/>
          <w:sz w:val="18"/>
          <w:szCs w:val="18"/>
        </w:rPr>
        <w:t>.</w:t>
      </w:r>
    </w:p>
    <w:p w:rsidR="00AD0F7D" w:rsidP="00AD0F7D" w:rsidRDefault="00AD0F7D" w14:paraId="6B7863FD" w14:textId="77777777">
      <w:pPr>
        <w:pStyle w:val="Default"/>
        <w:rPr>
          <w:rFonts w:cs="Lohit Hindi"/>
          <w:sz w:val="18"/>
          <w:szCs w:val="18"/>
        </w:rPr>
      </w:pPr>
    </w:p>
    <w:p w:rsidR="00DC146E" w:rsidP="00AD0F7D" w:rsidRDefault="006E0D23" w14:paraId="0A4C0BD3" w14:textId="77777777">
      <w:pPr>
        <w:pStyle w:val="Default"/>
        <w:rPr>
          <w:rFonts w:cs="Lohit Hindi"/>
          <w:color w:val="auto"/>
          <w:sz w:val="18"/>
          <w:szCs w:val="18"/>
        </w:rPr>
      </w:pPr>
      <w:r w:rsidRPr="00191A04">
        <w:rPr>
          <w:rFonts w:cs="Lohit Hindi"/>
          <w:color w:val="auto"/>
          <w:sz w:val="18"/>
          <w:szCs w:val="18"/>
        </w:rPr>
        <w:t>De taakstelling op externe inhuur, oplopend tot € 9 mln., is neergeslagen bij de Belastingdienst (</w:t>
      </w:r>
      <w:r w:rsidRPr="00191A04">
        <w:rPr>
          <w:color w:val="auto"/>
          <w:sz w:val="18"/>
          <w:szCs w:val="18"/>
        </w:rPr>
        <w:t xml:space="preserve">€ </w:t>
      </w:r>
      <w:r w:rsidRPr="00191A04" w:rsidR="006509D0">
        <w:rPr>
          <w:color w:val="auto"/>
          <w:sz w:val="18"/>
          <w:szCs w:val="18"/>
        </w:rPr>
        <w:t>8,6 mln</w:t>
      </w:r>
      <w:r w:rsidRPr="00191A04">
        <w:rPr>
          <w:color w:val="auto"/>
          <w:sz w:val="18"/>
          <w:szCs w:val="18"/>
        </w:rPr>
        <w:t>.).</w:t>
      </w:r>
      <w:r w:rsidRPr="00191A04">
        <w:rPr>
          <w:rFonts w:cs="Lohit Hindi"/>
          <w:color w:val="auto"/>
          <w:sz w:val="18"/>
          <w:szCs w:val="18"/>
        </w:rPr>
        <w:t>, Douane (</w:t>
      </w:r>
      <w:r w:rsidRPr="00191A04">
        <w:rPr>
          <w:color w:val="auto"/>
          <w:sz w:val="18"/>
          <w:szCs w:val="18"/>
        </w:rPr>
        <w:t xml:space="preserve">€ </w:t>
      </w:r>
      <w:r w:rsidRPr="00191A04" w:rsidR="006509D0">
        <w:rPr>
          <w:color w:val="auto"/>
          <w:sz w:val="18"/>
          <w:szCs w:val="18"/>
        </w:rPr>
        <w:t>0,1</w:t>
      </w:r>
      <w:r w:rsidRPr="00191A04">
        <w:rPr>
          <w:color w:val="auto"/>
          <w:sz w:val="18"/>
          <w:szCs w:val="18"/>
        </w:rPr>
        <w:t xml:space="preserve"> mln.)</w:t>
      </w:r>
      <w:r w:rsidRPr="00191A04">
        <w:rPr>
          <w:rFonts w:cs="Lohit Hindi"/>
          <w:color w:val="auto"/>
          <w:sz w:val="18"/>
          <w:szCs w:val="18"/>
        </w:rPr>
        <w:t xml:space="preserve"> en Dienst Toeslagen (</w:t>
      </w:r>
      <w:r w:rsidRPr="00191A04">
        <w:rPr>
          <w:color w:val="auto"/>
          <w:sz w:val="18"/>
          <w:szCs w:val="18"/>
        </w:rPr>
        <w:t xml:space="preserve">€ </w:t>
      </w:r>
      <w:r w:rsidRPr="00191A04" w:rsidR="006509D0">
        <w:rPr>
          <w:color w:val="auto"/>
          <w:sz w:val="18"/>
          <w:szCs w:val="18"/>
        </w:rPr>
        <w:t xml:space="preserve">0,4 </w:t>
      </w:r>
      <w:r w:rsidRPr="00191A04">
        <w:rPr>
          <w:color w:val="auto"/>
          <w:sz w:val="18"/>
          <w:szCs w:val="18"/>
        </w:rPr>
        <w:t>mln.)</w:t>
      </w:r>
      <w:r w:rsidRPr="00191A04">
        <w:rPr>
          <w:rFonts w:cs="Lohit Hindi"/>
          <w:color w:val="auto"/>
          <w:sz w:val="18"/>
          <w:szCs w:val="18"/>
        </w:rPr>
        <w:t xml:space="preserve">, verdeeld op basis van structurele inhuurbudgetten van deze drie organisaties. </w:t>
      </w:r>
    </w:p>
    <w:p w:rsidR="006050C5" w:rsidP="00AD0F7D" w:rsidRDefault="006050C5" w14:paraId="5FEE5495" w14:textId="77777777">
      <w:pPr>
        <w:pStyle w:val="Default"/>
        <w:rPr>
          <w:rFonts w:cs="Lohit Hindi"/>
          <w:i/>
          <w:iCs/>
          <w:sz w:val="18"/>
          <w:szCs w:val="18"/>
        </w:rPr>
      </w:pPr>
    </w:p>
    <w:p w:rsidR="006050C5" w:rsidP="00AD0F7D" w:rsidRDefault="006050C5" w14:paraId="24F8C42B" w14:textId="77777777">
      <w:pPr>
        <w:pStyle w:val="Default"/>
        <w:rPr>
          <w:rFonts w:cs="Lohit Hindi"/>
          <w:i/>
          <w:iCs/>
          <w:sz w:val="18"/>
          <w:szCs w:val="18"/>
        </w:rPr>
      </w:pPr>
    </w:p>
    <w:p w:rsidRPr="00191A04" w:rsidR="00CB0116" w:rsidP="00AD0F7D" w:rsidRDefault="00AD0F7D" w14:paraId="67AEFBF2" w14:textId="552FC72C">
      <w:pPr>
        <w:pStyle w:val="Default"/>
        <w:rPr>
          <w:rFonts w:cs="Lohit Hindi"/>
          <w:i/>
          <w:iCs/>
          <w:sz w:val="18"/>
          <w:szCs w:val="18"/>
        </w:rPr>
      </w:pPr>
      <w:r w:rsidRPr="00191A04">
        <w:rPr>
          <w:rFonts w:cs="Lohit Hindi"/>
          <w:i/>
          <w:iCs/>
          <w:sz w:val="18"/>
          <w:szCs w:val="18"/>
        </w:rPr>
        <w:t xml:space="preserve">Ook wil de commissie weten </w:t>
      </w:r>
      <w:r w:rsidRPr="00191A04" w:rsidR="00CB0116">
        <w:rPr>
          <w:rFonts w:cs="Lohit Hindi"/>
          <w:i/>
          <w:iCs/>
          <w:sz w:val="18"/>
          <w:szCs w:val="18"/>
        </w:rPr>
        <w:t xml:space="preserve">of en in hoeverre de HLA-apparaatstaakstelling ook gedeeltelijk wordt </w:t>
      </w:r>
      <w:proofErr w:type="spellStart"/>
      <w:r w:rsidRPr="00191A04" w:rsidR="00CB0116">
        <w:rPr>
          <w:rFonts w:cs="Lohit Hindi"/>
          <w:i/>
          <w:iCs/>
          <w:sz w:val="18"/>
          <w:szCs w:val="18"/>
        </w:rPr>
        <w:t>doorverdeeld</w:t>
      </w:r>
      <w:proofErr w:type="spellEnd"/>
      <w:r w:rsidRPr="00191A04" w:rsidR="00CB0116">
        <w:rPr>
          <w:rFonts w:cs="Lohit Hindi"/>
          <w:i/>
          <w:iCs/>
          <w:sz w:val="18"/>
          <w:szCs w:val="18"/>
        </w:rPr>
        <w:t xml:space="preserve"> naar uitvoeringsorganisaties, zoals </w:t>
      </w:r>
      <w:proofErr w:type="spellStart"/>
      <w:r w:rsidRPr="00191A04" w:rsidR="00CB0116">
        <w:rPr>
          <w:rFonts w:cs="Lohit Hindi"/>
          <w:i/>
          <w:iCs/>
          <w:sz w:val="18"/>
          <w:szCs w:val="18"/>
        </w:rPr>
        <w:t>Rijksbreed</w:t>
      </w:r>
      <w:proofErr w:type="spellEnd"/>
      <w:r w:rsidRPr="00191A04" w:rsidR="00CB0116">
        <w:rPr>
          <w:rFonts w:cs="Lohit Hindi"/>
          <w:i/>
          <w:iCs/>
          <w:sz w:val="18"/>
          <w:szCs w:val="18"/>
        </w:rPr>
        <w:t xml:space="preserve"> afgesproken zou zijn</w:t>
      </w:r>
      <w:r w:rsidRPr="00191A04">
        <w:rPr>
          <w:rFonts w:cs="Lohit Hindi"/>
          <w:i/>
          <w:iCs/>
          <w:sz w:val="18"/>
          <w:szCs w:val="18"/>
        </w:rPr>
        <w:t>.</w:t>
      </w:r>
    </w:p>
    <w:bookmarkEnd w:id="2"/>
    <w:p w:rsidR="00052D2D" w:rsidP="00052D2D" w:rsidRDefault="00052D2D" w14:paraId="3F04584B" w14:textId="77777777">
      <w:pPr>
        <w:rPr>
          <w:rFonts w:cs="Arial"/>
          <w:color w:val="auto"/>
        </w:rPr>
      </w:pPr>
    </w:p>
    <w:p w:rsidRPr="00191A04" w:rsidR="001540D2" w:rsidP="006509D0" w:rsidRDefault="001540D2" w14:paraId="24BC05DF" w14:textId="77777777">
      <w:r w:rsidRPr="00191A04">
        <w:t xml:space="preserve">In het Regeerprogramma heeft het </w:t>
      </w:r>
      <w:r w:rsidRPr="00191A04" w:rsidR="0036144B">
        <w:t>k</w:t>
      </w:r>
      <w:r w:rsidRPr="00191A04">
        <w:t>abinet de HLA-taakstelling verder uitgewerkt. Het kabinet wil middels de taakstelling onnodige procedures afschaffen, de overhead terugdringen, regels vereenvoudigen en verminderen, en administratieve verplichtingen voor burgers, ondernemers en uitvoeringsorganisaties terugbrengen. Het</w:t>
      </w:r>
      <w:r w:rsidRPr="00191A04" w:rsidR="0036144B">
        <w:t xml:space="preserve"> kabinet kijkt hierbij primair naar de beleidsdepartementen, maar sluit besparingen bij uitvoeringsorganisaties niet uit. Ook bij uitvoeringsorganisaties kan er immers sprake zijn van overhead en/of onnodige procedures. De specifieke keuzes waar hoeveel bespaard wordt is aan individuele bewindslieden. Zij leggen in hun eigen begrotingen en jaarverslagen verantwoording af aan de Tweede Kamer.</w:t>
      </w:r>
    </w:p>
    <w:p w:rsidRPr="00191A04" w:rsidR="0036144B" w:rsidP="006509D0" w:rsidRDefault="0036144B" w14:paraId="5C3A0092" w14:textId="77777777"/>
    <w:p w:rsidRPr="00191A04" w:rsidR="0036144B" w:rsidP="006509D0" w:rsidRDefault="0036144B" w14:paraId="3834C299" w14:textId="77777777">
      <w:r w:rsidRPr="00191A04">
        <w:t>Voor het ministerie van Financiën zelf zijn er in de Ontwerpbegroting 2025 reeds keuzes gemaakt voor de invulling van de taakstelling in 2025. Van de €15,6 mln. taakstelling is €11,9 mln. terecht gekomen bij het beleidsdepartement, en</w:t>
      </w:r>
      <w:r w:rsidR="00A7758B">
        <w:t xml:space="preserve"> </w:t>
      </w:r>
      <w:r w:rsidRPr="00A7758B" w:rsidR="00A7758B">
        <w:rPr>
          <w:color w:val="auto"/>
        </w:rPr>
        <w:t xml:space="preserve">door een generieke efficiency korting van 0,1% komt </w:t>
      </w:r>
      <w:r w:rsidRPr="00191A04">
        <w:t xml:space="preserve">€3,7 mln. bij de uitvoeringsorganisaties Belastingdienst, Toeslagen en Douane. </w:t>
      </w:r>
    </w:p>
    <w:p w:rsidRPr="00191A04" w:rsidR="006E0D23" w:rsidP="006509D0" w:rsidRDefault="006E0D23" w14:paraId="5B1A2E17" w14:textId="77777777">
      <w:pPr>
        <w:rPr>
          <w:lang w:eastAsia="en-US"/>
        </w:rPr>
      </w:pPr>
      <w:r w:rsidRPr="00191A04">
        <w:t xml:space="preserve">De opties voor (structurele) besparingen voor 2026 en verder worden op dit moment Financiën-breed in kaart gebracht. Komend voorjaar zal over de invulling van de taakstelling worden besloten. Op dit moment kan nog niet aangegeven worden hoe groot de bijdrage van </w:t>
      </w:r>
      <w:r w:rsidRPr="00191A04" w:rsidR="006509D0">
        <w:t xml:space="preserve">de </w:t>
      </w:r>
      <w:r w:rsidRPr="00191A04" w:rsidR="00976BB8">
        <w:t xml:space="preserve">uitvoeringsorganisaties </w:t>
      </w:r>
      <w:r w:rsidRPr="00191A04">
        <w:t xml:space="preserve">gaat zijn. </w:t>
      </w:r>
    </w:p>
    <w:p w:rsidR="00220E9E" w:rsidP="00220E9E" w:rsidRDefault="00220E9E" w14:paraId="1666FF46" w14:textId="77777777">
      <w:pPr>
        <w:pStyle w:val="Lijstalinea"/>
        <w:ind w:left="502"/>
        <w:rPr>
          <w:b/>
        </w:rPr>
      </w:pPr>
    </w:p>
    <w:p w:rsidRPr="00220E9E" w:rsidR="00EC5B47" w:rsidP="00220E9E" w:rsidRDefault="00EC5B47" w14:paraId="085BEEE2" w14:textId="77777777">
      <w:pPr>
        <w:pStyle w:val="Lijstalinea"/>
        <w:ind w:left="502"/>
        <w:rPr>
          <w:b/>
        </w:rPr>
      </w:pPr>
    </w:p>
    <w:bookmarkEnd w:id="3"/>
    <w:p w:rsidRPr="00D7602B" w:rsidR="00052D2D" w:rsidP="00191A04" w:rsidRDefault="00CB0116" w14:paraId="49E80E65" w14:textId="77777777">
      <w:pPr>
        <w:pStyle w:val="Lijstalinea"/>
        <w:numPr>
          <w:ilvl w:val="0"/>
          <w:numId w:val="7"/>
        </w:numPr>
        <w:spacing w:line="240" w:lineRule="atLeast"/>
        <w:jc w:val="left"/>
        <w:rPr>
          <w:b/>
        </w:rPr>
      </w:pPr>
      <w:r w:rsidRPr="00191A04">
        <w:rPr>
          <w:rFonts w:ascii="Verdana" w:hAnsi="Verdana"/>
          <w:b/>
          <w:sz w:val="18"/>
          <w:szCs w:val="18"/>
        </w:rPr>
        <w:t>Doelstelling en prestatie-indicatoren</w:t>
      </w:r>
    </w:p>
    <w:p w:rsidR="00052D2D" w:rsidP="00052D2D" w:rsidRDefault="00052D2D" w14:paraId="667D1EAB" w14:textId="77777777">
      <w:pPr>
        <w:autoSpaceDE w:val="0"/>
        <w:rPr>
          <w:rFonts w:cstheme="minorHAnsi"/>
          <w:color w:val="auto"/>
          <w:lang w:eastAsia="en-US"/>
        </w:rPr>
      </w:pPr>
    </w:p>
    <w:p w:rsidRPr="00191A04" w:rsidR="00052D2D" w:rsidP="00052D2D" w:rsidRDefault="00CB0116" w14:paraId="690E6820" w14:textId="77777777">
      <w:pPr>
        <w:rPr>
          <w:iCs/>
          <w:color w:val="auto"/>
          <w:u w:val="single"/>
        </w:rPr>
      </w:pPr>
      <w:r w:rsidRPr="00191A04">
        <w:rPr>
          <w:iCs/>
          <w:color w:val="auto"/>
          <w:u w:val="single"/>
        </w:rPr>
        <w:t>Prestatie-indicatoren Belastingdienst</w:t>
      </w:r>
    </w:p>
    <w:p w:rsidR="00AD0F7D" w:rsidP="00052D2D" w:rsidRDefault="00AD0F7D" w14:paraId="68BD83F1" w14:textId="77777777">
      <w:pPr>
        <w:rPr>
          <w:i/>
          <w:color w:val="auto"/>
        </w:rPr>
      </w:pPr>
    </w:p>
    <w:p w:rsidRPr="00191A04" w:rsidR="00CB0116" w:rsidP="00AD0F7D" w:rsidRDefault="00AD0F7D" w14:paraId="497B991B" w14:textId="77777777">
      <w:pPr>
        <w:rPr>
          <w:i/>
        </w:rPr>
      </w:pPr>
      <w:r w:rsidRPr="00191A04">
        <w:rPr>
          <w:i/>
          <w:color w:val="auto"/>
        </w:rPr>
        <w:t xml:space="preserve">De commissie verneemt graag </w:t>
      </w:r>
      <w:r w:rsidRPr="00191A04" w:rsidR="00CB0116">
        <w:rPr>
          <w:i/>
        </w:rPr>
        <w:t>welke twee prestatie-indicatoren van ‘Effectief informeren’ door de Belastingdienst zijn vervangen door welke nieuwe prestatie-indicator (Tabel 18, p.77)</w:t>
      </w:r>
      <w:r w:rsidRPr="00191A04">
        <w:rPr>
          <w:i/>
        </w:rPr>
        <w:t>.</w:t>
      </w:r>
    </w:p>
    <w:p w:rsidR="00AD0F7D" w:rsidP="00AD0F7D" w:rsidRDefault="00AD0F7D" w14:paraId="25AD7182" w14:textId="77777777">
      <w:pPr>
        <w:pStyle w:val="Default"/>
        <w:spacing w:after="30"/>
        <w:rPr>
          <w:iCs/>
          <w:sz w:val="18"/>
          <w:szCs w:val="18"/>
        </w:rPr>
      </w:pPr>
    </w:p>
    <w:p w:rsidRPr="00191A04" w:rsidR="00291E2C" w:rsidP="00291E2C" w:rsidRDefault="00291E2C" w14:paraId="09E853C2" w14:textId="77777777">
      <w:pPr>
        <w:pStyle w:val="Default"/>
        <w:spacing w:after="30"/>
        <w:rPr>
          <w:sz w:val="18"/>
          <w:szCs w:val="18"/>
        </w:rPr>
      </w:pPr>
      <w:r w:rsidRPr="00191A04">
        <w:rPr>
          <w:sz w:val="18"/>
          <w:szCs w:val="18"/>
        </w:rPr>
        <w:t>De indicator ‘Klanttevredenheid informatie op de website’ vervangt de prestatie-indicatoren ‘klanttevredenheid website’ en ‘klantontevredenheid website’.</w:t>
      </w:r>
    </w:p>
    <w:p w:rsidR="007F4369" w:rsidP="00AD0F7D" w:rsidRDefault="007F4369" w14:paraId="30E1F08D" w14:textId="77777777">
      <w:pPr>
        <w:pStyle w:val="Default"/>
        <w:spacing w:after="30"/>
        <w:rPr>
          <w:iCs/>
          <w:sz w:val="18"/>
          <w:szCs w:val="18"/>
        </w:rPr>
      </w:pPr>
    </w:p>
    <w:p w:rsidRPr="00191A04" w:rsidR="00CB0116" w:rsidP="00AD0F7D" w:rsidRDefault="00AD0F7D" w14:paraId="66D6181A" w14:textId="77777777">
      <w:pPr>
        <w:pStyle w:val="Default"/>
        <w:spacing w:after="30"/>
        <w:rPr>
          <w:i/>
          <w:sz w:val="18"/>
          <w:szCs w:val="18"/>
        </w:rPr>
      </w:pPr>
      <w:r w:rsidRPr="00191A04">
        <w:rPr>
          <w:i/>
          <w:sz w:val="18"/>
          <w:szCs w:val="18"/>
        </w:rPr>
        <w:t xml:space="preserve">Daarnaast vraagt de commissie </w:t>
      </w:r>
      <w:r w:rsidRPr="00191A04" w:rsidR="00CB0116">
        <w:rPr>
          <w:i/>
          <w:sz w:val="18"/>
          <w:szCs w:val="18"/>
        </w:rPr>
        <w:t>of en wanneer een nulmeting wordt gedaan voor de indicator die is toegevoegd om de prestatie van de Belastingdienst ten aanzien van startende ondernemers te meten op het tussendoel ‘Gemak’ (p.79)</w:t>
      </w:r>
      <w:r w:rsidRPr="00191A04">
        <w:rPr>
          <w:i/>
          <w:sz w:val="18"/>
          <w:szCs w:val="18"/>
        </w:rPr>
        <w:t>.</w:t>
      </w:r>
    </w:p>
    <w:p w:rsidRPr="00591862" w:rsidR="00AD0F7D" w:rsidP="00AD0F7D" w:rsidRDefault="00AD0F7D" w14:paraId="3E679734" w14:textId="77777777">
      <w:pPr>
        <w:pStyle w:val="Default"/>
        <w:spacing w:after="30"/>
        <w:rPr>
          <w:i/>
          <w:sz w:val="18"/>
          <w:szCs w:val="18"/>
        </w:rPr>
      </w:pPr>
    </w:p>
    <w:p w:rsidRPr="00191A04" w:rsidR="00291E2C" w:rsidP="00291E2C" w:rsidRDefault="00291E2C" w14:paraId="2720861A" w14:textId="77777777">
      <w:pPr>
        <w:pStyle w:val="Default"/>
        <w:rPr>
          <w:iCs/>
          <w:sz w:val="18"/>
          <w:szCs w:val="18"/>
        </w:rPr>
      </w:pPr>
      <w:r w:rsidRPr="00191A04">
        <w:rPr>
          <w:iCs/>
          <w:sz w:val="18"/>
          <w:szCs w:val="18"/>
        </w:rPr>
        <w:t>De Belastingdienst wil startende ondernemers gemak bieden en hen helpen met informatievoorziening op maat. De activiteiten vanuit Goede Start Belastingdienst voorzien in deze behoefte. Deze dienstverlenende en preventieve benadering sluit aan bij de Uitvoerings- en Handhavingsstrategie van de Belastingdienst. Omdat het hier een nieuwe indicator betreft, is er voor 2025 geen streefwaarde aan verbonden. Op basis van de resultaten zullen de meetmethodiek en de werking worden geëvalueerd en zo nodig verbeterd. Met deze stappen zal er in 2025 een nulmeting worden gedaan ten behoeve van de volgende begroting.</w:t>
      </w:r>
    </w:p>
    <w:p w:rsidR="007F4369" w:rsidP="00AD0F7D" w:rsidRDefault="007F4369" w14:paraId="25C54F9D" w14:textId="77777777">
      <w:pPr>
        <w:pStyle w:val="Default"/>
        <w:rPr>
          <w:iCs/>
          <w:sz w:val="18"/>
          <w:szCs w:val="18"/>
        </w:rPr>
      </w:pPr>
    </w:p>
    <w:p w:rsidR="006050C5" w:rsidP="00AD0F7D" w:rsidRDefault="00AD0F7D" w14:paraId="3B0E68B4" w14:textId="79AC66FA">
      <w:pPr>
        <w:pStyle w:val="Default"/>
        <w:rPr>
          <w:i/>
          <w:sz w:val="18"/>
          <w:szCs w:val="18"/>
        </w:rPr>
      </w:pPr>
      <w:r w:rsidRPr="00191A04">
        <w:rPr>
          <w:i/>
          <w:sz w:val="18"/>
          <w:szCs w:val="18"/>
        </w:rPr>
        <w:t xml:space="preserve">Ook vraagt de commissie </w:t>
      </w:r>
      <w:r w:rsidRPr="00191A04" w:rsidR="00CB0116">
        <w:rPr>
          <w:i/>
          <w:sz w:val="18"/>
          <w:szCs w:val="18"/>
        </w:rPr>
        <w:t xml:space="preserve">waarom </w:t>
      </w:r>
      <w:r w:rsidRPr="00191A04">
        <w:rPr>
          <w:i/>
          <w:sz w:val="18"/>
          <w:szCs w:val="18"/>
        </w:rPr>
        <w:t>de minister</w:t>
      </w:r>
      <w:r w:rsidRPr="00191A04" w:rsidR="00CB0116">
        <w:rPr>
          <w:i/>
          <w:sz w:val="18"/>
          <w:szCs w:val="18"/>
        </w:rPr>
        <w:t xml:space="preserve"> ervoor kiest om de streefwaarde bij de prestatie-indicator ‘Betalingsachterstand’ van de Belastingdienst bij te stellen,</w:t>
      </w:r>
    </w:p>
    <w:p w:rsidRPr="00191A04" w:rsidR="00CB0116" w:rsidP="00AD0F7D" w:rsidRDefault="00CB0116" w14:paraId="1D8C0E68" w14:textId="32D3929D">
      <w:pPr>
        <w:pStyle w:val="Default"/>
        <w:rPr>
          <w:i/>
          <w:sz w:val="18"/>
          <w:szCs w:val="18"/>
        </w:rPr>
      </w:pPr>
      <w:r w:rsidRPr="00191A04">
        <w:rPr>
          <w:i/>
          <w:sz w:val="18"/>
          <w:szCs w:val="18"/>
        </w:rPr>
        <w:lastRenderedPageBreak/>
        <w:t xml:space="preserve">in plaats van in te zetten op oplossingsrichtingen met als doel de streefwaarde in de toekomst wel weer te halen? </w:t>
      </w:r>
    </w:p>
    <w:p w:rsidR="00DB03E7" w:rsidP="00DB03E7" w:rsidRDefault="00291E2C" w14:paraId="2111737D" w14:textId="77777777">
      <w:pPr>
        <w:pStyle w:val="Default"/>
        <w:rPr>
          <w:sz w:val="18"/>
          <w:szCs w:val="18"/>
        </w:rPr>
      </w:pPr>
      <w:r w:rsidRPr="00191A04">
        <w:rPr>
          <w:sz w:val="18"/>
          <w:szCs w:val="18"/>
        </w:rPr>
        <w:t>De Belastingdienst neemt verschillende maatregelen om uiteindelijk de score op de prestatie-indicator 'betalingsachterstand' te verbeteren, onder andere het vergroten van personele capaciteit en efficiënter werken. Deze en andere maatregelen zijn toegelicht in de 'Voortgangsbrief moties en toezeggingen Belastingdienst oktober 2024' (</w:t>
      </w:r>
      <w:hyperlink w:history="1" r:id="rId7">
        <w:r w:rsidRPr="00191A04">
          <w:rPr>
            <w:rStyle w:val="Hyperlink"/>
            <w:sz w:val="18"/>
            <w:szCs w:val="18"/>
          </w:rPr>
          <w:t>Belastingdienst | Tweede Kamer der Staten-Generaal</w:t>
        </w:r>
      </w:hyperlink>
      <w:r w:rsidRPr="00191A04">
        <w:rPr>
          <w:sz w:val="18"/>
          <w:szCs w:val="18"/>
        </w:rPr>
        <w:t>). Naast de maatregelen kiest de Belastingdienst expliciet ook voor het aanpassen van de streefwaarde van de prestatie-indicator, omdat de nieuwe streefwaarde een meer realistische norm stelt gezien de veranderde situatie.</w:t>
      </w:r>
      <w:r w:rsidR="00DB03E7">
        <w:rPr>
          <w:sz w:val="18"/>
          <w:szCs w:val="18"/>
        </w:rPr>
        <w:t xml:space="preserve"> Dit laatste betreft bijvoorbeeld</w:t>
      </w:r>
      <w:r w:rsidRPr="00C57364" w:rsidR="00DB03E7">
        <w:rPr>
          <w:sz w:val="18"/>
          <w:szCs w:val="18"/>
        </w:rPr>
        <w:t xml:space="preserve"> intrekkingen van coronabetalingsregelingen waardoor vorderingen direct terugvallen in betalingsachterstanden</w:t>
      </w:r>
      <w:r w:rsidR="00DB03E7">
        <w:rPr>
          <w:sz w:val="18"/>
          <w:szCs w:val="18"/>
        </w:rPr>
        <w:t xml:space="preserve"> en</w:t>
      </w:r>
      <w:r w:rsidRPr="00C57364" w:rsidR="00DB03E7">
        <w:rPr>
          <w:sz w:val="18"/>
          <w:szCs w:val="18"/>
        </w:rPr>
        <w:t xml:space="preserve"> het opheffen van eerdere pauzeringen</w:t>
      </w:r>
      <w:r w:rsidR="00DB03E7">
        <w:rPr>
          <w:sz w:val="18"/>
          <w:szCs w:val="18"/>
        </w:rPr>
        <w:t>.</w:t>
      </w:r>
    </w:p>
    <w:p w:rsidRPr="00191A04" w:rsidR="00DB03E7" w:rsidP="00DB03E7" w:rsidRDefault="00DB03E7" w14:paraId="358855BB" w14:textId="77777777">
      <w:pPr>
        <w:pStyle w:val="Default"/>
        <w:rPr>
          <w:sz w:val="18"/>
          <w:szCs w:val="18"/>
        </w:rPr>
      </w:pPr>
    </w:p>
    <w:p w:rsidRPr="00191A04" w:rsidR="00CB0116" w:rsidP="00CB0116" w:rsidRDefault="00CB0116" w14:paraId="4A4DC02C" w14:textId="77777777">
      <w:pPr>
        <w:pStyle w:val="Default"/>
        <w:rPr>
          <w:sz w:val="18"/>
          <w:szCs w:val="18"/>
          <w:u w:val="single"/>
        </w:rPr>
      </w:pPr>
      <w:r w:rsidRPr="00191A04">
        <w:rPr>
          <w:sz w:val="18"/>
          <w:szCs w:val="18"/>
          <w:u w:val="single"/>
        </w:rPr>
        <w:t>Rijksbegrotingsvoorschriften</w:t>
      </w:r>
    </w:p>
    <w:p w:rsidR="00AD0F7D" w:rsidP="00CB0116" w:rsidRDefault="00AD0F7D" w14:paraId="23D23EA3" w14:textId="77777777">
      <w:pPr>
        <w:pStyle w:val="Default"/>
        <w:rPr>
          <w:i/>
          <w:iCs/>
          <w:sz w:val="18"/>
          <w:szCs w:val="18"/>
        </w:rPr>
      </w:pPr>
    </w:p>
    <w:p w:rsidRPr="00191A04" w:rsidR="00AD0F7D" w:rsidP="00AD0F7D" w:rsidRDefault="00AD0F7D" w14:paraId="53B9C735" w14:textId="77777777">
      <w:pPr>
        <w:pStyle w:val="Default"/>
        <w:rPr>
          <w:i/>
          <w:iCs/>
          <w:sz w:val="18"/>
          <w:szCs w:val="18"/>
        </w:rPr>
      </w:pPr>
      <w:r w:rsidRPr="00191A04">
        <w:rPr>
          <w:i/>
          <w:iCs/>
          <w:sz w:val="18"/>
          <w:szCs w:val="18"/>
        </w:rPr>
        <w:t>De commissie verneemt graag of de minister bereid is om in de Rijksbegrotingsvoorschriften in aanvulling op de Groeiparagraaf een ‘krim</w:t>
      </w:r>
      <w:r w:rsidR="00E525F4">
        <w:rPr>
          <w:i/>
          <w:iCs/>
          <w:sz w:val="18"/>
          <w:szCs w:val="18"/>
        </w:rPr>
        <w:t>p</w:t>
      </w:r>
      <w:r w:rsidRPr="00191A04">
        <w:rPr>
          <w:i/>
          <w:iCs/>
          <w:sz w:val="18"/>
          <w:szCs w:val="18"/>
        </w:rPr>
        <w:t xml:space="preserve">paragraaf’ op te nemen waarin neerwaartse bijstellingen van ambitie worden vermeld. Zo nee, waarom niet? </w:t>
      </w:r>
    </w:p>
    <w:p w:rsidR="00AD0F7D" w:rsidP="00AD0F7D" w:rsidRDefault="00AD0F7D" w14:paraId="191C2DD9" w14:textId="77777777">
      <w:pPr>
        <w:pStyle w:val="Default"/>
        <w:rPr>
          <w:sz w:val="18"/>
          <w:szCs w:val="18"/>
        </w:rPr>
      </w:pPr>
    </w:p>
    <w:p w:rsidRPr="00191A04" w:rsidR="00CB0116" w:rsidP="00F97663" w:rsidRDefault="00291E2C" w14:paraId="69179F64" w14:textId="77777777">
      <w:pPr>
        <w:autoSpaceDE w:val="0"/>
        <w:adjustRightInd w:val="0"/>
        <w:spacing w:line="240" w:lineRule="auto"/>
      </w:pPr>
      <w:r w:rsidRPr="00191A04">
        <w:rPr>
          <w:rFonts w:cs="UniversLTStd"/>
        </w:rPr>
        <w:t xml:space="preserve">De Groeiparagraaf uit de Leeswijzer in de begrotingen en jaarverslagen heeft betrekking op de belangrijkste verbeteringen in de informatievoorziening aan het parlement in die begrotingsstukken. Ik heb geen voornemen om een ‘krimpparagraaf’ met verminderde ambities in de informatievoorziening aan het parlement op te nemen. </w:t>
      </w:r>
      <w:r w:rsidR="00CF4268">
        <w:rPr>
          <w:rFonts w:cs="UniversLTStd"/>
        </w:rPr>
        <w:t>In de Agenda toekomstbestendig begroten en verantwoorden</w:t>
      </w:r>
      <w:r w:rsidR="00B460E7">
        <w:rPr>
          <w:rStyle w:val="Voetnootmarkering"/>
          <w:rFonts w:cs="UniversLTStd"/>
        </w:rPr>
        <w:footnoteReference w:id="1"/>
      </w:r>
      <w:r w:rsidR="00CF4268">
        <w:rPr>
          <w:rFonts w:cs="UniversLTStd"/>
        </w:rPr>
        <w:t xml:space="preserve"> </w:t>
      </w:r>
      <w:r w:rsidR="00CF4268">
        <w:t xml:space="preserve">is verwoord welke verbeteringen ik beoog.   </w:t>
      </w:r>
    </w:p>
    <w:p w:rsidRPr="005376D5" w:rsidR="00CB0116" w:rsidP="00CB0116" w:rsidRDefault="00CB0116" w14:paraId="4A4ABD0F" w14:textId="77777777">
      <w:pPr>
        <w:pStyle w:val="Default"/>
        <w:rPr>
          <w:sz w:val="18"/>
          <w:szCs w:val="18"/>
        </w:rPr>
      </w:pPr>
    </w:p>
    <w:p w:rsidRPr="00191A04" w:rsidR="00CB0116" w:rsidP="00AD0F7D" w:rsidRDefault="00AD0F7D" w14:paraId="3043BA59" w14:textId="77777777">
      <w:pPr>
        <w:pStyle w:val="Default"/>
        <w:spacing w:after="30"/>
        <w:rPr>
          <w:sz w:val="18"/>
          <w:szCs w:val="18"/>
          <w:u w:val="single"/>
        </w:rPr>
      </w:pPr>
      <w:r w:rsidRPr="00191A04">
        <w:rPr>
          <w:sz w:val="18"/>
          <w:szCs w:val="18"/>
          <w:u w:val="single"/>
        </w:rPr>
        <w:t>Dienst Toeslagen</w:t>
      </w:r>
    </w:p>
    <w:p w:rsidR="00AD0F7D" w:rsidP="00AD0F7D" w:rsidRDefault="00AD0F7D" w14:paraId="3150B044" w14:textId="77777777">
      <w:pPr>
        <w:pStyle w:val="Default"/>
      </w:pPr>
    </w:p>
    <w:p w:rsidRPr="00191A04" w:rsidR="00AD0F7D" w:rsidP="00AD0F7D" w:rsidRDefault="00AD0F7D" w14:paraId="7F86E290" w14:textId="77777777">
      <w:pPr>
        <w:pStyle w:val="Default"/>
        <w:rPr>
          <w:i/>
          <w:iCs/>
          <w:sz w:val="18"/>
          <w:szCs w:val="18"/>
        </w:rPr>
      </w:pPr>
      <w:r w:rsidRPr="00191A04">
        <w:rPr>
          <w:i/>
          <w:iCs/>
          <w:sz w:val="18"/>
          <w:szCs w:val="18"/>
        </w:rPr>
        <w:t>De commissie verneemt graag of het klopt dat Dienst Toeslagen accepteert dat tot 22% van de toeslagenontvangers noch tevreden, noch ontevreden is (Tabel 51, p.126) en dat tot 37% van de toeslagenontvangers het eens, noch oneens is met stellingen over het gestand doen door Dienst Toeslagen van zogenaamde burgerbeloften (Tabel 51, p.126).</w:t>
      </w:r>
    </w:p>
    <w:p w:rsidRPr="0085241C" w:rsidR="00AD0F7D" w:rsidP="00AD0F7D" w:rsidRDefault="00AD0F7D" w14:paraId="74AEA18D" w14:textId="77777777">
      <w:pPr>
        <w:pStyle w:val="Default"/>
        <w:rPr>
          <w:color w:val="000000" w:themeColor="text1"/>
          <w:sz w:val="18"/>
          <w:szCs w:val="18"/>
        </w:rPr>
      </w:pPr>
    </w:p>
    <w:p w:rsidRPr="00191A04" w:rsidR="0085241C" w:rsidP="0085241C" w:rsidRDefault="0085241C" w14:paraId="6A788625" w14:textId="77777777">
      <w:pPr>
        <w:rPr>
          <w:color w:val="000000" w:themeColor="text1"/>
        </w:rPr>
      </w:pPr>
      <w:r w:rsidRPr="00191A04">
        <w:rPr>
          <w:color w:val="000000" w:themeColor="text1"/>
        </w:rPr>
        <w:t xml:space="preserve">Onderstaand antwoord betreft uitsluitend </w:t>
      </w:r>
      <w:r w:rsidR="00E525F4">
        <w:rPr>
          <w:color w:val="000000" w:themeColor="text1"/>
        </w:rPr>
        <w:t>Toeslagen – Regulier; de cijfers hebben geen betrekking op Toeslagen – Herstel.</w:t>
      </w:r>
      <w:r w:rsidRPr="00191A04">
        <w:rPr>
          <w:color w:val="000000" w:themeColor="text1"/>
        </w:rPr>
        <w:t xml:space="preserve"> </w:t>
      </w:r>
    </w:p>
    <w:p w:rsidRPr="0085241C" w:rsidR="00F97663" w:rsidP="0085241C" w:rsidRDefault="00F97663" w14:paraId="2CBF373F" w14:textId="77777777">
      <w:pPr>
        <w:rPr>
          <w:i/>
          <w:iCs/>
          <w:color w:val="000000" w:themeColor="text1"/>
        </w:rPr>
      </w:pPr>
    </w:p>
    <w:p w:rsidRPr="00191A04" w:rsidR="00CB0116" w:rsidP="00052D2D" w:rsidRDefault="0085241C" w14:paraId="3EB744C1" w14:textId="77777777">
      <w:pPr>
        <w:rPr>
          <w:color w:val="000000" w:themeColor="text1"/>
        </w:rPr>
      </w:pPr>
      <w:r w:rsidRPr="00191A04">
        <w:rPr>
          <w:color w:val="000000" w:themeColor="text1"/>
        </w:rPr>
        <w:t xml:space="preserve">Dienst Toeslagen heeft ervoor gekozen om de groepen ‘neutraal’ en/of ‘weet niet’ apart inzichtelijk te maken.  Dit omdat deze groepen geen uitgesproken mening weergeven, mogelijk vanwege onvoldoende ervaringen of (recent) contact, of omdat men de ervaring als neutraal (niet positief of negatief) beoordeelt. Voorheen werden deze percentages meegeteld bij tevredenheid/ontevredenheid en eens/oneens. Om een zuiverder beeld te geven van de (on)tevredenheid over Dienst Toeslagen is in de ontwerpbegroting deze </w:t>
      </w:r>
      <w:proofErr w:type="spellStart"/>
      <w:r w:rsidRPr="00191A04">
        <w:rPr>
          <w:color w:val="000000" w:themeColor="text1"/>
        </w:rPr>
        <w:t>kpi</w:t>
      </w:r>
      <w:proofErr w:type="spellEnd"/>
      <w:r w:rsidRPr="00191A04">
        <w:rPr>
          <w:color w:val="000000" w:themeColor="text1"/>
        </w:rPr>
        <w:t xml:space="preserve"> aangepast en accepteert Dienst Toeslagen daarmee het percentage.</w:t>
      </w:r>
    </w:p>
    <w:p w:rsidRPr="0085241C" w:rsidR="00AD0F7D" w:rsidRDefault="00AD0F7D" w14:paraId="17D563ED" w14:textId="77777777">
      <w:pPr>
        <w:spacing w:line="240" w:lineRule="auto"/>
        <w:rPr>
          <w:rFonts w:eastAsia="Times New Roman" w:cs="Times New Roman"/>
          <w:b/>
          <w:color w:val="000000" w:themeColor="text1"/>
        </w:rPr>
      </w:pPr>
      <w:r w:rsidRPr="0085241C">
        <w:rPr>
          <w:b/>
          <w:color w:val="000000" w:themeColor="text1"/>
        </w:rPr>
        <w:br w:type="page"/>
      </w:r>
    </w:p>
    <w:p w:rsidRPr="00191A04" w:rsidR="00AD0F7D" w:rsidP="00AD0F7D" w:rsidRDefault="00AD0F7D" w14:paraId="70673D55" w14:textId="77777777">
      <w:pPr>
        <w:pStyle w:val="Lijstalinea"/>
        <w:numPr>
          <w:ilvl w:val="0"/>
          <w:numId w:val="7"/>
        </w:numPr>
        <w:spacing w:line="240" w:lineRule="atLeast"/>
        <w:jc w:val="left"/>
        <w:rPr>
          <w:rFonts w:ascii="Verdana" w:hAnsi="Verdana"/>
          <w:b/>
          <w:sz w:val="18"/>
          <w:szCs w:val="18"/>
        </w:rPr>
      </w:pPr>
      <w:r w:rsidRPr="00191A04">
        <w:rPr>
          <w:rFonts w:ascii="Verdana" w:hAnsi="Verdana"/>
          <w:b/>
          <w:sz w:val="18"/>
          <w:szCs w:val="18"/>
        </w:rPr>
        <w:lastRenderedPageBreak/>
        <w:t>Strategische Evaluatie Agenda</w:t>
      </w:r>
    </w:p>
    <w:p w:rsidR="00052D2D" w:rsidP="00052D2D" w:rsidRDefault="00052D2D" w14:paraId="43A8D599" w14:textId="77777777">
      <w:pPr>
        <w:rPr>
          <w:iCs/>
          <w:color w:val="auto"/>
        </w:rPr>
      </w:pPr>
    </w:p>
    <w:p w:rsidRPr="00191A04" w:rsidR="0085241C" w:rsidP="00052D2D" w:rsidRDefault="0085241C" w14:paraId="3F1721D4" w14:textId="77777777">
      <w:pPr>
        <w:rPr>
          <w:iCs/>
          <w:color w:val="auto"/>
          <w:u w:val="single"/>
        </w:rPr>
      </w:pPr>
      <w:r w:rsidRPr="00191A04">
        <w:rPr>
          <w:iCs/>
          <w:color w:val="auto"/>
          <w:u w:val="single"/>
        </w:rPr>
        <w:t xml:space="preserve">Budgettair belang </w:t>
      </w:r>
    </w:p>
    <w:p w:rsidRPr="00AD0F7D" w:rsidR="0085241C" w:rsidP="00052D2D" w:rsidRDefault="0085241C" w14:paraId="75799449" w14:textId="77777777">
      <w:pPr>
        <w:rPr>
          <w:iCs/>
          <w:color w:val="auto"/>
        </w:rPr>
      </w:pPr>
    </w:p>
    <w:p w:rsidRPr="00191A04" w:rsidR="0085241C" w:rsidP="0085241C" w:rsidRDefault="0085241C" w14:paraId="543A9F4B" w14:textId="77777777">
      <w:pPr>
        <w:pStyle w:val="Default"/>
        <w:spacing w:after="30"/>
        <w:rPr>
          <w:i/>
          <w:iCs/>
          <w:sz w:val="18"/>
          <w:szCs w:val="18"/>
        </w:rPr>
      </w:pPr>
      <w:r w:rsidRPr="00191A04">
        <w:rPr>
          <w:i/>
          <w:iCs/>
          <w:sz w:val="18"/>
          <w:szCs w:val="18"/>
        </w:rPr>
        <w:t>De commissie verneemt graag of voor de afzonderlijke jaren 2024, 2025, 2026, 2027, 2028 en 2029 het budgettaire belang kan worden aangeven van het evaluatieonderzoek dat in die jaren wordt afgerond.</w:t>
      </w:r>
    </w:p>
    <w:p w:rsidR="0085241C" w:rsidP="0085241C" w:rsidRDefault="0085241C" w14:paraId="67FDD3F0" w14:textId="77777777">
      <w:pPr>
        <w:pStyle w:val="Default"/>
        <w:spacing w:after="30"/>
        <w:rPr>
          <w:sz w:val="18"/>
          <w:szCs w:val="18"/>
        </w:rPr>
      </w:pPr>
    </w:p>
    <w:p w:rsidRPr="00191A04" w:rsidR="0085241C" w:rsidP="0085241C" w:rsidRDefault="0085241C" w14:paraId="0FB89A46" w14:textId="77777777">
      <w:pPr>
        <w:pStyle w:val="Default"/>
        <w:spacing w:after="30"/>
        <w:rPr>
          <w:sz w:val="18"/>
          <w:szCs w:val="18"/>
        </w:rPr>
      </w:pPr>
      <w:r w:rsidRPr="00191A04">
        <w:rPr>
          <w:sz w:val="18"/>
          <w:szCs w:val="18"/>
        </w:rPr>
        <w:t>Alle beleidsartikelen op de begroting van het ministerie van Financiën staan op de Strategische Evaluatie Agenda (SEA) middels een koppeling aan beleidsthema’s. Beleidsthema’s worden op hun beurt gedekt door ten minste één periodieke rapportage elke 4-7 jaar, zodat tussen 2024 en 2030 alle begrotingsartikelen worden gedekt door evaluatieonderzoek. Conform de Regeling periodiek evaluatieonderzoek 2022 zijn alle belangrijke thema’s in termen van maatschappelijke en budgettaire relevantie vertegenwoordigd. De SEA-thema’s, periodieke rapportages en begrotingsartikelen zijn als volgt verbonden:</w:t>
      </w:r>
    </w:p>
    <w:p w:rsidR="0085241C" w:rsidP="0085241C" w:rsidRDefault="0085241C" w14:paraId="38031B1D" w14:textId="77777777">
      <w:pPr>
        <w:pStyle w:val="Default"/>
        <w:spacing w:after="30"/>
        <w:rPr>
          <w:sz w:val="18"/>
          <w:szCs w:val="18"/>
        </w:rPr>
      </w:pPr>
    </w:p>
    <w:tbl>
      <w:tblPr>
        <w:tblStyle w:val="Tabelraster"/>
        <w:tblW w:w="8500" w:type="dxa"/>
        <w:tblLayout w:type="fixed"/>
        <w:tblLook w:val="04A0" w:firstRow="1" w:lastRow="0" w:firstColumn="1" w:lastColumn="0" w:noHBand="0" w:noVBand="1"/>
      </w:tblPr>
      <w:tblGrid>
        <w:gridCol w:w="1838"/>
        <w:gridCol w:w="3260"/>
        <w:gridCol w:w="1134"/>
        <w:gridCol w:w="2268"/>
      </w:tblGrid>
      <w:tr w:rsidR="00B460E7" w:rsidTr="007A0875" w14:paraId="3E0A7784" w14:textId="77777777">
        <w:tc>
          <w:tcPr>
            <w:tcW w:w="1838" w:type="dxa"/>
          </w:tcPr>
          <w:p w:rsidRPr="00292966" w:rsidR="00B460E7" w:rsidP="00021A71" w:rsidRDefault="00B460E7" w14:paraId="6A33FD67" w14:textId="77777777">
            <w:pPr>
              <w:pStyle w:val="Default"/>
              <w:spacing w:after="30"/>
              <w:rPr>
                <w:b/>
                <w:bCs/>
                <w:sz w:val="16"/>
                <w:szCs w:val="16"/>
              </w:rPr>
            </w:pPr>
            <w:r w:rsidRPr="00292966">
              <w:rPr>
                <w:b/>
                <w:bCs/>
                <w:sz w:val="16"/>
                <w:szCs w:val="16"/>
              </w:rPr>
              <w:t>SEA-thema</w:t>
            </w:r>
          </w:p>
        </w:tc>
        <w:tc>
          <w:tcPr>
            <w:tcW w:w="3260" w:type="dxa"/>
          </w:tcPr>
          <w:p w:rsidRPr="000D6E65" w:rsidR="00B460E7" w:rsidP="00021A71" w:rsidRDefault="00B460E7" w14:paraId="678D3866" w14:textId="77777777">
            <w:pPr>
              <w:pStyle w:val="Default"/>
              <w:spacing w:after="30"/>
              <w:rPr>
                <w:b/>
                <w:bCs/>
                <w:sz w:val="16"/>
                <w:szCs w:val="16"/>
              </w:rPr>
            </w:pPr>
            <w:r w:rsidRPr="000D6E65">
              <w:rPr>
                <w:b/>
                <w:bCs/>
                <w:sz w:val="16"/>
                <w:szCs w:val="16"/>
              </w:rPr>
              <w:t>Periodieke Rapportage (Afrondingsjaar)</w:t>
            </w:r>
          </w:p>
        </w:tc>
        <w:tc>
          <w:tcPr>
            <w:tcW w:w="1134" w:type="dxa"/>
          </w:tcPr>
          <w:p w:rsidRPr="00292966" w:rsidR="00B460E7" w:rsidP="00021A71" w:rsidRDefault="00B460E7" w14:paraId="2FB9950C" w14:textId="77777777">
            <w:pPr>
              <w:pStyle w:val="Default"/>
              <w:spacing w:after="30"/>
              <w:rPr>
                <w:b/>
                <w:bCs/>
                <w:sz w:val="16"/>
                <w:szCs w:val="16"/>
              </w:rPr>
            </w:pPr>
            <w:proofErr w:type="spellStart"/>
            <w:r w:rsidRPr="00292966">
              <w:rPr>
                <w:b/>
                <w:bCs/>
                <w:sz w:val="16"/>
                <w:szCs w:val="16"/>
              </w:rPr>
              <w:t>Begrotin</w:t>
            </w:r>
            <w:r>
              <w:rPr>
                <w:b/>
                <w:bCs/>
                <w:sz w:val="16"/>
                <w:szCs w:val="16"/>
              </w:rPr>
              <w:t>-</w:t>
            </w:r>
            <w:r w:rsidRPr="00292966">
              <w:rPr>
                <w:b/>
                <w:bCs/>
                <w:sz w:val="16"/>
                <w:szCs w:val="16"/>
              </w:rPr>
              <w:t>gsartikel</w:t>
            </w:r>
            <w:proofErr w:type="spellEnd"/>
          </w:p>
        </w:tc>
        <w:tc>
          <w:tcPr>
            <w:tcW w:w="2268" w:type="dxa"/>
          </w:tcPr>
          <w:p w:rsidRPr="00292966" w:rsidR="00B460E7" w:rsidP="00021A71" w:rsidRDefault="00B460E7" w14:paraId="7D97A7BA" w14:textId="77777777">
            <w:pPr>
              <w:pStyle w:val="Default"/>
              <w:spacing w:after="30"/>
              <w:rPr>
                <w:b/>
                <w:bCs/>
                <w:sz w:val="16"/>
                <w:szCs w:val="16"/>
              </w:rPr>
            </w:pPr>
            <w:r>
              <w:rPr>
                <w:b/>
                <w:bCs/>
                <w:sz w:val="16"/>
                <w:szCs w:val="16"/>
              </w:rPr>
              <w:t>Begrote uitgaven</w:t>
            </w:r>
            <w:r w:rsidR="007A0875">
              <w:rPr>
                <w:b/>
                <w:bCs/>
                <w:sz w:val="16"/>
                <w:szCs w:val="16"/>
              </w:rPr>
              <w:t xml:space="preserve"> per artikel in 2025 </w:t>
            </w:r>
            <w:r>
              <w:rPr>
                <w:b/>
                <w:bCs/>
                <w:sz w:val="16"/>
                <w:szCs w:val="16"/>
              </w:rPr>
              <w:t>(</w:t>
            </w:r>
            <w:r w:rsidRPr="00524865" w:rsidR="00524865">
              <w:rPr>
                <w:b/>
                <w:bCs/>
                <w:sz w:val="16"/>
                <w:szCs w:val="16"/>
              </w:rPr>
              <w:t xml:space="preserve">bedragen x € 1 </w:t>
            </w:r>
            <w:proofErr w:type="spellStart"/>
            <w:r w:rsidRPr="00524865" w:rsidR="00524865">
              <w:rPr>
                <w:b/>
                <w:bCs/>
                <w:sz w:val="16"/>
                <w:szCs w:val="16"/>
              </w:rPr>
              <w:t>mln</w:t>
            </w:r>
            <w:proofErr w:type="spellEnd"/>
            <w:r w:rsidRPr="00524865" w:rsidR="00524865">
              <w:rPr>
                <w:b/>
                <w:bCs/>
                <w:sz w:val="16"/>
                <w:szCs w:val="16"/>
              </w:rPr>
              <w:t>)</w:t>
            </w:r>
            <w:r w:rsidR="007A0875">
              <w:rPr>
                <w:b/>
                <w:bCs/>
                <w:sz w:val="16"/>
                <w:szCs w:val="16"/>
              </w:rPr>
              <w:t xml:space="preserve"> </w:t>
            </w:r>
          </w:p>
        </w:tc>
      </w:tr>
      <w:tr w:rsidR="00B460E7" w:rsidTr="007A0875" w14:paraId="61CC8B23" w14:textId="77777777">
        <w:tc>
          <w:tcPr>
            <w:tcW w:w="1838" w:type="dxa"/>
          </w:tcPr>
          <w:p w:rsidRPr="00292966" w:rsidR="00B460E7" w:rsidP="00021A71" w:rsidRDefault="00B460E7" w14:paraId="3297E0FD" w14:textId="77777777">
            <w:pPr>
              <w:pStyle w:val="Default"/>
              <w:spacing w:after="30"/>
              <w:rPr>
                <w:sz w:val="16"/>
                <w:szCs w:val="16"/>
              </w:rPr>
            </w:pPr>
            <w:r w:rsidRPr="00292966">
              <w:rPr>
                <w:sz w:val="16"/>
                <w:szCs w:val="16"/>
              </w:rPr>
              <w:t>Solide overheidsfinanciën</w:t>
            </w:r>
          </w:p>
        </w:tc>
        <w:tc>
          <w:tcPr>
            <w:tcW w:w="3260" w:type="dxa"/>
          </w:tcPr>
          <w:p w:rsidR="00B460E7" w:rsidP="00021A71" w:rsidRDefault="00B460E7" w14:paraId="079F222E" w14:textId="77777777">
            <w:pPr>
              <w:pStyle w:val="Default"/>
              <w:numPr>
                <w:ilvl w:val="0"/>
                <w:numId w:val="25"/>
              </w:numPr>
              <w:spacing w:after="30"/>
              <w:rPr>
                <w:sz w:val="16"/>
                <w:szCs w:val="16"/>
              </w:rPr>
            </w:pPr>
            <w:proofErr w:type="spellStart"/>
            <w:r w:rsidRPr="00B9473F">
              <w:rPr>
                <w:sz w:val="16"/>
                <w:szCs w:val="16"/>
              </w:rPr>
              <w:t>BTW-compensatiefonds</w:t>
            </w:r>
            <w:proofErr w:type="spellEnd"/>
            <w:r w:rsidRPr="00B9473F">
              <w:rPr>
                <w:sz w:val="16"/>
                <w:szCs w:val="16"/>
              </w:rPr>
              <w:t xml:space="preserve"> (2028)</w:t>
            </w:r>
            <w:r>
              <w:rPr>
                <w:rStyle w:val="Voetnootmarkering"/>
                <w:sz w:val="16"/>
                <w:szCs w:val="16"/>
              </w:rPr>
              <w:footnoteReference w:id="2"/>
            </w:r>
          </w:p>
          <w:p w:rsidR="00B460E7" w:rsidP="00021A71" w:rsidRDefault="00B460E7" w14:paraId="7EEEF122" w14:textId="77777777">
            <w:pPr>
              <w:pStyle w:val="Default"/>
              <w:numPr>
                <w:ilvl w:val="0"/>
                <w:numId w:val="25"/>
              </w:numPr>
              <w:spacing w:after="30"/>
              <w:rPr>
                <w:sz w:val="16"/>
                <w:szCs w:val="16"/>
              </w:rPr>
            </w:pPr>
            <w:r w:rsidRPr="00292966">
              <w:rPr>
                <w:sz w:val="16"/>
                <w:szCs w:val="16"/>
              </w:rPr>
              <w:t>Schuldfinanciering tegen zo laag mogelijke kosten onder acceptabel risico (2025)</w:t>
            </w:r>
          </w:p>
          <w:p w:rsidRPr="00292966" w:rsidR="00B460E7" w:rsidP="00021A71" w:rsidRDefault="00B460E7" w14:paraId="2FA5AEEC" w14:textId="77777777">
            <w:pPr>
              <w:pStyle w:val="Default"/>
              <w:numPr>
                <w:ilvl w:val="0"/>
                <w:numId w:val="25"/>
              </w:numPr>
              <w:spacing w:after="30"/>
              <w:rPr>
                <w:sz w:val="16"/>
                <w:szCs w:val="16"/>
              </w:rPr>
            </w:pPr>
            <w:r w:rsidRPr="00292966">
              <w:rPr>
                <w:sz w:val="16"/>
                <w:szCs w:val="16"/>
              </w:rPr>
              <w:t>Optimaal kasbeheer van het Rijk en van gelieerde instellingen (2024)</w:t>
            </w:r>
          </w:p>
        </w:tc>
        <w:tc>
          <w:tcPr>
            <w:tcW w:w="1134" w:type="dxa"/>
          </w:tcPr>
          <w:p w:rsidR="00B460E7" w:rsidP="00021A71" w:rsidRDefault="00B460E7" w14:paraId="02345A19" w14:textId="77777777">
            <w:pPr>
              <w:pStyle w:val="Default"/>
              <w:spacing w:after="30"/>
              <w:jc w:val="center"/>
              <w:rPr>
                <w:sz w:val="16"/>
                <w:szCs w:val="16"/>
              </w:rPr>
            </w:pPr>
            <w:r>
              <w:rPr>
                <w:sz w:val="16"/>
                <w:szCs w:val="16"/>
              </w:rPr>
              <w:t>6</w:t>
            </w:r>
          </w:p>
          <w:p w:rsidR="00B460E7" w:rsidP="00021A71" w:rsidRDefault="00B460E7" w14:paraId="2D7113B3" w14:textId="77777777">
            <w:pPr>
              <w:pStyle w:val="Default"/>
              <w:spacing w:after="30"/>
              <w:jc w:val="center"/>
              <w:rPr>
                <w:sz w:val="16"/>
                <w:szCs w:val="16"/>
              </w:rPr>
            </w:pPr>
            <w:r w:rsidRPr="00292966">
              <w:rPr>
                <w:sz w:val="16"/>
                <w:szCs w:val="16"/>
              </w:rPr>
              <w:t>11</w:t>
            </w:r>
          </w:p>
          <w:p w:rsidR="00B460E7" w:rsidP="00021A71" w:rsidRDefault="00B460E7" w14:paraId="660D90B8" w14:textId="77777777">
            <w:pPr>
              <w:pStyle w:val="Default"/>
              <w:spacing w:after="30"/>
              <w:jc w:val="center"/>
              <w:rPr>
                <w:sz w:val="16"/>
                <w:szCs w:val="16"/>
              </w:rPr>
            </w:pPr>
          </w:p>
          <w:p w:rsidR="00B460E7" w:rsidP="00021A71" w:rsidRDefault="00B460E7" w14:paraId="3175D9C2" w14:textId="77777777">
            <w:pPr>
              <w:pStyle w:val="Default"/>
              <w:spacing w:after="30"/>
              <w:jc w:val="center"/>
              <w:rPr>
                <w:sz w:val="16"/>
                <w:szCs w:val="16"/>
              </w:rPr>
            </w:pPr>
          </w:p>
          <w:p w:rsidRPr="00292966" w:rsidR="00B460E7" w:rsidP="00021A71" w:rsidRDefault="00B460E7" w14:paraId="112FA512" w14:textId="77777777">
            <w:pPr>
              <w:pStyle w:val="Default"/>
              <w:spacing w:after="30"/>
              <w:jc w:val="center"/>
              <w:rPr>
                <w:sz w:val="16"/>
                <w:szCs w:val="16"/>
              </w:rPr>
            </w:pPr>
            <w:r w:rsidRPr="00292966">
              <w:rPr>
                <w:sz w:val="16"/>
                <w:szCs w:val="16"/>
              </w:rPr>
              <w:t>12</w:t>
            </w:r>
          </w:p>
        </w:tc>
        <w:tc>
          <w:tcPr>
            <w:tcW w:w="2268" w:type="dxa"/>
          </w:tcPr>
          <w:p w:rsidR="00B460E7" w:rsidP="00021A71" w:rsidRDefault="00B460E7" w14:paraId="6BDC62DA" w14:textId="77777777">
            <w:pPr>
              <w:pStyle w:val="Default"/>
              <w:spacing w:after="30"/>
              <w:jc w:val="center"/>
              <w:rPr>
                <w:sz w:val="16"/>
                <w:szCs w:val="16"/>
              </w:rPr>
            </w:pPr>
            <w:r w:rsidRPr="003C7055">
              <w:rPr>
                <w:sz w:val="16"/>
                <w:szCs w:val="16"/>
              </w:rPr>
              <w:t>4.248</w:t>
            </w:r>
          </w:p>
          <w:p w:rsidR="00B460E7" w:rsidP="00021A71" w:rsidRDefault="00B460E7" w14:paraId="00C931B2" w14:textId="77777777">
            <w:pPr>
              <w:pStyle w:val="Default"/>
              <w:spacing w:after="30"/>
              <w:jc w:val="center"/>
              <w:rPr>
                <w:sz w:val="16"/>
                <w:szCs w:val="16"/>
              </w:rPr>
            </w:pPr>
            <w:r w:rsidRPr="000E38D7">
              <w:rPr>
                <w:sz w:val="16"/>
                <w:szCs w:val="16"/>
              </w:rPr>
              <w:t>27</w:t>
            </w:r>
            <w:r w:rsidR="00524865">
              <w:rPr>
                <w:sz w:val="16"/>
                <w:szCs w:val="16"/>
              </w:rPr>
              <w:t>.683</w:t>
            </w:r>
          </w:p>
          <w:p w:rsidR="00B460E7" w:rsidP="00021A71" w:rsidRDefault="00B460E7" w14:paraId="41842DBD" w14:textId="77777777">
            <w:pPr>
              <w:pStyle w:val="Default"/>
              <w:spacing w:after="30"/>
              <w:jc w:val="center"/>
              <w:rPr>
                <w:sz w:val="16"/>
                <w:szCs w:val="16"/>
              </w:rPr>
            </w:pPr>
          </w:p>
          <w:p w:rsidR="00B460E7" w:rsidP="00021A71" w:rsidRDefault="00B460E7" w14:paraId="06DB8EB8" w14:textId="77777777">
            <w:pPr>
              <w:pStyle w:val="Default"/>
              <w:spacing w:after="30"/>
              <w:jc w:val="center"/>
              <w:rPr>
                <w:sz w:val="16"/>
                <w:szCs w:val="16"/>
              </w:rPr>
            </w:pPr>
          </w:p>
          <w:p w:rsidR="00B460E7" w:rsidP="00021A71" w:rsidRDefault="00B460E7" w14:paraId="2FFEECBB" w14:textId="77777777">
            <w:pPr>
              <w:pStyle w:val="Default"/>
              <w:spacing w:after="30"/>
              <w:jc w:val="center"/>
              <w:rPr>
                <w:sz w:val="16"/>
                <w:szCs w:val="16"/>
              </w:rPr>
            </w:pPr>
            <w:r w:rsidRPr="000E38D7">
              <w:rPr>
                <w:sz w:val="16"/>
                <w:szCs w:val="16"/>
              </w:rPr>
              <w:t>5.</w:t>
            </w:r>
            <w:r w:rsidR="00524865">
              <w:rPr>
                <w:sz w:val="16"/>
                <w:szCs w:val="16"/>
              </w:rPr>
              <w:t>598</w:t>
            </w:r>
          </w:p>
        </w:tc>
      </w:tr>
      <w:tr w:rsidR="00B460E7" w:rsidTr="007A0875" w14:paraId="552B6F95" w14:textId="77777777">
        <w:tc>
          <w:tcPr>
            <w:tcW w:w="1838" w:type="dxa"/>
          </w:tcPr>
          <w:p w:rsidRPr="00292966" w:rsidR="00B460E7" w:rsidP="00021A71" w:rsidRDefault="00B460E7" w14:paraId="7F02A94F" w14:textId="77777777">
            <w:pPr>
              <w:pStyle w:val="Default"/>
              <w:spacing w:after="30"/>
              <w:rPr>
                <w:sz w:val="16"/>
                <w:szCs w:val="16"/>
              </w:rPr>
            </w:pPr>
            <w:r w:rsidRPr="00292966">
              <w:rPr>
                <w:sz w:val="16"/>
                <w:szCs w:val="16"/>
              </w:rPr>
              <w:t>Economie en vestigingsklimaat</w:t>
            </w:r>
          </w:p>
        </w:tc>
        <w:tc>
          <w:tcPr>
            <w:tcW w:w="3260" w:type="dxa"/>
          </w:tcPr>
          <w:p w:rsidRPr="00292966" w:rsidR="00B460E7" w:rsidP="00021A71" w:rsidRDefault="00B460E7" w14:paraId="2426359C" w14:textId="77777777">
            <w:pPr>
              <w:pStyle w:val="Default"/>
              <w:numPr>
                <w:ilvl w:val="0"/>
                <w:numId w:val="25"/>
              </w:numPr>
              <w:spacing w:after="30"/>
              <w:rPr>
                <w:sz w:val="16"/>
                <w:szCs w:val="16"/>
              </w:rPr>
            </w:pPr>
            <w:r w:rsidRPr="00292966">
              <w:rPr>
                <w:sz w:val="16"/>
                <w:szCs w:val="16"/>
              </w:rPr>
              <w:t>Het borgen van publieke belangen via het aandeelhouderschap op een zo efficiënt mogelijke wijze (2027)</w:t>
            </w:r>
          </w:p>
          <w:p w:rsidRPr="00292966" w:rsidR="00B460E7" w:rsidP="00021A71" w:rsidRDefault="00B460E7" w14:paraId="68E36987" w14:textId="77777777">
            <w:pPr>
              <w:pStyle w:val="Default"/>
              <w:numPr>
                <w:ilvl w:val="0"/>
                <w:numId w:val="25"/>
              </w:numPr>
              <w:spacing w:after="30"/>
              <w:rPr>
                <w:sz w:val="16"/>
                <w:szCs w:val="16"/>
              </w:rPr>
            </w:pPr>
            <w:r w:rsidRPr="00292966">
              <w:rPr>
                <w:sz w:val="16"/>
                <w:szCs w:val="16"/>
              </w:rPr>
              <w:t xml:space="preserve">Evaluatie crisismaatregelen COVID-19 pandemie </w:t>
            </w:r>
            <w:proofErr w:type="spellStart"/>
            <w:r w:rsidRPr="00292966">
              <w:rPr>
                <w:sz w:val="16"/>
                <w:szCs w:val="16"/>
              </w:rPr>
              <w:t>IFI's</w:t>
            </w:r>
            <w:proofErr w:type="spellEnd"/>
            <w:r w:rsidRPr="00292966">
              <w:rPr>
                <w:sz w:val="16"/>
                <w:szCs w:val="16"/>
              </w:rPr>
              <w:t xml:space="preserve"> en Europese instellingen (2025)</w:t>
            </w:r>
          </w:p>
          <w:p w:rsidRPr="00292966" w:rsidR="00B460E7" w:rsidP="00021A71" w:rsidRDefault="00B460E7" w14:paraId="7754414C" w14:textId="77777777">
            <w:pPr>
              <w:pStyle w:val="Default"/>
              <w:numPr>
                <w:ilvl w:val="0"/>
                <w:numId w:val="25"/>
              </w:numPr>
              <w:spacing w:after="30"/>
              <w:rPr>
                <w:sz w:val="16"/>
                <w:szCs w:val="16"/>
              </w:rPr>
            </w:pPr>
            <w:r w:rsidRPr="00292966">
              <w:rPr>
                <w:sz w:val="16"/>
                <w:szCs w:val="16"/>
              </w:rPr>
              <w:t>Exportkredietverzekering (2030)</w:t>
            </w:r>
          </w:p>
        </w:tc>
        <w:tc>
          <w:tcPr>
            <w:tcW w:w="1134" w:type="dxa"/>
          </w:tcPr>
          <w:p w:rsidR="00B460E7" w:rsidP="00021A71" w:rsidRDefault="00B460E7" w14:paraId="7659F7F8" w14:textId="77777777">
            <w:pPr>
              <w:pStyle w:val="Default"/>
              <w:spacing w:after="30"/>
              <w:jc w:val="center"/>
              <w:rPr>
                <w:sz w:val="16"/>
                <w:szCs w:val="16"/>
              </w:rPr>
            </w:pPr>
            <w:r w:rsidRPr="00292966">
              <w:rPr>
                <w:sz w:val="16"/>
                <w:szCs w:val="16"/>
              </w:rPr>
              <w:t>3</w:t>
            </w:r>
          </w:p>
          <w:p w:rsidR="00B460E7" w:rsidP="00021A71" w:rsidRDefault="00B460E7" w14:paraId="748ACC91" w14:textId="77777777">
            <w:pPr>
              <w:pStyle w:val="Default"/>
              <w:spacing w:after="30"/>
              <w:jc w:val="center"/>
              <w:rPr>
                <w:sz w:val="16"/>
                <w:szCs w:val="16"/>
              </w:rPr>
            </w:pPr>
          </w:p>
          <w:p w:rsidR="00B460E7" w:rsidP="00021A71" w:rsidRDefault="00B460E7" w14:paraId="0BD6D10A" w14:textId="77777777">
            <w:pPr>
              <w:pStyle w:val="Default"/>
              <w:spacing w:after="30"/>
              <w:jc w:val="center"/>
              <w:rPr>
                <w:sz w:val="16"/>
                <w:szCs w:val="16"/>
              </w:rPr>
            </w:pPr>
          </w:p>
          <w:p w:rsidR="00B460E7" w:rsidP="00021A71" w:rsidRDefault="00B460E7" w14:paraId="4B1E1192" w14:textId="77777777">
            <w:pPr>
              <w:pStyle w:val="Default"/>
              <w:spacing w:after="30"/>
              <w:jc w:val="center"/>
              <w:rPr>
                <w:sz w:val="16"/>
                <w:szCs w:val="16"/>
              </w:rPr>
            </w:pPr>
          </w:p>
          <w:p w:rsidR="00B460E7" w:rsidP="00021A71" w:rsidRDefault="00B460E7" w14:paraId="5B94FCEE" w14:textId="77777777">
            <w:pPr>
              <w:pStyle w:val="Default"/>
              <w:spacing w:after="30"/>
              <w:jc w:val="center"/>
              <w:rPr>
                <w:sz w:val="16"/>
                <w:szCs w:val="16"/>
              </w:rPr>
            </w:pPr>
            <w:r w:rsidRPr="00292966">
              <w:rPr>
                <w:sz w:val="16"/>
                <w:szCs w:val="16"/>
              </w:rPr>
              <w:t>4</w:t>
            </w:r>
          </w:p>
          <w:p w:rsidR="00B460E7" w:rsidP="00021A71" w:rsidRDefault="00B460E7" w14:paraId="7DB83011" w14:textId="77777777">
            <w:pPr>
              <w:pStyle w:val="Default"/>
              <w:spacing w:after="30"/>
              <w:jc w:val="center"/>
              <w:rPr>
                <w:sz w:val="16"/>
                <w:szCs w:val="16"/>
              </w:rPr>
            </w:pPr>
          </w:p>
          <w:p w:rsidRPr="00292966" w:rsidR="00B460E7" w:rsidP="00021A71" w:rsidRDefault="00B460E7" w14:paraId="1E18F4D0" w14:textId="77777777">
            <w:pPr>
              <w:pStyle w:val="Default"/>
              <w:spacing w:after="30"/>
              <w:jc w:val="center"/>
              <w:rPr>
                <w:sz w:val="16"/>
                <w:szCs w:val="16"/>
              </w:rPr>
            </w:pPr>
            <w:r w:rsidRPr="00292966">
              <w:rPr>
                <w:sz w:val="16"/>
                <w:szCs w:val="16"/>
              </w:rPr>
              <w:t>5</w:t>
            </w:r>
          </w:p>
        </w:tc>
        <w:tc>
          <w:tcPr>
            <w:tcW w:w="2268" w:type="dxa"/>
          </w:tcPr>
          <w:p w:rsidR="00B460E7" w:rsidP="00021A71" w:rsidRDefault="00B460E7" w14:paraId="3E74941F" w14:textId="77777777">
            <w:pPr>
              <w:pStyle w:val="Default"/>
              <w:spacing w:after="30"/>
              <w:jc w:val="center"/>
              <w:rPr>
                <w:sz w:val="16"/>
                <w:szCs w:val="16"/>
              </w:rPr>
            </w:pPr>
            <w:r w:rsidRPr="00533E15">
              <w:rPr>
                <w:sz w:val="16"/>
                <w:szCs w:val="16"/>
              </w:rPr>
              <w:t>14.783</w:t>
            </w:r>
          </w:p>
          <w:p w:rsidR="00B460E7" w:rsidP="00021A71" w:rsidRDefault="00B460E7" w14:paraId="19634AD2" w14:textId="77777777">
            <w:pPr>
              <w:pStyle w:val="Default"/>
              <w:spacing w:after="30"/>
              <w:jc w:val="center"/>
              <w:rPr>
                <w:sz w:val="16"/>
                <w:szCs w:val="16"/>
              </w:rPr>
            </w:pPr>
          </w:p>
          <w:p w:rsidR="00B460E7" w:rsidP="00021A71" w:rsidRDefault="00B460E7" w14:paraId="113A20CD" w14:textId="77777777">
            <w:pPr>
              <w:pStyle w:val="Default"/>
              <w:spacing w:after="30"/>
              <w:jc w:val="center"/>
              <w:rPr>
                <w:sz w:val="16"/>
                <w:szCs w:val="16"/>
              </w:rPr>
            </w:pPr>
          </w:p>
          <w:p w:rsidR="00B460E7" w:rsidP="00021A71" w:rsidRDefault="00B460E7" w14:paraId="7E090906" w14:textId="77777777">
            <w:pPr>
              <w:pStyle w:val="Default"/>
              <w:spacing w:after="30"/>
              <w:jc w:val="center"/>
              <w:rPr>
                <w:sz w:val="16"/>
                <w:szCs w:val="16"/>
              </w:rPr>
            </w:pPr>
          </w:p>
          <w:p w:rsidR="00B460E7" w:rsidP="00021A71" w:rsidRDefault="00B460E7" w14:paraId="3BAC1FFE" w14:textId="77777777">
            <w:pPr>
              <w:pStyle w:val="Default"/>
              <w:spacing w:after="30"/>
              <w:jc w:val="center"/>
              <w:rPr>
                <w:sz w:val="16"/>
                <w:szCs w:val="16"/>
              </w:rPr>
            </w:pPr>
            <w:r w:rsidRPr="00533E15">
              <w:rPr>
                <w:sz w:val="16"/>
                <w:szCs w:val="16"/>
              </w:rPr>
              <w:t>62</w:t>
            </w:r>
            <w:r w:rsidR="00524865">
              <w:rPr>
                <w:sz w:val="16"/>
                <w:szCs w:val="16"/>
              </w:rPr>
              <w:t>9</w:t>
            </w:r>
          </w:p>
          <w:p w:rsidR="00B460E7" w:rsidP="00021A71" w:rsidRDefault="00B460E7" w14:paraId="55543401" w14:textId="77777777">
            <w:pPr>
              <w:pStyle w:val="Default"/>
              <w:spacing w:after="30"/>
              <w:jc w:val="center"/>
              <w:rPr>
                <w:sz w:val="16"/>
                <w:szCs w:val="16"/>
              </w:rPr>
            </w:pPr>
          </w:p>
          <w:p w:rsidRPr="00292966" w:rsidR="00B460E7" w:rsidP="00021A71" w:rsidRDefault="00B460E7" w14:paraId="1A5BF750" w14:textId="77777777">
            <w:pPr>
              <w:pStyle w:val="Default"/>
              <w:spacing w:after="30"/>
              <w:jc w:val="center"/>
              <w:rPr>
                <w:sz w:val="16"/>
                <w:szCs w:val="16"/>
              </w:rPr>
            </w:pPr>
            <w:r w:rsidRPr="00533E15">
              <w:rPr>
                <w:sz w:val="16"/>
                <w:szCs w:val="16"/>
              </w:rPr>
              <w:t>148</w:t>
            </w:r>
          </w:p>
        </w:tc>
      </w:tr>
      <w:tr w:rsidR="00B460E7" w:rsidTr="007A0875" w14:paraId="6F2F4278" w14:textId="77777777">
        <w:tc>
          <w:tcPr>
            <w:tcW w:w="1838" w:type="dxa"/>
          </w:tcPr>
          <w:p w:rsidRPr="00292966" w:rsidR="00B460E7" w:rsidP="00021A71" w:rsidRDefault="00B460E7" w14:paraId="7E6497D1" w14:textId="77777777">
            <w:pPr>
              <w:pStyle w:val="Default"/>
              <w:spacing w:after="30"/>
              <w:rPr>
                <w:sz w:val="16"/>
                <w:szCs w:val="16"/>
              </w:rPr>
            </w:pPr>
            <w:r w:rsidRPr="00292966">
              <w:rPr>
                <w:sz w:val="16"/>
                <w:szCs w:val="16"/>
              </w:rPr>
              <w:t>Financiële sector</w:t>
            </w:r>
          </w:p>
        </w:tc>
        <w:tc>
          <w:tcPr>
            <w:tcW w:w="3260" w:type="dxa"/>
          </w:tcPr>
          <w:p w:rsidRPr="00292966" w:rsidR="00B460E7" w:rsidP="00021A71" w:rsidRDefault="00B460E7" w14:paraId="74213451" w14:textId="77777777">
            <w:pPr>
              <w:pStyle w:val="Default"/>
              <w:numPr>
                <w:ilvl w:val="0"/>
                <w:numId w:val="25"/>
              </w:numPr>
              <w:spacing w:after="30"/>
              <w:rPr>
                <w:sz w:val="16"/>
                <w:szCs w:val="16"/>
              </w:rPr>
            </w:pPr>
            <w:r w:rsidRPr="00292966">
              <w:rPr>
                <w:sz w:val="16"/>
                <w:szCs w:val="16"/>
              </w:rPr>
              <w:t>Stabiele, integere en betrouwbare financiële markten (2024)</w:t>
            </w:r>
          </w:p>
        </w:tc>
        <w:tc>
          <w:tcPr>
            <w:tcW w:w="1134" w:type="dxa"/>
          </w:tcPr>
          <w:p w:rsidRPr="00292966" w:rsidR="00B460E7" w:rsidP="00021A71" w:rsidRDefault="00B460E7" w14:paraId="38E11052" w14:textId="77777777">
            <w:pPr>
              <w:pStyle w:val="Default"/>
              <w:spacing w:after="30"/>
              <w:jc w:val="center"/>
              <w:rPr>
                <w:sz w:val="16"/>
                <w:szCs w:val="16"/>
              </w:rPr>
            </w:pPr>
            <w:r w:rsidRPr="00292966">
              <w:rPr>
                <w:sz w:val="16"/>
                <w:szCs w:val="16"/>
              </w:rPr>
              <w:t>2</w:t>
            </w:r>
          </w:p>
        </w:tc>
        <w:tc>
          <w:tcPr>
            <w:tcW w:w="2268" w:type="dxa"/>
          </w:tcPr>
          <w:p w:rsidRPr="00292966" w:rsidR="00B460E7" w:rsidP="00021A71" w:rsidRDefault="00B460E7" w14:paraId="2D3BEE3C" w14:textId="77777777">
            <w:pPr>
              <w:pStyle w:val="Default"/>
              <w:spacing w:after="30"/>
              <w:jc w:val="center"/>
              <w:rPr>
                <w:sz w:val="16"/>
                <w:szCs w:val="16"/>
              </w:rPr>
            </w:pPr>
            <w:r w:rsidRPr="00F81D84">
              <w:rPr>
                <w:sz w:val="16"/>
                <w:szCs w:val="16"/>
              </w:rPr>
              <w:t>28</w:t>
            </w:r>
          </w:p>
        </w:tc>
      </w:tr>
      <w:tr w:rsidR="00B460E7" w:rsidTr="007A0875" w14:paraId="14314039" w14:textId="77777777">
        <w:tc>
          <w:tcPr>
            <w:tcW w:w="1838" w:type="dxa"/>
          </w:tcPr>
          <w:p w:rsidRPr="00292966" w:rsidR="00B460E7" w:rsidP="00021A71" w:rsidRDefault="00B460E7" w14:paraId="0315EB29" w14:textId="77777777">
            <w:pPr>
              <w:pStyle w:val="Default"/>
              <w:spacing w:after="30"/>
              <w:rPr>
                <w:sz w:val="16"/>
                <w:szCs w:val="16"/>
              </w:rPr>
            </w:pPr>
            <w:r w:rsidRPr="00292966">
              <w:rPr>
                <w:sz w:val="16"/>
                <w:szCs w:val="16"/>
              </w:rPr>
              <w:t>Fiscaal beleid</w:t>
            </w:r>
          </w:p>
        </w:tc>
        <w:tc>
          <w:tcPr>
            <w:tcW w:w="3260" w:type="dxa"/>
          </w:tcPr>
          <w:p w:rsidRPr="00292966" w:rsidR="00B460E7" w:rsidP="00021A71" w:rsidRDefault="00B460E7" w14:paraId="7AEB3738" w14:textId="77777777">
            <w:pPr>
              <w:pStyle w:val="Default"/>
              <w:numPr>
                <w:ilvl w:val="0"/>
                <w:numId w:val="25"/>
              </w:numPr>
              <w:spacing w:after="30"/>
              <w:rPr>
                <w:sz w:val="16"/>
                <w:szCs w:val="16"/>
              </w:rPr>
            </w:pPr>
            <w:r w:rsidRPr="00292966">
              <w:rPr>
                <w:sz w:val="16"/>
                <w:szCs w:val="16"/>
              </w:rPr>
              <w:t>Vereenvoudiging belastingstelsel - aanpak fiscale regelingen (2028)</w:t>
            </w:r>
          </w:p>
        </w:tc>
        <w:tc>
          <w:tcPr>
            <w:tcW w:w="1134" w:type="dxa"/>
          </w:tcPr>
          <w:p w:rsidRPr="00292966" w:rsidR="00B460E7" w:rsidP="00021A71" w:rsidRDefault="00B460E7" w14:paraId="2CB24972" w14:textId="77777777">
            <w:pPr>
              <w:pStyle w:val="Default"/>
              <w:spacing w:after="30"/>
              <w:jc w:val="center"/>
              <w:rPr>
                <w:sz w:val="16"/>
                <w:szCs w:val="16"/>
              </w:rPr>
            </w:pPr>
            <w:r w:rsidRPr="00292966">
              <w:rPr>
                <w:sz w:val="16"/>
                <w:szCs w:val="16"/>
              </w:rPr>
              <w:t>1</w:t>
            </w:r>
          </w:p>
        </w:tc>
        <w:tc>
          <w:tcPr>
            <w:tcW w:w="2268" w:type="dxa"/>
          </w:tcPr>
          <w:p w:rsidRPr="00292966" w:rsidR="00B460E7" w:rsidP="00021A71" w:rsidRDefault="00B460E7" w14:paraId="4EB86CC2" w14:textId="77777777">
            <w:pPr>
              <w:pStyle w:val="Default"/>
              <w:spacing w:after="30"/>
              <w:jc w:val="center"/>
              <w:rPr>
                <w:sz w:val="16"/>
                <w:szCs w:val="16"/>
              </w:rPr>
            </w:pPr>
            <w:r w:rsidRPr="00F81D84">
              <w:rPr>
                <w:sz w:val="16"/>
                <w:szCs w:val="16"/>
              </w:rPr>
              <w:t>3.682</w:t>
            </w:r>
          </w:p>
        </w:tc>
      </w:tr>
      <w:tr w:rsidR="00B460E7" w:rsidTr="007A0875" w14:paraId="72523980" w14:textId="77777777">
        <w:tc>
          <w:tcPr>
            <w:tcW w:w="1838" w:type="dxa"/>
          </w:tcPr>
          <w:p w:rsidRPr="00292966" w:rsidR="00B460E7" w:rsidP="00021A71" w:rsidRDefault="00B460E7" w14:paraId="407973D8" w14:textId="77777777">
            <w:pPr>
              <w:pStyle w:val="Default"/>
              <w:spacing w:after="30"/>
              <w:rPr>
                <w:sz w:val="16"/>
                <w:szCs w:val="16"/>
              </w:rPr>
            </w:pPr>
            <w:r w:rsidRPr="00292966">
              <w:rPr>
                <w:sz w:val="16"/>
                <w:szCs w:val="16"/>
              </w:rPr>
              <w:t>Belastingdienst</w:t>
            </w:r>
          </w:p>
        </w:tc>
        <w:tc>
          <w:tcPr>
            <w:tcW w:w="3260" w:type="dxa"/>
          </w:tcPr>
          <w:p w:rsidRPr="00292966" w:rsidR="00B460E7" w:rsidP="00021A71" w:rsidRDefault="00B460E7" w14:paraId="0E5DF499" w14:textId="77777777">
            <w:pPr>
              <w:pStyle w:val="Default"/>
              <w:numPr>
                <w:ilvl w:val="0"/>
                <w:numId w:val="25"/>
              </w:numPr>
              <w:spacing w:after="30"/>
              <w:rPr>
                <w:sz w:val="16"/>
                <w:szCs w:val="16"/>
              </w:rPr>
            </w:pPr>
            <w:r w:rsidRPr="00292966">
              <w:rPr>
                <w:sz w:val="16"/>
                <w:szCs w:val="16"/>
              </w:rPr>
              <w:t>Verduurzaming van het belastingstelsel (2030)</w:t>
            </w:r>
          </w:p>
          <w:p w:rsidRPr="00292966" w:rsidR="00B460E7" w:rsidP="00021A71" w:rsidRDefault="00B460E7" w14:paraId="457D3DDD" w14:textId="77777777">
            <w:pPr>
              <w:pStyle w:val="Default"/>
              <w:numPr>
                <w:ilvl w:val="0"/>
                <w:numId w:val="25"/>
              </w:numPr>
              <w:spacing w:after="30"/>
              <w:rPr>
                <w:sz w:val="16"/>
                <w:szCs w:val="16"/>
              </w:rPr>
            </w:pPr>
            <w:r w:rsidRPr="00292966">
              <w:rPr>
                <w:sz w:val="16"/>
                <w:szCs w:val="16"/>
              </w:rPr>
              <w:t>Uitvoering en handhaving Belastingdienst (2029)</w:t>
            </w:r>
          </w:p>
        </w:tc>
        <w:tc>
          <w:tcPr>
            <w:tcW w:w="1134" w:type="dxa"/>
          </w:tcPr>
          <w:p w:rsidRPr="00292966" w:rsidR="00B460E7" w:rsidP="00021A71" w:rsidRDefault="00B460E7" w14:paraId="70BB2E89" w14:textId="77777777">
            <w:pPr>
              <w:pStyle w:val="Default"/>
              <w:spacing w:after="30"/>
              <w:jc w:val="center"/>
              <w:rPr>
                <w:sz w:val="16"/>
                <w:szCs w:val="16"/>
              </w:rPr>
            </w:pPr>
            <w:r w:rsidRPr="00292966">
              <w:rPr>
                <w:sz w:val="16"/>
                <w:szCs w:val="16"/>
              </w:rPr>
              <w:t>1</w:t>
            </w:r>
          </w:p>
        </w:tc>
        <w:tc>
          <w:tcPr>
            <w:tcW w:w="2268" w:type="dxa"/>
          </w:tcPr>
          <w:p w:rsidRPr="00292966" w:rsidR="00B460E7" w:rsidP="00021A71" w:rsidRDefault="00B460E7" w14:paraId="57F52325" w14:textId="77777777">
            <w:pPr>
              <w:pStyle w:val="Default"/>
              <w:spacing w:after="30"/>
              <w:jc w:val="center"/>
              <w:rPr>
                <w:sz w:val="16"/>
                <w:szCs w:val="16"/>
              </w:rPr>
            </w:pPr>
            <w:r w:rsidRPr="00F81D84">
              <w:rPr>
                <w:sz w:val="16"/>
                <w:szCs w:val="16"/>
              </w:rPr>
              <w:t>3.682</w:t>
            </w:r>
          </w:p>
        </w:tc>
      </w:tr>
      <w:tr w:rsidR="00B460E7" w:rsidTr="007A0875" w14:paraId="1FD9E763" w14:textId="77777777">
        <w:tc>
          <w:tcPr>
            <w:tcW w:w="1838" w:type="dxa"/>
          </w:tcPr>
          <w:p w:rsidRPr="00292966" w:rsidR="00B460E7" w:rsidP="00021A71" w:rsidRDefault="00B460E7" w14:paraId="5774D564" w14:textId="77777777">
            <w:pPr>
              <w:pStyle w:val="Default"/>
              <w:spacing w:after="30"/>
              <w:rPr>
                <w:sz w:val="16"/>
                <w:szCs w:val="16"/>
              </w:rPr>
            </w:pPr>
            <w:r w:rsidRPr="00292966">
              <w:rPr>
                <w:sz w:val="16"/>
                <w:szCs w:val="16"/>
              </w:rPr>
              <w:t>Toeslagen</w:t>
            </w:r>
          </w:p>
        </w:tc>
        <w:tc>
          <w:tcPr>
            <w:tcW w:w="3260" w:type="dxa"/>
          </w:tcPr>
          <w:p w:rsidRPr="00292966" w:rsidR="00B460E7" w:rsidP="00021A71" w:rsidRDefault="00B460E7" w14:paraId="382B3AC4" w14:textId="77777777">
            <w:pPr>
              <w:pStyle w:val="Default"/>
              <w:numPr>
                <w:ilvl w:val="0"/>
                <w:numId w:val="25"/>
              </w:numPr>
              <w:spacing w:after="30"/>
              <w:rPr>
                <w:sz w:val="16"/>
                <w:szCs w:val="16"/>
              </w:rPr>
            </w:pPr>
            <w:r w:rsidRPr="00292966">
              <w:rPr>
                <w:sz w:val="16"/>
                <w:szCs w:val="16"/>
              </w:rPr>
              <w:t>Recht doen aan het verleden (2028)</w:t>
            </w:r>
          </w:p>
          <w:p w:rsidRPr="00292966" w:rsidR="00B460E7" w:rsidP="00021A71" w:rsidRDefault="00B460E7" w14:paraId="6D7A3815" w14:textId="77777777">
            <w:pPr>
              <w:pStyle w:val="Default"/>
              <w:numPr>
                <w:ilvl w:val="0"/>
                <w:numId w:val="25"/>
              </w:numPr>
              <w:spacing w:after="30"/>
              <w:rPr>
                <w:sz w:val="16"/>
                <w:szCs w:val="16"/>
              </w:rPr>
            </w:pPr>
            <w:r w:rsidRPr="00292966">
              <w:rPr>
                <w:sz w:val="16"/>
                <w:szCs w:val="16"/>
              </w:rPr>
              <w:t>Presteren in het heden/Anticiperen op de Toekomst (2026)</w:t>
            </w:r>
          </w:p>
        </w:tc>
        <w:tc>
          <w:tcPr>
            <w:tcW w:w="1134" w:type="dxa"/>
          </w:tcPr>
          <w:p w:rsidRPr="00292966" w:rsidR="00B460E7" w:rsidP="00021A71" w:rsidRDefault="00B460E7" w14:paraId="04C67764" w14:textId="77777777">
            <w:pPr>
              <w:pStyle w:val="Default"/>
              <w:spacing w:after="30"/>
              <w:jc w:val="center"/>
              <w:rPr>
                <w:sz w:val="16"/>
                <w:szCs w:val="16"/>
              </w:rPr>
            </w:pPr>
            <w:r w:rsidRPr="00292966">
              <w:rPr>
                <w:sz w:val="16"/>
                <w:szCs w:val="16"/>
              </w:rPr>
              <w:t>13</w:t>
            </w:r>
          </w:p>
        </w:tc>
        <w:tc>
          <w:tcPr>
            <w:tcW w:w="2268" w:type="dxa"/>
          </w:tcPr>
          <w:p w:rsidRPr="00292966" w:rsidR="00B460E7" w:rsidP="00021A71" w:rsidRDefault="00B460E7" w14:paraId="4CDEF13F" w14:textId="77777777">
            <w:pPr>
              <w:pStyle w:val="Default"/>
              <w:spacing w:after="30"/>
              <w:jc w:val="center"/>
              <w:rPr>
                <w:sz w:val="16"/>
                <w:szCs w:val="16"/>
              </w:rPr>
            </w:pPr>
            <w:r w:rsidRPr="001F71C7">
              <w:rPr>
                <w:sz w:val="16"/>
                <w:szCs w:val="16"/>
              </w:rPr>
              <w:t>2.821</w:t>
            </w:r>
          </w:p>
        </w:tc>
      </w:tr>
      <w:tr w:rsidR="00B460E7" w:rsidTr="007A0875" w14:paraId="4A5DE3A5" w14:textId="77777777">
        <w:tc>
          <w:tcPr>
            <w:tcW w:w="1838" w:type="dxa"/>
          </w:tcPr>
          <w:p w:rsidRPr="00292966" w:rsidR="00B460E7" w:rsidP="00021A71" w:rsidRDefault="00B460E7" w14:paraId="058E9138" w14:textId="77777777">
            <w:pPr>
              <w:pStyle w:val="Default"/>
              <w:spacing w:after="30"/>
              <w:rPr>
                <w:sz w:val="16"/>
                <w:szCs w:val="16"/>
              </w:rPr>
            </w:pPr>
            <w:r w:rsidRPr="00292966">
              <w:rPr>
                <w:sz w:val="16"/>
                <w:szCs w:val="16"/>
              </w:rPr>
              <w:t>Douane</w:t>
            </w:r>
          </w:p>
        </w:tc>
        <w:tc>
          <w:tcPr>
            <w:tcW w:w="3260" w:type="dxa"/>
          </w:tcPr>
          <w:p w:rsidRPr="00292966" w:rsidR="00B460E7" w:rsidP="00021A71" w:rsidRDefault="00B460E7" w14:paraId="4965B310" w14:textId="77777777">
            <w:pPr>
              <w:pStyle w:val="Default"/>
              <w:numPr>
                <w:ilvl w:val="0"/>
                <w:numId w:val="25"/>
              </w:numPr>
              <w:spacing w:after="30"/>
              <w:rPr>
                <w:sz w:val="16"/>
                <w:szCs w:val="16"/>
              </w:rPr>
            </w:pPr>
            <w:r w:rsidRPr="00292966">
              <w:rPr>
                <w:sz w:val="16"/>
                <w:szCs w:val="16"/>
              </w:rPr>
              <w:t>Effectgericht Sturen (2026)</w:t>
            </w:r>
          </w:p>
        </w:tc>
        <w:tc>
          <w:tcPr>
            <w:tcW w:w="1134" w:type="dxa"/>
          </w:tcPr>
          <w:p w:rsidRPr="00292966" w:rsidR="00B460E7" w:rsidP="00021A71" w:rsidRDefault="00B460E7" w14:paraId="5D933C9C" w14:textId="77777777">
            <w:pPr>
              <w:pStyle w:val="Default"/>
              <w:spacing w:after="30"/>
              <w:jc w:val="center"/>
              <w:rPr>
                <w:sz w:val="16"/>
                <w:szCs w:val="16"/>
              </w:rPr>
            </w:pPr>
            <w:r w:rsidRPr="00292966">
              <w:rPr>
                <w:sz w:val="16"/>
                <w:szCs w:val="16"/>
              </w:rPr>
              <w:t>9</w:t>
            </w:r>
          </w:p>
        </w:tc>
        <w:tc>
          <w:tcPr>
            <w:tcW w:w="2268" w:type="dxa"/>
          </w:tcPr>
          <w:p w:rsidRPr="00292966" w:rsidR="00B460E7" w:rsidP="00021A71" w:rsidRDefault="00B460E7" w14:paraId="748917AB" w14:textId="77777777">
            <w:pPr>
              <w:pStyle w:val="Default"/>
              <w:spacing w:after="30"/>
              <w:jc w:val="center"/>
              <w:rPr>
                <w:sz w:val="16"/>
                <w:szCs w:val="16"/>
              </w:rPr>
            </w:pPr>
            <w:r w:rsidRPr="001F71C7">
              <w:rPr>
                <w:sz w:val="16"/>
                <w:szCs w:val="16"/>
              </w:rPr>
              <w:t>837</w:t>
            </w:r>
          </w:p>
        </w:tc>
      </w:tr>
    </w:tbl>
    <w:p w:rsidR="0085241C" w:rsidP="0085241C" w:rsidRDefault="0085241C" w14:paraId="0EF319C5" w14:textId="77777777">
      <w:pPr>
        <w:pStyle w:val="Default"/>
        <w:spacing w:after="30"/>
        <w:rPr>
          <w:sz w:val="18"/>
          <w:szCs w:val="18"/>
        </w:rPr>
      </w:pPr>
    </w:p>
    <w:p w:rsidR="00B460E7" w:rsidP="00B460E7" w:rsidRDefault="00B460E7" w14:paraId="1F305277" w14:textId="77777777">
      <w:pPr>
        <w:pStyle w:val="Default"/>
        <w:spacing w:after="30"/>
        <w:rPr>
          <w:sz w:val="18"/>
          <w:szCs w:val="18"/>
        </w:rPr>
      </w:pPr>
      <w:r>
        <w:rPr>
          <w:sz w:val="18"/>
          <w:szCs w:val="18"/>
        </w:rPr>
        <w:t xml:space="preserve">Onderliggend aan de periodieke rapportages vinden evaluaties plaats die een kleinere omvang hebben. Naast het maatschappelijke en budgettaire belang van onderwerpen, speelt ook de inzichtbehoefte van de organisatie een belangrijke rol bij het opzetten van deze evaluaties. De budgettaire grondslag van deze evaluaties is soms moeilijk te meten, zoals bij wetsevaluaties of </w:t>
      </w:r>
      <w:proofErr w:type="spellStart"/>
      <w:r>
        <w:rPr>
          <w:sz w:val="18"/>
          <w:szCs w:val="18"/>
        </w:rPr>
        <w:lastRenderedPageBreak/>
        <w:t>artikeloverschrijdende</w:t>
      </w:r>
      <w:proofErr w:type="spellEnd"/>
      <w:r>
        <w:rPr>
          <w:sz w:val="18"/>
          <w:szCs w:val="18"/>
        </w:rPr>
        <w:t xml:space="preserve"> onderwerpen, waardoor het ingewikkeld is op dit niveau een optelsom van het budgettaire belang van evaluatieonderzoek per jaar aan te geven. Een dergelijke optelsom gaat bovendien voorbij aan de realiteit van evaluatieonderzoek waarbij het nodig is focus aan te brengen om te komen tot de meest bruikbare inzichten. </w:t>
      </w:r>
      <w:r w:rsidRPr="00531CFB">
        <w:rPr>
          <w:sz w:val="18"/>
          <w:szCs w:val="18"/>
        </w:rPr>
        <w:t>Het (kern)doel van de SEA is om betere en meer bruikbare inzichten te krijgen in de (voorwaarden voor) doeltreffendheid en doelmatigheid van beleid om daarmee bij te dragen aan een hogere maatschappelijke toegevoegde waarde van beleid.</w:t>
      </w:r>
    </w:p>
    <w:p w:rsidR="00B460E7" w:rsidP="0085241C" w:rsidRDefault="00B460E7" w14:paraId="1BD8660A" w14:textId="77777777">
      <w:pPr>
        <w:pStyle w:val="Default"/>
        <w:spacing w:after="30"/>
        <w:rPr>
          <w:sz w:val="18"/>
          <w:szCs w:val="18"/>
        </w:rPr>
      </w:pPr>
    </w:p>
    <w:p w:rsidRPr="00191A04" w:rsidR="0085241C" w:rsidP="0085241C" w:rsidRDefault="0085241C" w14:paraId="57CF5A0F" w14:textId="77777777">
      <w:pPr>
        <w:pStyle w:val="Default"/>
        <w:spacing w:after="32"/>
        <w:rPr>
          <w:sz w:val="18"/>
          <w:szCs w:val="18"/>
          <w:u w:val="single"/>
        </w:rPr>
      </w:pPr>
      <w:r w:rsidRPr="00191A04">
        <w:rPr>
          <w:sz w:val="18"/>
          <w:szCs w:val="18"/>
          <w:u w:val="single"/>
        </w:rPr>
        <w:t>Discontovoet</w:t>
      </w:r>
    </w:p>
    <w:p w:rsidRPr="00191A04" w:rsidR="00191A04" w:rsidP="0085241C" w:rsidRDefault="00191A04" w14:paraId="48BED5C7" w14:textId="77777777">
      <w:pPr>
        <w:pStyle w:val="Default"/>
        <w:spacing w:after="32"/>
        <w:rPr>
          <w:i/>
          <w:iCs/>
          <w:sz w:val="18"/>
          <w:szCs w:val="18"/>
          <w:u w:val="single"/>
        </w:rPr>
      </w:pPr>
    </w:p>
    <w:p w:rsidRPr="00191A04" w:rsidR="0085241C" w:rsidP="0085241C" w:rsidRDefault="0085241C" w14:paraId="5C1C1573" w14:textId="77777777">
      <w:pPr>
        <w:pStyle w:val="Default"/>
        <w:spacing w:after="30"/>
        <w:rPr>
          <w:i/>
          <w:iCs/>
          <w:sz w:val="18"/>
          <w:szCs w:val="18"/>
        </w:rPr>
      </w:pPr>
      <w:r w:rsidRPr="00191A04">
        <w:rPr>
          <w:i/>
          <w:iCs/>
          <w:sz w:val="18"/>
          <w:szCs w:val="18"/>
        </w:rPr>
        <w:t>De commissie verneemt graag wanneer duidelijk is wanneer de tussentijdse herziening van de evaluatie van de discontovoet start en wanneer deze zal zijn afg</w:t>
      </w:r>
      <w:r w:rsidR="00E525F4">
        <w:rPr>
          <w:i/>
          <w:iCs/>
          <w:sz w:val="18"/>
          <w:szCs w:val="18"/>
        </w:rPr>
        <w:t>e</w:t>
      </w:r>
      <w:r w:rsidRPr="00191A04">
        <w:rPr>
          <w:i/>
          <w:iCs/>
          <w:sz w:val="18"/>
          <w:szCs w:val="18"/>
        </w:rPr>
        <w:t xml:space="preserve">rond. </w:t>
      </w:r>
    </w:p>
    <w:p w:rsidRPr="00191A04" w:rsidR="0085241C" w:rsidP="0085241C" w:rsidRDefault="0085241C" w14:paraId="3C6FB4AB" w14:textId="77777777">
      <w:pPr>
        <w:pStyle w:val="Default"/>
        <w:spacing w:after="32"/>
        <w:ind w:left="360"/>
        <w:rPr>
          <w:sz w:val="18"/>
          <w:szCs w:val="18"/>
        </w:rPr>
      </w:pPr>
    </w:p>
    <w:p w:rsidRPr="00191A04" w:rsidR="0085241C" w:rsidP="0085241C" w:rsidRDefault="0085241C" w14:paraId="2472E06F" w14:textId="77777777">
      <w:pPr>
        <w:pStyle w:val="Default"/>
        <w:spacing w:after="32"/>
        <w:rPr>
          <w:sz w:val="18"/>
          <w:szCs w:val="18"/>
        </w:rPr>
      </w:pPr>
      <w:r w:rsidRPr="00191A04">
        <w:rPr>
          <w:sz w:val="18"/>
          <w:szCs w:val="18"/>
        </w:rPr>
        <w:t>De discontovoet wordt iedere 5 jaar herzien, tenzij er aanleiding is voor een tussentijdse technische update, bijvoorbeeld vanwege veranderingen in de reële rente. Dit is conform de gemaakte afspraken in de werkgroep discontovoet. In 2020 heeft de laatste herziening van de discontovoet plaatsgevonden. De volgende herziening vindt plaats in 2025. Omdat het CPB heeft gesignaleerd dat de reële rente dermate gestegen is dat dit aanleiding geeft voor een tijdige update, zal de werkgroep vroeg in 2025 starten. Het streven is dat de herziening voor het zomerreces 2025 wordt afgerond.</w:t>
      </w:r>
    </w:p>
    <w:p w:rsidR="0085241C" w:rsidP="0085241C" w:rsidRDefault="0085241C" w14:paraId="6618D3C5" w14:textId="77777777">
      <w:pPr>
        <w:pStyle w:val="Default"/>
        <w:spacing w:after="30"/>
        <w:rPr>
          <w:sz w:val="18"/>
          <w:szCs w:val="18"/>
        </w:rPr>
      </w:pPr>
    </w:p>
    <w:p w:rsidRPr="00191A04" w:rsidR="0085241C" w:rsidP="0085241C" w:rsidRDefault="0085241C" w14:paraId="6181176A" w14:textId="77777777">
      <w:pPr>
        <w:pStyle w:val="Default"/>
        <w:spacing w:after="30"/>
        <w:rPr>
          <w:i/>
          <w:iCs/>
          <w:sz w:val="18"/>
          <w:szCs w:val="18"/>
        </w:rPr>
      </w:pPr>
      <w:r w:rsidRPr="00191A04">
        <w:rPr>
          <w:i/>
          <w:iCs/>
          <w:sz w:val="18"/>
          <w:szCs w:val="18"/>
        </w:rPr>
        <w:t>De commissie vraagt in hoeverre en wanneer eventuele herziening van de methodologische onderbouwing bij de evaluatie Discontovoet is voorzien</w:t>
      </w:r>
      <w:r w:rsidR="00A7758B">
        <w:rPr>
          <w:i/>
          <w:iCs/>
          <w:sz w:val="18"/>
          <w:szCs w:val="18"/>
        </w:rPr>
        <w:t>.</w:t>
      </w:r>
    </w:p>
    <w:p w:rsidR="0085241C" w:rsidP="0085241C" w:rsidRDefault="0085241C" w14:paraId="306C1819" w14:textId="77777777">
      <w:pPr>
        <w:pStyle w:val="Default"/>
        <w:spacing w:after="30"/>
        <w:rPr>
          <w:sz w:val="18"/>
          <w:szCs w:val="18"/>
        </w:rPr>
      </w:pPr>
    </w:p>
    <w:p w:rsidRPr="00191A04" w:rsidR="0085241C" w:rsidP="0085241C" w:rsidRDefault="0085241C" w14:paraId="3DE541B6" w14:textId="77777777">
      <w:pPr>
        <w:pStyle w:val="Default"/>
        <w:spacing w:after="32"/>
        <w:rPr>
          <w:sz w:val="18"/>
          <w:szCs w:val="18"/>
        </w:rPr>
      </w:pPr>
      <w:r w:rsidRPr="00191A04">
        <w:rPr>
          <w:sz w:val="18"/>
          <w:szCs w:val="18"/>
        </w:rPr>
        <w:t>Het advies van de werkgroep discontovoet 2020 bevat twee aanbevelingen voor methodologische verbeteringen. Deze aanbevelingen worden in ieder geval behandeld in het rapport van de werkgroep discontovoet 2025. Daarnaast kunnen de betrokken experts in de werkgroep discontovoet 2025 vaststellen of er aanleiding is voor herziening van de methodologische onderbouwing.</w:t>
      </w:r>
    </w:p>
    <w:p w:rsidR="0085241C" w:rsidP="0085241C" w:rsidRDefault="0085241C" w14:paraId="1F16B9A9" w14:textId="77777777">
      <w:pPr>
        <w:pStyle w:val="Default"/>
        <w:spacing w:after="30"/>
        <w:rPr>
          <w:sz w:val="18"/>
          <w:szCs w:val="18"/>
        </w:rPr>
      </w:pPr>
    </w:p>
    <w:p w:rsidRPr="00191A04" w:rsidR="0085241C" w:rsidP="0085241C" w:rsidRDefault="0085241C" w14:paraId="45DD5A5E" w14:textId="77777777">
      <w:pPr>
        <w:pStyle w:val="Default"/>
        <w:spacing w:after="30"/>
        <w:rPr>
          <w:i/>
          <w:iCs/>
          <w:sz w:val="18"/>
          <w:szCs w:val="18"/>
        </w:rPr>
      </w:pPr>
      <w:r w:rsidRPr="00191A04">
        <w:rPr>
          <w:i/>
          <w:iCs/>
          <w:sz w:val="18"/>
          <w:szCs w:val="18"/>
        </w:rPr>
        <w:t>De commissie vraagt verder in hoeverre de evaluatie discontovoet direct of indirect invloed heeft op de discontovoet waarmee het houdbaarheidssaldo wordt bepaald en een eventuele actualisatie van het rapport van de 17e Studiegroep Begrotingsruimte.</w:t>
      </w:r>
    </w:p>
    <w:p w:rsidR="0085241C" w:rsidP="0085241C" w:rsidRDefault="0085241C" w14:paraId="57E0970C" w14:textId="77777777">
      <w:pPr>
        <w:pStyle w:val="Default"/>
        <w:spacing w:after="30"/>
        <w:ind w:left="720"/>
        <w:rPr>
          <w:sz w:val="18"/>
          <w:szCs w:val="18"/>
        </w:rPr>
      </w:pPr>
    </w:p>
    <w:p w:rsidRPr="00191A04" w:rsidR="0085241C" w:rsidP="0085241C" w:rsidRDefault="0085241C" w14:paraId="5E0F8B76" w14:textId="77777777">
      <w:pPr>
        <w:pStyle w:val="Default"/>
        <w:spacing w:after="30"/>
        <w:rPr>
          <w:sz w:val="18"/>
          <w:szCs w:val="18"/>
        </w:rPr>
      </w:pPr>
      <w:r w:rsidRPr="00191A04">
        <w:rPr>
          <w:sz w:val="18"/>
          <w:szCs w:val="18"/>
        </w:rPr>
        <w:t>De werkgroep discontovoet 2025 is alleen gericht op de discontovoeten die gehanteerd dienen te worden in maatschappelijke kosten-batenanalyses (</w:t>
      </w:r>
      <w:proofErr w:type="spellStart"/>
      <w:r w:rsidRPr="00191A04">
        <w:rPr>
          <w:sz w:val="18"/>
          <w:szCs w:val="18"/>
        </w:rPr>
        <w:t>MKBA’s</w:t>
      </w:r>
      <w:proofErr w:type="spellEnd"/>
      <w:r w:rsidRPr="00191A04">
        <w:rPr>
          <w:sz w:val="18"/>
          <w:szCs w:val="18"/>
        </w:rPr>
        <w:t>). Het is aan het CPB om te bepalen of de uitkomsten van de werkgroep aanleiding geven tot actualisatie van de houdbaarheidsberekeningen.</w:t>
      </w:r>
      <w:r w:rsidR="00B460E7">
        <w:rPr>
          <w:sz w:val="18"/>
          <w:szCs w:val="18"/>
        </w:rPr>
        <w:t xml:space="preserve"> Op basis hiervan is er geen spraken van een beoogde actualisatie van de 17</w:t>
      </w:r>
      <w:r w:rsidRPr="00CA1D42" w:rsidR="00B460E7">
        <w:rPr>
          <w:sz w:val="18"/>
          <w:szCs w:val="18"/>
          <w:vertAlign w:val="superscript"/>
        </w:rPr>
        <w:t>de</w:t>
      </w:r>
      <w:r w:rsidR="00B460E7">
        <w:rPr>
          <w:sz w:val="18"/>
          <w:szCs w:val="18"/>
        </w:rPr>
        <w:t xml:space="preserve"> studiegroep begrotingsruimte.</w:t>
      </w:r>
    </w:p>
    <w:p w:rsidR="0085241C" w:rsidP="0085241C" w:rsidRDefault="0085241C" w14:paraId="1566217C" w14:textId="77777777">
      <w:pPr>
        <w:pStyle w:val="Default"/>
        <w:spacing w:after="30"/>
        <w:rPr>
          <w:sz w:val="18"/>
          <w:szCs w:val="18"/>
        </w:rPr>
      </w:pPr>
    </w:p>
    <w:p w:rsidRPr="00191A04" w:rsidR="0085241C" w:rsidP="0085241C" w:rsidRDefault="0085241C" w14:paraId="0A1F4FF1" w14:textId="77777777">
      <w:pPr>
        <w:pStyle w:val="Default"/>
        <w:spacing w:after="30"/>
        <w:rPr>
          <w:i/>
          <w:iCs/>
          <w:sz w:val="18"/>
          <w:szCs w:val="18"/>
          <w:u w:val="single"/>
        </w:rPr>
      </w:pPr>
      <w:r w:rsidRPr="00191A04">
        <w:rPr>
          <w:i/>
          <w:iCs/>
          <w:sz w:val="18"/>
          <w:szCs w:val="18"/>
          <w:u w:val="single"/>
        </w:rPr>
        <w:t>Fiscale regelingen</w:t>
      </w:r>
    </w:p>
    <w:p w:rsidRPr="009A47ED" w:rsidR="0085241C" w:rsidP="0085241C" w:rsidRDefault="0085241C" w14:paraId="6E4A855F" w14:textId="77777777">
      <w:pPr>
        <w:pStyle w:val="Default"/>
        <w:spacing w:after="30"/>
        <w:rPr>
          <w:i/>
          <w:iCs/>
          <w:sz w:val="18"/>
          <w:szCs w:val="18"/>
        </w:rPr>
      </w:pPr>
    </w:p>
    <w:p w:rsidRPr="00191A04" w:rsidR="0085241C" w:rsidP="0085241C" w:rsidRDefault="0085241C" w14:paraId="3BEB8FE3" w14:textId="77777777">
      <w:pPr>
        <w:pStyle w:val="Default"/>
        <w:spacing w:after="30"/>
        <w:rPr>
          <w:i/>
          <w:iCs/>
          <w:sz w:val="18"/>
          <w:szCs w:val="18"/>
        </w:rPr>
      </w:pPr>
      <w:r w:rsidRPr="00191A04">
        <w:rPr>
          <w:i/>
          <w:iCs/>
          <w:sz w:val="18"/>
          <w:szCs w:val="18"/>
        </w:rPr>
        <w:t>De commissie verneemt graag waarom ervoor is gekozen sommige evaluaties van fiscale regelingen samen te voegen en of de minister er conform een eerdere aanbeveling van de Algemene Rekenkamer op kan toezien dat in lopende en komende evaluaties het toetsingskader voor elke fiscale regeling afzonderlijk wordt gehanteerd.</w:t>
      </w:r>
    </w:p>
    <w:p w:rsidRPr="00F97663" w:rsidR="0085241C" w:rsidP="0085241C" w:rsidRDefault="0085241C" w14:paraId="56FBD367" w14:textId="77777777">
      <w:pPr>
        <w:pStyle w:val="Default"/>
        <w:spacing w:after="30"/>
        <w:rPr>
          <w:i/>
          <w:iCs/>
          <w:sz w:val="18"/>
          <w:szCs w:val="18"/>
        </w:rPr>
      </w:pPr>
    </w:p>
    <w:p w:rsidRPr="00191A04" w:rsidR="0085241C" w:rsidP="0085241C" w:rsidRDefault="0085241C" w14:paraId="15E9EB64" w14:textId="77777777">
      <w:r w:rsidRPr="00191A04">
        <w:t xml:space="preserve">Het klopt dat bij sommige evaluaties fiscale regelingen worden samengevoegd, bijvoorbeeld bij de evaluatie van de verlaagde btw-tarieven of de fiscale </w:t>
      </w:r>
      <w:r w:rsidRPr="00191A04">
        <w:lastRenderedPageBreak/>
        <w:t xml:space="preserve">ondernemerschapsregelingen. De voornaamste reden hiervoor is dat het gaat om regelingen die beleidsmatig sterk met elkaar samenhangen. Het is dan niet alleen efficiënter, maar ook zinvoller om de regelingen gezamenlijk te evalueren. Wel worden in deze evaluatierapporten de verschillende fiscale regelingen apart beoordeeld op doeltreffendheid en doelmatigheid. Dat geldt ook voor de toepassing van het toetsingskader fiscale regelingen. Ook in lopende en komende evaluaties zal voor elke fiscale regeling het toetsingskader afzonderlijk gehanteerd worden. </w:t>
      </w:r>
    </w:p>
    <w:p w:rsidR="0085241C" w:rsidP="0085241C" w:rsidRDefault="0085241C" w14:paraId="49F80E0E" w14:textId="77777777">
      <w:pPr>
        <w:pStyle w:val="Default"/>
        <w:spacing w:after="30"/>
        <w:rPr>
          <w:sz w:val="18"/>
          <w:szCs w:val="18"/>
        </w:rPr>
      </w:pPr>
    </w:p>
    <w:p w:rsidRPr="00191A04" w:rsidR="0085241C" w:rsidP="0085241C" w:rsidRDefault="0085241C" w14:paraId="4C4007CD" w14:textId="77777777">
      <w:pPr>
        <w:pStyle w:val="Default"/>
        <w:spacing w:after="30"/>
        <w:rPr>
          <w:i/>
          <w:iCs/>
          <w:sz w:val="18"/>
          <w:szCs w:val="18"/>
        </w:rPr>
      </w:pPr>
      <w:r w:rsidRPr="00191A04">
        <w:rPr>
          <w:i/>
          <w:iCs/>
          <w:sz w:val="18"/>
          <w:szCs w:val="18"/>
        </w:rPr>
        <w:t>De commissie vraagt vooruitlopend op de Voorjaarsnotabesluitvorming voor het totaal aan uitgevoerde evaluaties van fiscale regelingen na te gaan in hoeverre die (alsnog) nopen tot aanpassing of afschaffing van de betrokken fiscale regelingen.</w:t>
      </w:r>
    </w:p>
    <w:p w:rsidR="0085241C" w:rsidP="0085241C" w:rsidRDefault="0085241C" w14:paraId="4F781FB5" w14:textId="77777777">
      <w:pPr>
        <w:pStyle w:val="Default"/>
        <w:spacing w:after="30"/>
        <w:rPr>
          <w:sz w:val="18"/>
          <w:szCs w:val="18"/>
        </w:rPr>
      </w:pPr>
    </w:p>
    <w:p w:rsidRPr="00191A04" w:rsidR="0085241C" w:rsidP="0085241C" w:rsidRDefault="0085241C" w14:paraId="4E655398" w14:textId="77777777">
      <w:r w:rsidRPr="00191A04">
        <w:t>Het uitgangspunt is dat negatief geëvalueerde regelingen afgeschaft of aangepast worden. In het ambtelijk rapport aanpak fiscale regelingen van 7 juli 2023 staat een overzicht met beoordelingen van fiscale regelingen, inclusief evaluatie-uitkomsten op doeltreffend- en doelmatigheid.</w:t>
      </w:r>
      <w:r w:rsidRPr="00191A04">
        <w:rPr>
          <w:rStyle w:val="Voetnootmarkering"/>
        </w:rPr>
        <w:footnoteReference w:id="3"/>
      </w:r>
      <w:r w:rsidRPr="00191A04">
        <w:t xml:space="preserve"> Na publicatie van dat rapport zijn een aantal evaluaties uitgevoerd, waarop het kabinet een reactie heeft gegeven in de brief van 17 oktober jl.</w:t>
      </w:r>
      <w:r w:rsidRPr="00191A04">
        <w:rPr>
          <w:rStyle w:val="Voetnootmarkering"/>
        </w:rPr>
        <w:footnoteReference w:id="4"/>
      </w:r>
      <w:r w:rsidRPr="00191A04">
        <w:t xml:space="preserve"> In diezelfde brief staat de toezegging dat richting het voorjaar een breed scala aan beleidsmaatregelen uitgewerkt wordt voor negatief beoordeelde fiscale regelingen. </w:t>
      </w:r>
    </w:p>
    <w:p w:rsidR="0085241C" w:rsidP="0085241C" w:rsidRDefault="0085241C" w14:paraId="2044DD31" w14:textId="77777777">
      <w:pPr>
        <w:pStyle w:val="Default"/>
        <w:spacing w:after="30"/>
        <w:rPr>
          <w:sz w:val="18"/>
          <w:szCs w:val="18"/>
        </w:rPr>
      </w:pPr>
    </w:p>
    <w:p w:rsidRPr="00191A04" w:rsidR="0085241C" w:rsidP="0085241C" w:rsidRDefault="0085241C" w14:paraId="0CE654A8" w14:textId="77777777">
      <w:pPr>
        <w:pStyle w:val="Default"/>
        <w:spacing w:after="30"/>
        <w:rPr>
          <w:i/>
          <w:iCs/>
          <w:sz w:val="18"/>
          <w:szCs w:val="18"/>
        </w:rPr>
      </w:pPr>
      <w:r w:rsidRPr="00191A04">
        <w:rPr>
          <w:i/>
          <w:iCs/>
          <w:sz w:val="18"/>
          <w:szCs w:val="18"/>
        </w:rPr>
        <w:t>De commissie verneemt graag welke mogelijkheden er zijn om het toetsingskader voor fiscale regelingen nog verder te verbeteren zodat eventueel geconstateerde negatieve neveneffecten van een fiscale regeling expliciet in de politieke besluitvorming over de regeling kunnen worden betrokken.</w:t>
      </w:r>
    </w:p>
    <w:p w:rsidR="0085241C" w:rsidP="0085241C" w:rsidRDefault="0085241C" w14:paraId="7B4A58D1" w14:textId="77777777">
      <w:pPr>
        <w:pStyle w:val="Default"/>
        <w:spacing w:after="30"/>
        <w:ind w:left="720"/>
        <w:rPr>
          <w:sz w:val="18"/>
          <w:szCs w:val="18"/>
        </w:rPr>
      </w:pPr>
    </w:p>
    <w:p w:rsidR="0085241C" w:rsidP="0085241C" w:rsidRDefault="0085241C" w14:paraId="6E3E3512" w14:textId="77777777">
      <w:pPr>
        <w:pStyle w:val="Default"/>
        <w:spacing w:after="30"/>
        <w:rPr>
          <w:sz w:val="18"/>
          <w:szCs w:val="18"/>
        </w:rPr>
      </w:pPr>
      <w:r w:rsidRPr="00191A04">
        <w:rPr>
          <w:sz w:val="18"/>
          <w:szCs w:val="18"/>
        </w:rPr>
        <w:t>Het toetsingskader is vanaf deze kabinetsperiode aangescherpt op aanbevelingen van de 17e studiegroep begrotingsruimte. Daarbij zijn onder andere vragen over doeltreffend- en doelmatigheid geïntegreerd in het toetsingskader en komt de noodzaak tot overheidsingrijpen expliciet aan bod. Indien er sprake is van negatieve neveneffecten komen deze aan bod in de doelmatigheidsanalyse, het toetsingskader fiscale regelingen en dus ook in de uiteindelijke evaluatie-uitkomsten. Daar kan vervolgens politieke besluitvorming over plaatsvinden.</w:t>
      </w:r>
    </w:p>
    <w:p w:rsidRPr="00191A04" w:rsidR="00F24C4E" w:rsidP="0085241C" w:rsidRDefault="00F24C4E" w14:paraId="6386EA26" w14:textId="77777777">
      <w:pPr>
        <w:pStyle w:val="Default"/>
        <w:spacing w:after="30"/>
        <w:rPr>
          <w:sz w:val="18"/>
          <w:szCs w:val="18"/>
        </w:rPr>
      </w:pPr>
    </w:p>
    <w:p w:rsidR="00F24C4E" w:rsidRDefault="00F24C4E" w14:paraId="49D1A253" w14:textId="77777777">
      <w:pPr>
        <w:spacing w:line="240" w:lineRule="auto"/>
        <w:rPr>
          <w:rFonts w:cs="Verdana"/>
          <w:u w:val="single"/>
        </w:rPr>
      </w:pPr>
      <w:r>
        <w:rPr>
          <w:u w:val="single"/>
        </w:rPr>
        <w:br w:type="page"/>
      </w:r>
    </w:p>
    <w:p w:rsidRPr="00F24C4E" w:rsidR="0085241C" w:rsidP="0085241C" w:rsidRDefault="004B3E51" w14:paraId="0A4D20EC" w14:textId="77777777">
      <w:pPr>
        <w:pStyle w:val="Default"/>
        <w:spacing w:after="30"/>
        <w:rPr>
          <w:sz w:val="18"/>
          <w:szCs w:val="18"/>
          <w:u w:val="single"/>
        </w:rPr>
      </w:pPr>
      <w:r>
        <w:rPr>
          <w:sz w:val="18"/>
          <w:szCs w:val="18"/>
          <w:u w:val="single"/>
        </w:rPr>
        <w:lastRenderedPageBreak/>
        <w:t>S</w:t>
      </w:r>
      <w:r w:rsidRPr="00F24C4E" w:rsidR="0085241C">
        <w:rPr>
          <w:sz w:val="18"/>
          <w:szCs w:val="18"/>
          <w:u w:val="single"/>
        </w:rPr>
        <w:t>tart- en afrondingsjaren</w:t>
      </w:r>
    </w:p>
    <w:p w:rsidR="0085241C" w:rsidP="0085241C" w:rsidRDefault="0085241C" w14:paraId="4BF4BE3F" w14:textId="77777777">
      <w:pPr>
        <w:pStyle w:val="Default"/>
        <w:spacing w:after="30"/>
        <w:rPr>
          <w:sz w:val="18"/>
          <w:szCs w:val="18"/>
        </w:rPr>
      </w:pPr>
    </w:p>
    <w:p w:rsidRPr="00A7758B" w:rsidR="0085241C" w:rsidP="0085241C" w:rsidRDefault="0085241C" w14:paraId="07335FCA" w14:textId="77777777">
      <w:pPr>
        <w:pStyle w:val="Default"/>
        <w:spacing w:after="30"/>
        <w:rPr>
          <w:i/>
          <w:iCs/>
          <w:sz w:val="18"/>
          <w:szCs w:val="18"/>
        </w:rPr>
      </w:pPr>
      <w:r w:rsidRPr="00A7758B">
        <w:rPr>
          <w:i/>
          <w:iCs/>
          <w:sz w:val="18"/>
          <w:szCs w:val="18"/>
        </w:rPr>
        <w:t>De commissie verneemt graag of kan worden aangeven van alle evaluaties waarvan startjaar niet is aangegeven (“te starten”) en/of het afrondingsjaar (“</w:t>
      </w:r>
      <w:proofErr w:type="spellStart"/>
      <w:r w:rsidRPr="00A7758B">
        <w:rPr>
          <w:i/>
          <w:iCs/>
          <w:sz w:val="18"/>
          <w:szCs w:val="18"/>
        </w:rPr>
        <w:t>n.t.b</w:t>
      </w:r>
      <w:proofErr w:type="spellEnd"/>
      <w:r w:rsidRPr="00A7758B">
        <w:rPr>
          <w:i/>
          <w:iCs/>
          <w:sz w:val="18"/>
          <w:szCs w:val="18"/>
        </w:rPr>
        <w:t>.”), wanneer deze zullen starten en worden afgerond.</w:t>
      </w:r>
    </w:p>
    <w:p w:rsidRPr="00191A04" w:rsidR="0085241C" w:rsidP="0085241C" w:rsidRDefault="0085241C" w14:paraId="58EE873F" w14:textId="77777777">
      <w:pPr>
        <w:pStyle w:val="Default"/>
        <w:spacing w:after="30"/>
        <w:rPr>
          <w:sz w:val="18"/>
          <w:szCs w:val="18"/>
        </w:rPr>
      </w:pPr>
    </w:p>
    <w:p w:rsidRPr="00191A04" w:rsidR="0085241C" w:rsidP="0085241C" w:rsidRDefault="0085241C" w14:paraId="51C764EF" w14:textId="77777777">
      <w:pPr>
        <w:pStyle w:val="Default"/>
        <w:spacing w:after="30"/>
        <w:rPr>
          <w:sz w:val="18"/>
          <w:szCs w:val="18"/>
        </w:rPr>
      </w:pPr>
      <w:r w:rsidRPr="00191A04">
        <w:rPr>
          <w:sz w:val="18"/>
          <w:szCs w:val="18"/>
        </w:rPr>
        <w:t>De afrondingsjaren van de evaluaties waar dit nog niet was aangegeven zijn:</w:t>
      </w:r>
    </w:p>
    <w:tbl>
      <w:tblPr>
        <w:tblStyle w:val="Tabelraster"/>
        <w:tblW w:w="0" w:type="auto"/>
        <w:tblLook w:val="04A0" w:firstRow="1" w:lastRow="0" w:firstColumn="1" w:lastColumn="0" w:noHBand="0" w:noVBand="1"/>
      </w:tblPr>
      <w:tblGrid>
        <w:gridCol w:w="5665"/>
        <w:gridCol w:w="1809"/>
      </w:tblGrid>
      <w:tr w:rsidRPr="00191A04" w:rsidR="0085241C" w:rsidTr="008B3DEE" w14:paraId="27DCD165" w14:textId="77777777">
        <w:tc>
          <w:tcPr>
            <w:tcW w:w="5665" w:type="dxa"/>
          </w:tcPr>
          <w:p w:rsidRPr="00191A04" w:rsidR="0085241C" w:rsidP="008B3DEE" w:rsidRDefault="0085241C" w14:paraId="697817FD" w14:textId="77777777">
            <w:pPr>
              <w:pStyle w:val="Default"/>
              <w:spacing w:after="30"/>
              <w:rPr>
                <w:b/>
                <w:bCs/>
                <w:sz w:val="18"/>
                <w:szCs w:val="18"/>
              </w:rPr>
            </w:pPr>
            <w:r w:rsidRPr="00191A04">
              <w:rPr>
                <w:b/>
                <w:bCs/>
                <w:sz w:val="18"/>
                <w:szCs w:val="18"/>
              </w:rPr>
              <w:t>Evaluatie</w:t>
            </w:r>
          </w:p>
        </w:tc>
        <w:tc>
          <w:tcPr>
            <w:tcW w:w="1809" w:type="dxa"/>
          </w:tcPr>
          <w:p w:rsidRPr="00191A04" w:rsidR="0085241C" w:rsidP="008B3DEE" w:rsidRDefault="0085241C" w14:paraId="3F3D25B8" w14:textId="77777777">
            <w:pPr>
              <w:pStyle w:val="Default"/>
              <w:spacing w:after="30"/>
              <w:rPr>
                <w:b/>
                <w:bCs/>
                <w:sz w:val="18"/>
                <w:szCs w:val="18"/>
              </w:rPr>
            </w:pPr>
            <w:r w:rsidRPr="00191A04">
              <w:rPr>
                <w:b/>
                <w:bCs/>
                <w:sz w:val="18"/>
                <w:szCs w:val="18"/>
              </w:rPr>
              <w:t>Afrondingsjaar</w:t>
            </w:r>
          </w:p>
        </w:tc>
      </w:tr>
      <w:tr w:rsidRPr="00191A04" w:rsidR="0085241C" w:rsidTr="008B3DEE" w14:paraId="7907E6C3" w14:textId="77777777">
        <w:tc>
          <w:tcPr>
            <w:tcW w:w="5665" w:type="dxa"/>
          </w:tcPr>
          <w:p w:rsidRPr="00191A04" w:rsidR="0085241C" w:rsidP="008B3DEE" w:rsidRDefault="0085241C" w14:paraId="5D59E974" w14:textId="77777777">
            <w:pPr>
              <w:pStyle w:val="Default"/>
              <w:spacing w:after="30"/>
              <w:rPr>
                <w:sz w:val="18"/>
                <w:szCs w:val="18"/>
              </w:rPr>
            </w:pPr>
            <w:r w:rsidRPr="00191A04">
              <w:rPr>
                <w:sz w:val="18"/>
                <w:szCs w:val="18"/>
              </w:rPr>
              <w:t>Evaluatie Discontovoet</w:t>
            </w:r>
          </w:p>
        </w:tc>
        <w:tc>
          <w:tcPr>
            <w:tcW w:w="1809" w:type="dxa"/>
          </w:tcPr>
          <w:p w:rsidRPr="00191A04" w:rsidR="0085241C" w:rsidP="008B3DEE" w:rsidRDefault="0085241C" w14:paraId="5D5DF835" w14:textId="77777777">
            <w:pPr>
              <w:pStyle w:val="Default"/>
              <w:spacing w:after="30"/>
              <w:rPr>
                <w:sz w:val="18"/>
                <w:szCs w:val="18"/>
              </w:rPr>
            </w:pPr>
            <w:r w:rsidRPr="00191A04">
              <w:rPr>
                <w:sz w:val="18"/>
                <w:szCs w:val="18"/>
              </w:rPr>
              <w:t>2025</w:t>
            </w:r>
          </w:p>
        </w:tc>
      </w:tr>
      <w:tr w:rsidRPr="00191A04" w:rsidR="0085241C" w:rsidTr="008B3DEE" w14:paraId="4B25A4E0" w14:textId="77777777">
        <w:tc>
          <w:tcPr>
            <w:tcW w:w="5665" w:type="dxa"/>
          </w:tcPr>
          <w:p w:rsidRPr="00760468" w:rsidR="0085241C" w:rsidP="008B3DEE" w:rsidRDefault="0085241C" w14:paraId="3F2CBB0E" w14:textId="77777777">
            <w:pPr>
              <w:pStyle w:val="Default"/>
              <w:spacing w:after="30"/>
              <w:rPr>
                <w:sz w:val="18"/>
                <w:szCs w:val="18"/>
              </w:rPr>
            </w:pPr>
            <w:r w:rsidRPr="00760468">
              <w:rPr>
                <w:sz w:val="18"/>
                <w:szCs w:val="18"/>
              </w:rPr>
              <w:t>Evaluatie verduurzaming publieke belangen</w:t>
            </w:r>
          </w:p>
        </w:tc>
        <w:tc>
          <w:tcPr>
            <w:tcW w:w="1809" w:type="dxa"/>
          </w:tcPr>
          <w:p w:rsidRPr="00760468" w:rsidR="0085241C" w:rsidP="008B3DEE" w:rsidRDefault="00760468" w14:paraId="3210D770" w14:textId="77777777">
            <w:pPr>
              <w:pStyle w:val="Default"/>
              <w:spacing w:after="30"/>
              <w:rPr>
                <w:sz w:val="18"/>
                <w:szCs w:val="18"/>
              </w:rPr>
            </w:pPr>
            <w:r w:rsidRPr="00760468">
              <w:rPr>
                <w:sz w:val="18"/>
                <w:szCs w:val="18"/>
              </w:rPr>
              <w:t>2030</w:t>
            </w:r>
          </w:p>
        </w:tc>
      </w:tr>
      <w:tr w:rsidRPr="00191A04" w:rsidR="0085241C" w:rsidTr="008B3DEE" w14:paraId="172D5488" w14:textId="77777777">
        <w:tc>
          <w:tcPr>
            <w:tcW w:w="5665" w:type="dxa"/>
          </w:tcPr>
          <w:p w:rsidRPr="00760468" w:rsidR="0085241C" w:rsidP="008B3DEE" w:rsidRDefault="0085241C" w14:paraId="7E330042" w14:textId="77777777">
            <w:pPr>
              <w:pStyle w:val="Default"/>
              <w:spacing w:after="30"/>
              <w:rPr>
                <w:sz w:val="18"/>
                <w:szCs w:val="18"/>
              </w:rPr>
            </w:pPr>
            <w:r w:rsidRPr="00760468">
              <w:rPr>
                <w:sz w:val="18"/>
                <w:szCs w:val="18"/>
              </w:rPr>
              <w:t>Evaluatie MVO-beleid</w:t>
            </w:r>
          </w:p>
        </w:tc>
        <w:tc>
          <w:tcPr>
            <w:tcW w:w="1809" w:type="dxa"/>
          </w:tcPr>
          <w:p w:rsidRPr="00760468" w:rsidR="0085241C" w:rsidP="008B3DEE" w:rsidRDefault="0085241C" w14:paraId="059DF0D8" w14:textId="77777777">
            <w:pPr>
              <w:pStyle w:val="Default"/>
              <w:spacing w:after="30"/>
              <w:rPr>
                <w:sz w:val="18"/>
                <w:szCs w:val="18"/>
              </w:rPr>
            </w:pPr>
            <w:r w:rsidRPr="00760468">
              <w:rPr>
                <w:sz w:val="18"/>
                <w:szCs w:val="18"/>
              </w:rPr>
              <w:t>2030</w:t>
            </w:r>
          </w:p>
        </w:tc>
      </w:tr>
      <w:tr w:rsidRPr="00191A04" w:rsidR="0085241C" w:rsidTr="008B3DEE" w14:paraId="09F8479E" w14:textId="77777777">
        <w:tc>
          <w:tcPr>
            <w:tcW w:w="5665" w:type="dxa"/>
          </w:tcPr>
          <w:p w:rsidRPr="00760468" w:rsidR="0085241C" w:rsidP="008B3DEE" w:rsidRDefault="0085241C" w14:paraId="41109283" w14:textId="77777777">
            <w:pPr>
              <w:pStyle w:val="Default"/>
              <w:spacing w:after="30"/>
              <w:rPr>
                <w:sz w:val="18"/>
                <w:szCs w:val="18"/>
              </w:rPr>
            </w:pPr>
            <w:r w:rsidRPr="00760468">
              <w:rPr>
                <w:sz w:val="18"/>
                <w:szCs w:val="18"/>
              </w:rPr>
              <w:t>Evaluatie verduurzaming exportkredietverzekering</w:t>
            </w:r>
          </w:p>
        </w:tc>
        <w:tc>
          <w:tcPr>
            <w:tcW w:w="1809" w:type="dxa"/>
          </w:tcPr>
          <w:p w:rsidRPr="00760468" w:rsidR="0085241C" w:rsidP="008B3DEE" w:rsidRDefault="0085241C" w14:paraId="33D192C4" w14:textId="77777777">
            <w:pPr>
              <w:pStyle w:val="Default"/>
              <w:spacing w:after="30"/>
              <w:rPr>
                <w:sz w:val="18"/>
                <w:szCs w:val="18"/>
              </w:rPr>
            </w:pPr>
            <w:r w:rsidRPr="00760468">
              <w:rPr>
                <w:sz w:val="18"/>
                <w:szCs w:val="18"/>
              </w:rPr>
              <w:t>2030</w:t>
            </w:r>
          </w:p>
        </w:tc>
      </w:tr>
      <w:tr w:rsidRPr="00191A04" w:rsidR="0085241C" w:rsidTr="008B3DEE" w14:paraId="0BA73F30" w14:textId="77777777">
        <w:tc>
          <w:tcPr>
            <w:tcW w:w="5665" w:type="dxa"/>
          </w:tcPr>
          <w:p w:rsidRPr="00760468" w:rsidR="0085241C" w:rsidP="008B3DEE" w:rsidRDefault="0085241C" w14:paraId="14E026C8" w14:textId="77777777">
            <w:pPr>
              <w:pStyle w:val="Default"/>
              <w:spacing w:after="30"/>
              <w:rPr>
                <w:sz w:val="18"/>
                <w:szCs w:val="18"/>
              </w:rPr>
            </w:pPr>
            <w:r w:rsidRPr="00760468">
              <w:rPr>
                <w:sz w:val="18"/>
                <w:szCs w:val="18"/>
              </w:rPr>
              <w:t>Evaluatie verduurzaming financiële markten</w:t>
            </w:r>
          </w:p>
        </w:tc>
        <w:tc>
          <w:tcPr>
            <w:tcW w:w="1809" w:type="dxa"/>
          </w:tcPr>
          <w:p w:rsidRPr="00760468" w:rsidR="0085241C" w:rsidP="008B3DEE" w:rsidRDefault="00760468" w14:paraId="763C8AD7" w14:textId="77777777">
            <w:pPr>
              <w:pStyle w:val="Default"/>
              <w:spacing w:after="30"/>
              <w:rPr>
                <w:sz w:val="18"/>
                <w:szCs w:val="18"/>
              </w:rPr>
            </w:pPr>
            <w:r w:rsidRPr="00760468">
              <w:rPr>
                <w:sz w:val="18"/>
                <w:szCs w:val="18"/>
              </w:rPr>
              <w:t>2030</w:t>
            </w:r>
          </w:p>
        </w:tc>
      </w:tr>
      <w:tr w:rsidRPr="00191A04" w:rsidR="0085241C" w:rsidTr="008B3DEE" w14:paraId="3679B7A2" w14:textId="77777777">
        <w:tc>
          <w:tcPr>
            <w:tcW w:w="5665" w:type="dxa"/>
          </w:tcPr>
          <w:p w:rsidRPr="00760468" w:rsidR="0085241C" w:rsidP="008B3DEE" w:rsidRDefault="0085241C" w14:paraId="2A2FC943" w14:textId="77777777">
            <w:pPr>
              <w:pStyle w:val="Default"/>
              <w:spacing w:after="30"/>
              <w:rPr>
                <w:sz w:val="18"/>
                <w:szCs w:val="18"/>
              </w:rPr>
            </w:pPr>
            <w:r w:rsidRPr="00760468">
              <w:rPr>
                <w:sz w:val="18"/>
                <w:szCs w:val="18"/>
              </w:rPr>
              <w:t xml:space="preserve">Evaluatie doeltreffendheid en effecten art. 4:24a </w:t>
            </w:r>
            <w:proofErr w:type="spellStart"/>
            <w:r w:rsidRPr="00760468">
              <w:rPr>
                <w:sz w:val="18"/>
                <w:szCs w:val="18"/>
              </w:rPr>
              <w:t>Wft</w:t>
            </w:r>
            <w:proofErr w:type="spellEnd"/>
          </w:p>
        </w:tc>
        <w:tc>
          <w:tcPr>
            <w:tcW w:w="1809" w:type="dxa"/>
          </w:tcPr>
          <w:p w:rsidRPr="00760468" w:rsidR="0085241C" w:rsidP="008B3DEE" w:rsidRDefault="00760468" w14:paraId="0648EB5B" w14:textId="77777777">
            <w:pPr>
              <w:pStyle w:val="Default"/>
              <w:spacing w:after="30"/>
              <w:rPr>
                <w:sz w:val="18"/>
                <w:szCs w:val="18"/>
              </w:rPr>
            </w:pPr>
            <w:proofErr w:type="spellStart"/>
            <w:r>
              <w:rPr>
                <w:sz w:val="18"/>
                <w:szCs w:val="18"/>
              </w:rPr>
              <w:t>n.t.b</w:t>
            </w:r>
            <w:proofErr w:type="spellEnd"/>
            <w:r>
              <w:rPr>
                <w:sz w:val="18"/>
                <w:szCs w:val="18"/>
              </w:rPr>
              <w:t>.</w:t>
            </w:r>
          </w:p>
        </w:tc>
      </w:tr>
    </w:tbl>
    <w:p w:rsidR="00760468" w:rsidP="00760468" w:rsidRDefault="00760468" w14:paraId="768696D1" w14:textId="77777777"/>
    <w:p w:rsidR="00760468" w:rsidP="00760468" w:rsidRDefault="00760468" w14:paraId="2454CF61" w14:textId="77777777">
      <w:r>
        <w:t>Bij de ‘</w:t>
      </w:r>
      <w:r w:rsidRPr="00191A04">
        <w:t xml:space="preserve">Evaluatie doeltreffendheid en effecten art. 4:24a </w:t>
      </w:r>
      <w:proofErr w:type="spellStart"/>
      <w:r w:rsidRPr="00191A04">
        <w:t>Wft</w:t>
      </w:r>
      <w:proofErr w:type="spellEnd"/>
      <w:r>
        <w:t xml:space="preserve">’ is nog steeds sprake van een </w:t>
      </w:r>
      <w:proofErr w:type="spellStart"/>
      <w:r>
        <w:t>n.t.b</w:t>
      </w:r>
      <w:proofErr w:type="spellEnd"/>
      <w:r>
        <w:t>. omdat nog niet bekend is wanneer deze evaluatie kan worden uitgevoerd. Dit komt omdat nog</w:t>
      </w:r>
      <w:r w:rsidRPr="00946E21">
        <w:t xml:space="preserve"> niet formeel gehandhaafd </w:t>
      </w:r>
      <w:r>
        <w:t xml:space="preserve">is </w:t>
      </w:r>
      <w:r w:rsidRPr="00946E21">
        <w:t xml:space="preserve">op grond van art. 4:24a </w:t>
      </w:r>
      <w:proofErr w:type="spellStart"/>
      <w:r w:rsidRPr="00946E21">
        <w:t>Wft</w:t>
      </w:r>
      <w:proofErr w:type="spellEnd"/>
      <w:r w:rsidRPr="00946E21">
        <w:t xml:space="preserve"> en de evaluatie zal worden uitgevoerd op een moment dat de AFM handhaving heeft ingezet op grond van het genoemde artikel en er voldoende ontwikkelingen in de bestuursrechtelijke rechtspraak zijn om een oordeel over de </w:t>
      </w:r>
      <w:r>
        <w:t>effecten</w:t>
      </w:r>
      <w:r w:rsidRPr="00946E21">
        <w:t xml:space="preserve"> te kunnen vormen</w:t>
      </w:r>
      <w:r>
        <w:t>.</w:t>
      </w:r>
    </w:p>
    <w:p w:rsidRPr="00191A04" w:rsidR="00760468" w:rsidP="0085241C" w:rsidRDefault="00760468" w14:paraId="64A49507" w14:textId="77777777">
      <w:pPr>
        <w:pStyle w:val="Default"/>
        <w:spacing w:after="30"/>
        <w:rPr>
          <w:sz w:val="18"/>
          <w:szCs w:val="18"/>
        </w:rPr>
      </w:pPr>
    </w:p>
    <w:p w:rsidRPr="00191A04" w:rsidR="0085241C" w:rsidP="0085241C" w:rsidRDefault="0085241C" w14:paraId="18F610C0" w14:textId="77777777">
      <w:r w:rsidRPr="00191A04">
        <w:t xml:space="preserve">Conform de Rijksbegrotingsvoorschriften is het startjaar niet in de tabellen van de Strategische Evaluatie Agenda opgenomen. Onder ‘status’ wordt alleen aangegeven of de evaluatie ‘te starten’, ‘lopend’, of ‘afgerond’ is. Voor alle onderzoeken en evaluaties op de SEA van het ministerie van Financiën geldt dat het jaartal in de tabel het jaar van afronding betreft. Hoe ver voor het afrondingsjaar de evaluaties worden opgestart is onder andere afhankelijk van de omvang en of het een intern of extern onderzoek betreft. Echter worden alle evaluaties in principe binnen 2 jaar voor het aangegeven afrondingsjaar gestart.  In een deel van de gevallen zal de start een jaar eerder zijn dan het jaar van afronding, in andere gevallen is start en afronding in hetzelfde jaar. </w:t>
      </w:r>
    </w:p>
    <w:p w:rsidR="0085241C" w:rsidP="0085241C" w:rsidRDefault="0085241C" w14:paraId="32ED5C1C" w14:textId="77777777">
      <w:pPr>
        <w:pStyle w:val="Default"/>
        <w:spacing w:after="30"/>
        <w:rPr>
          <w:sz w:val="18"/>
          <w:szCs w:val="18"/>
        </w:rPr>
      </w:pPr>
    </w:p>
    <w:p w:rsidRPr="00191A04" w:rsidR="0085241C" w:rsidP="0085241C" w:rsidRDefault="0085241C" w14:paraId="56F36727" w14:textId="77777777">
      <w:pPr>
        <w:pStyle w:val="Default"/>
        <w:spacing w:after="30"/>
        <w:rPr>
          <w:sz w:val="18"/>
          <w:szCs w:val="18"/>
          <w:u w:val="single"/>
        </w:rPr>
      </w:pPr>
      <w:r w:rsidRPr="00191A04">
        <w:rPr>
          <w:sz w:val="18"/>
          <w:szCs w:val="18"/>
          <w:u w:val="single"/>
        </w:rPr>
        <w:t>Evaluatie hersteloperatie toeslagen</w:t>
      </w:r>
    </w:p>
    <w:p w:rsidRPr="00825F42" w:rsidR="0085241C" w:rsidP="0085241C" w:rsidRDefault="0085241C" w14:paraId="52C919DC" w14:textId="77777777">
      <w:pPr>
        <w:pStyle w:val="Default"/>
        <w:spacing w:after="30"/>
        <w:rPr>
          <w:i/>
          <w:iCs/>
          <w:sz w:val="18"/>
          <w:szCs w:val="18"/>
        </w:rPr>
      </w:pPr>
    </w:p>
    <w:p w:rsidRPr="00191A04" w:rsidR="0085241C" w:rsidP="0085241C" w:rsidRDefault="0085241C" w14:paraId="07F1ECD5" w14:textId="77777777">
      <w:pPr>
        <w:pStyle w:val="Default"/>
        <w:spacing w:after="30"/>
        <w:rPr>
          <w:i/>
          <w:iCs/>
          <w:sz w:val="18"/>
          <w:szCs w:val="18"/>
        </w:rPr>
      </w:pPr>
      <w:r w:rsidRPr="00191A04">
        <w:rPr>
          <w:i/>
          <w:iCs/>
          <w:sz w:val="18"/>
          <w:szCs w:val="18"/>
        </w:rPr>
        <w:t>De commissie verneemt graag wanneer de Kamer de opzet van de periodieke rapportage naar de doeltreffendheid en doelmatigheid van het financieel herstel van gedupeerden van de toeslagenaffaire kan verwachten.</w:t>
      </w:r>
    </w:p>
    <w:p w:rsidRPr="0085241C" w:rsidR="0085241C" w:rsidP="0085241C" w:rsidRDefault="0085241C" w14:paraId="67176E09" w14:textId="77777777">
      <w:pPr>
        <w:autoSpaceDN/>
        <w:spacing w:line="240" w:lineRule="auto"/>
        <w:textAlignment w:val="auto"/>
        <w:rPr>
          <w:rFonts w:ascii="Calibri" w:hAnsi="Calibri" w:eastAsia="Times New Roman"/>
          <w:i/>
          <w:iCs/>
          <w:color w:val="auto"/>
          <w:sz w:val="22"/>
          <w:szCs w:val="22"/>
        </w:rPr>
      </w:pPr>
    </w:p>
    <w:p w:rsidR="0085241C" w:rsidP="0085241C" w:rsidRDefault="0085241C" w14:paraId="08E53420" w14:textId="77777777">
      <w:pPr>
        <w:autoSpaceDN/>
        <w:spacing w:line="240" w:lineRule="auto"/>
        <w:textAlignment w:val="auto"/>
        <w:rPr>
          <w:rFonts w:eastAsia="Times New Roman"/>
        </w:rPr>
      </w:pPr>
      <w:r w:rsidRPr="00191A04">
        <w:rPr>
          <w:rFonts w:eastAsia="Times New Roman"/>
        </w:rPr>
        <w:t>De opzet voor de periodieke rapportage naar de doeltreffendheid en doelmatigheid van het financieel herstel van gedupeerden van de toeslagenaffaire zal, mede op basis van de evaluatie van de wet hersteloperatie toeslagen, in 2026 aan de Kamer worden verzonden.</w:t>
      </w:r>
    </w:p>
    <w:p w:rsidR="00F24C4E" w:rsidRDefault="00F24C4E" w14:paraId="5C0D75D5" w14:textId="77777777">
      <w:pPr>
        <w:spacing w:line="240" w:lineRule="auto"/>
        <w:rPr>
          <w:rFonts w:eastAsia="Times New Roman"/>
        </w:rPr>
      </w:pPr>
      <w:r>
        <w:rPr>
          <w:rFonts w:eastAsia="Times New Roman"/>
        </w:rPr>
        <w:br w:type="page"/>
      </w:r>
    </w:p>
    <w:p w:rsidR="00AD0F7D" w:rsidP="00AD0F7D" w:rsidRDefault="00AD0F7D" w14:paraId="0B6E4DCA" w14:textId="77777777">
      <w:pPr>
        <w:pStyle w:val="Lijstalinea"/>
        <w:numPr>
          <w:ilvl w:val="0"/>
          <w:numId w:val="7"/>
        </w:numPr>
        <w:spacing w:line="240" w:lineRule="atLeast"/>
        <w:jc w:val="left"/>
        <w:rPr>
          <w:rFonts w:ascii="Verdana" w:hAnsi="Verdana"/>
          <w:b/>
          <w:sz w:val="18"/>
          <w:szCs w:val="18"/>
        </w:rPr>
      </w:pPr>
      <w:r w:rsidRPr="00AD0F7D">
        <w:rPr>
          <w:rFonts w:ascii="Verdana" w:hAnsi="Verdana"/>
          <w:b/>
          <w:sz w:val="18"/>
          <w:szCs w:val="18"/>
        </w:rPr>
        <w:lastRenderedPageBreak/>
        <w:t xml:space="preserve">Brede </w:t>
      </w:r>
      <w:r w:rsidR="004F15DE">
        <w:rPr>
          <w:rFonts w:ascii="Verdana" w:hAnsi="Verdana"/>
          <w:b/>
          <w:sz w:val="18"/>
          <w:szCs w:val="18"/>
        </w:rPr>
        <w:t>W</w:t>
      </w:r>
      <w:r w:rsidRPr="00AD0F7D">
        <w:rPr>
          <w:rFonts w:ascii="Verdana" w:hAnsi="Verdana"/>
          <w:b/>
          <w:sz w:val="18"/>
          <w:szCs w:val="18"/>
        </w:rPr>
        <w:t xml:space="preserve">elvaart </w:t>
      </w:r>
    </w:p>
    <w:p w:rsidR="00EC5B47" w:rsidP="00EC5B47" w:rsidRDefault="00EC5B47" w14:paraId="21AAF6F5" w14:textId="77777777">
      <w:pPr>
        <w:pStyle w:val="Lijstalinea"/>
        <w:spacing w:line="240" w:lineRule="atLeast"/>
        <w:ind w:left="502"/>
        <w:jc w:val="left"/>
        <w:rPr>
          <w:rFonts w:ascii="Verdana" w:hAnsi="Verdana"/>
          <w:b/>
          <w:sz w:val="18"/>
          <w:szCs w:val="18"/>
        </w:rPr>
      </w:pPr>
    </w:p>
    <w:p w:rsidRPr="00191A04" w:rsidR="00AD0F7D" w:rsidP="00AD0F7D" w:rsidRDefault="00A7758B" w14:paraId="36D0CDCD" w14:textId="77777777">
      <w:pPr>
        <w:rPr>
          <w:i/>
          <w:iCs/>
        </w:rPr>
      </w:pPr>
      <w:r>
        <w:rPr>
          <w:i/>
          <w:iCs/>
        </w:rPr>
        <w:t xml:space="preserve">De commissie verneemt graag </w:t>
      </w:r>
      <w:r w:rsidRPr="00191A04" w:rsidR="00AD0F7D">
        <w:rPr>
          <w:i/>
          <w:iCs/>
        </w:rPr>
        <w:t xml:space="preserve">welke streefwaarden het kabinet hanteert voor de indicatoren opgenomen in de </w:t>
      </w:r>
      <w:proofErr w:type="spellStart"/>
      <w:r w:rsidRPr="00191A04" w:rsidR="00AD0F7D">
        <w:rPr>
          <w:i/>
          <w:iCs/>
        </w:rPr>
        <w:t>factsheet</w:t>
      </w:r>
      <w:proofErr w:type="spellEnd"/>
      <w:r w:rsidRPr="00191A04" w:rsidR="00AD0F7D">
        <w:rPr>
          <w:i/>
          <w:iCs/>
        </w:rPr>
        <w:t xml:space="preserve"> Brede Welvaart voor het ministerie van Financiën</w:t>
      </w:r>
      <w:r>
        <w:rPr>
          <w:i/>
          <w:iCs/>
        </w:rPr>
        <w:t>.</w:t>
      </w:r>
    </w:p>
    <w:p w:rsidR="002860D3" w:rsidP="002860D3" w:rsidRDefault="002860D3" w14:paraId="0373FF2D" w14:textId="77777777">
      <w:pPr>
        <w:rPr>
          <w:highlight w:val="yellow"/>
        </w:rPr>
      </w:pPr>
    </w:p>
    <w:p w:rsidRPr="00191A04" w:rsidR="002860D3" w:rsidP="002860D3" w:rsidRDefault="002860D3" w14:paraId="141122B0" w14:textId="77777777">
      <w:r w:rsidRPr="00191A04">
        <w:t xml:space="preserve">Het ministerie van Financiën onderschrijft de informatiewaarde van Brede Welvaart en de indicatoren die zijn opgenomen in de </w:t>
      </w:r>
      <w:proofErr w:type="spellStart"/>
      <w:r w:rsidRPr="00191A04">
        <w:t>factsheet</w:t>
      </w:r>
      <w:proofErr w:type="spellEnd"/>
      <w:r w:rsidRPr="00191A04">
        <w:t xml:space="preserve"> Brede Welvaart van het CBS. Voor een lerende overheid is het belangrijk om hier elk jaar kennis van te nemen, en dit mee te nemen in het opstellen van nieuw beleid. Brede welvaartsindicatoren vormen hiermee belangrijke input in het beleidsproces, maar zijn geen uitkomstmaten waar expliciet op wordt gestuurd</w:t>
      </w:r>
      <w:r w:rsidR="00E525F4">
        <w:t>, noch hanteert het kabinet streefwaarden</w:t>
      </w:r>
      <w:r w:rsidR="004F15DE">
        <w:t xml:space="preserve"> voor de indicatoren die zijn opgenomen in de </w:t>
      </w:r>
      <w:proofErr w:type="spellStart"/>
      <w:r w:rsidR="004F15DE">
        <w:t>factsheet</w:t>
      </w:r>
      <w:proofErr w:type="spellEnd"/>
      <w:r w:rsidR="004F15DE">
        <w:t xml:space="preserve"> Brede Welvaart</w:t>
      </w:r>
      <w:r w:rsidRPr="00191A04" w:rsidR="004F15DE">
        <w:t>.</w:t>
      </w:r>
    </w:p>
    <w:p w:rsidRPr="009C395F" w:rsidR="002860D3" w:rsidP="00AD0F7D" w:rsidRDefault="002860D3" w14:paraId="706C7C65" w14:textId="77777777"/>
    <w:p w:rsidRPr="009C395F" w:rsidR="00AD0F7D" w:rsidP="00AD0F7D" w:rsidRDefault="00AD0F7D" w14:paraId="0CED3351" w14:textId="77777777"/>
    <w:p w:rsidR="00AD0F7D" w:rsidP="00AD0F7D" w:rsidRDefault="00AD0F7D" w14:paraId="02D67163" w14:textId="77777777">
      <w:pPr>
        <w:pStyle w:val="Lijstalinea"/>
        <w:numPr>
          <w:ilvl w:val="0"/>
          <w:numId w:val="7"/>
        </w:numPr>
        <w:spacing w:line="240" w:lineRule="atLeast"/>
        <w:jc w:val="left"/>
        <w:rPr>
          <w:rFonts w:ascii="Verdana" w:hAnsi="Verdana"/>
          <w:b/>
          <w:sz w:val="18"/>
          <w:szCs w:val="18"/>
        </w:rPr>
      </w:pPr>
      <w:r w:rsidRPr="00AD0F7D">
        <w:rPr>
          <w:rFonts w:ascii="Verdana" w:hAnsi="Verdana"/>
          <w:b/>
          <w:sz w:val="18"/>
          <w:szCs w:val="18"/>
        </w:rPr>
        <w:t>Arbeidsmarktkrapt</w:t>
      </w:r>
      <w:r w:rsidR="00EC5B47">
        <w:rPr>
          <w:rFonts w:ascii="Verdana" w:hAnsi="Verdana"/>
          <w:b/>
          <w:sz w:val="18"/>
          <w:szCs w:val="18"/>
        </w:rPr>
        <w:t>e</w:t>
      </w:r>
    </w:p>
    <w:p w:rsidRPr="00AD0F7D" w:rsidR="00EC5B47" w:rsidP="00EC5B47" w:rsidRDefault="00EC5B47" w14:paraId="77C896F6" w14:textId="77777777">
      <w:pPr>
        <w:pStyle w:val="Lijstalinea"/>
        <w:spacing w:line="240" w:lineRule="atLeast"/>
        <w:ind w:left="502"/>
        <w:jc w:val="left"/>
        <w:rPr>
          <w:rFonts w:ascii="Verdana" w:hAnsi="Verdana"/>
          <w:b/>
          <w:sz w:val="18"/>
          <w:szCs w:val="18"/>
        </w:rPr>
      </w:pPr>
    </w:p>
    <w:p w:rsidRPr="00191A04" w:rsidR="00D7602B" w:rsidP="00052D2D" w:rsidRDefault="00D7602B" w14:paraId="65545DD1" w14:textId="77777777">
      <w:pPr>
        <w:spacing w:line="240" w:lineRule="auto"/>
        <w:rPr>
          <w:i/>
          <w:iCs/>
        </w:rPr>
      </w:pPr>
      <w:r w:rsidRPr="00191A04">
        <w:rPr>
          <w:i/>
          <w:iCs/>
        </w:rPr>
        <w:t>De commissie vraagt de minister te reflecteren op de uitdaging die arbeidsmarktkrapte en het tekort aan IV-capaciteit vormen voor de Belastingdienst en de Dienst Toeslagen.</w:t>
      </w:r>
    </w:p>
    <w:p w:rsidR="00D7602B" w:rsidP="00052D2D" w:rsidRDefault="00D7602B" w14:paraId="70A014D5" w14:textId="77777777">
      <w:pPr>
        <w:spacing w:line="240" w:lineRule="auto"/>
      </w:pPr>
    </w:p>
    <w:p w:rsidR="00D7602B" w:rsidP="00F97663" w:rsidRDefault="00291E2C" w14:paraId="484C1D86" w14:textId="77777777">
      <w:pPr>
        <w:spacing w:after="240"/>
        <w:rPr>
          <w:color w:val="000000" w:themeColor="text1"/>
        </w:rPr>
      </w:pPr>
      <w:r w:rsidRPr="00191A04">
        <w:rPr>
          <w:color w:val="000000" w:themeColor="text1"/>
        </w:rPr>
        <w:t xml:space="preserve">De personele bezetting van zowel de Belastingdienst als Dienst Toeslagen staat blijvend onder druk door taakuitbreidingen en intensiveringen, alsmede door de (structurele) krappe arbeidsmarkt en de verder oplopende pensioen- en reguliere uitstroom. Dit geldt nog meer voor IV-functies. Om kritisch (IV) personeel blijvend te kunnen aantrekken en behouden, zetten de Belastingdienst en Dienst Toeslagen in op een intensievere (pre)arbeidsmarktbenadering, werving en opleidingstrajecten. Daarnaast wordt geïnvesteerd in vitaliteit en vakmanschap van onze medewerkers en het minder arbeidsintensief organiseren van onze werk- en IV-processen. </w:t>
      </w:r>
    </w:p>
    <w:p w:rsidRPr="00191A04" w:rsidR="00F24C4E" w:rsidP="00F97663" w:rsidRDefault="00F24C4E" w14:paraId="2B15781F" w14:textId="77777777">
      <w:pPr>
        <w:spacing w:after="240"/>
      </w:pPr>
    </w:p>
    <w:p w:rsidRPr="006034A3" w:rsidR="00D7602B" w:rsidP="00F24C4E" w:rsidRDefault="00D7602B" w14:paraId="71ADF9F3" w14:textId="77777777">
      <w:pPr>
        <w:pStyle w:val="Lijstalinea"/>
        <w:numPr>
          <w:ilvl w:val="0"/>
          <w:numId w:val="7"/>
        </w:numPr>
        <w:spacing w:line="240" w:lineRule="atLeast"/>
        <w:jc w:val="left"/>
        <w:rPr>
          <w:rFonts w:ascii="Verdana" w:hAnsi="Verdana"/>
          <w:b/>
          <w:sz w:val="18"/>
          <w:szCs w:val="18"/>
        </w:rPr>
      </w:pPr>
      <w:r w:rsidRPr="006034A3">
        <w:rPr>
          <w:rFonts w:ascii="Verdana" w:hAnsi="Verdana"/>
          <w:b/>
          <w:sz w:val="18"/>
          <w:szCs w:val="18"/>
        </w:rPr>
        <w:t>Risicoparagraaf</w:t>
      </w:r>
    </w:p>
    <w:p w:rsidRPr="006034A3" w:rsidR="00D7602B" w:rsidP="00D7602B" w:rsidRDefault="00D7602B" w14:paraId="3A5AE46D" w14:textId="77777777">
      <w:pPr>
        <w:pStyle w:val="Default"/>
        <w:rPr>
          <w:sz w:val="18"/>
          <w:szCs w:val="18"/>
        </w:rPr>
      </w:pPr>
    </w:p>
    <w:p w:rsidRPr="00191A04" w:rsidR="00D7602B" w:rsidP="00D7602B" w:rsidRDefault="00D7602B" w14:paraId="4BF9FAE5" w14:textId="77777777">
      <w:pPr>
        <w:pStyle w:val="Default"/>
        <w:rPr>
          <w:i/>
          <w:iCs/>
          <w:sz w:val="18"/>
          <w:szCs w:val="18"/>
        </w:rPr>
      </w:pPr>
      <w:r w:rsidRPr="00191A04">
        <w:rPr>
          <w:i/>
          <w:iCs/>
          <w:sz w:val="18"/>
          <w:szCs w:val="18"/>
        </w:rPr>
        <w:t xml:space="preserve">De commissie vraagt of en in hoeverre de minister bereid is de Rijksbegrotingsvoorschriften aan te vullen met een risicoparagraaf per beleidsartikel voor beleidsmatige risico’s met bijvoorbeeld risicomatrices? En zo niet, waarom niet? </w:t>
      </w:r>
    </w:p>
    <w:p w:rsidR="00291E2C" w:rsidP="00D7602B" w:rsidRDefault="00291E2C" w14:paraId="501B001A" w14:textId="77777777">
      <w:pPr>
        <w:pStyle w:val="Default"/>
        <w:rPr>
          <w:sz w:val="18"/>
          <w:szCs w:val="18"/>
        </w:rPr>
      </w:pPr>
    </w:p>
    <w:p w:rsidRPr="00191A04" w:rsidR="00291E2C" w:rsidP="00291E2C" w:rsidRDefault="00291E2C" w14:paraId="36DFC847" w14:textId="77777777">
      <w:pPr>
        <w:rPr>
          <w:rFonts w:ascii="Calibri" w:hAnsi="Calibri"/>
          <w:color w:val="auto"/>
        </w:rPr>
      </w:pPr>
      <w:r w:rsidRPr="00191A04">
        <w:t xml:space="preserve">Iedere vakminister is verantwoordelijk voor het behalen van beleidsdoelstellingen en daarmee om aandacht te schenken aan mogelijke de beleidsrisico’s die het behalen van de doelstellingen in de weg staan. Deze risico’s kunnen worden benoemd in de beleidsagenda en het beleidsverslag. In de </w:t>
      </w:r>
      <w:proofErr w:type="spellStart"/>
      <w:r w:rsidRPr="00191A04">
        <w:t>bedrijfsvoeringsparagraaf</w:t>
      </w:r>
      <w:proofErr w:type="spellEnd"/>
      <w:r w:rsidRPr="00191A04">
        <w:t xml:space="preserve"> in het jaarverslag wordt reeds gerapporteerd over </w:t>
      </w:r>
      <w:proofErr w:type="spellStart"/>
      <w:r w:rsidRPr="00191A04">
        <w:t>bedrijfsvoeringsrisico’s</w:t>
      </w:r>
      <w:proofErr w:type="spellEnd"/>
      <w:r w:rsidRPr="00191A04">
        <w:t>, M&amp;O, fraude en corruptie. Op diverse plaatsen wordt dus al ingegaan op (beleidsmatige) risico’s.</w:t>
      </w:r>
    </w:p>
    <w:p w:rsidRPr="005376D5" w:rsidR="00291E2C" w:rsidP="00496DEE" w:rsidRDefault="00291E2C" w14:paraId="421315AC" w14:textId="77777777">
      <w:pPr>
        <w:pStyle w:val="Default"/>
        <w:rPr>
          <w:sz w:val="18"/>
          <w:szCs w:val="18"/>
        </w:rPr>
      </w:pPr>
    </w:p>
    <w:p w:rsidRPr="00191A04" w:rsidR="00D7602B" w:rsidP="00D7602B" w:rsidRDefault="002A4F6B" w14:paraId="71334511" w14:textId="77777777">
      <w:pPr>
        <w:pStyle w:val="Default"/>
        <w:rPr>
          <w:i/>
          <w:iCs/>
          <w:sz w:val="18"/>
          <w:szCs w:val="18"/>
        </w:rPr>
      </w:pPr>
      <w:r w:rsidRPr="00191A04">
        <w:rPr>
          <w:i/>
          <w:iCs/>
          <w:sz w:val="18"/>
          <w:szCs w:val="18"/>
        </w:rPr>
        <w:t xml:space="preserve">De rapporteurs constateren dat de begroting conform rijksbegrotingsvoorschriften wel gestructureerd inzicht geeft in de financiële risico’s van garantieverplichtingen, maar niet in de risico’s voor de verwezenlijking van het voorgenomen beleid waaronder de belastinginkomsten. Hoewel dat laatste ook niet in de rijksbegrotingsvoorschriften is voorgeschreven, laat de minister dit over aan de vakministers. </w:t>
      </w:r>
      <w:r w:rsidRPr="00191A04" w:rsidR="00D7602B">
        <w:rPr>
          <w:i/>
          <w:iCs/>
          <w:sz w:val="18"/>
          <w:szCs w:val="18"/>
        </w:rPr>
        <w:t xml:space="preserve">De commissie verneemt graag of </w:t>
      </w:r>
      <w:r w:rsidRPr="00191A04">
        <w:rPr>
          <w:i/>
          <w:iCs/>
          <w:sz w:val="18"/>
          <w:szCs w:val="18"/>
        </w:rPr>
        <w:t>ik</w:t>
      </w:r>
      <w:r w:rsidRPr="00191A04" w:rsidR="00D7602B">
        <w:rPr>
          <w:i/>
          <w:iCs/>
          <w:sz w:val="18"/>
          <w:szCs w:val="18"/>
        </w:rPr>
        <w:t xml:space="preserve"> als vakminister bereid </w:t>
      </w:r>
      <w:r w:rsidRPr="00191A04">
        <w:rPr>
          <w:i/>
          <w:iCs/>
          <w:sz w:val="18"/>
          <w:szCs w:val="18"/>
        </w:rPr>
        <w:lastRenderedPageBreak/>
        <w:t>ben</w:t>
      </w:r>
      <w:r w:rsidRPr="00191A04" w:rsidR="00D7602B">
        <w:rPr>
          <w:i/>
          <w:iCs/>
          <w:sz w:val="18"/>
          <w:szCs w:val="18"/>
        </w:rPr>
        <w:t xml:space="preserve">, om voor </w:t>
      </w:r>
      <w:r w:rsidRPr="00191A04">
        <w:rPr>
          <w:i/>
          <w:iCs/>
          <w:sz w:val="18"/>
          <w:szCs w:val="18"/>
        </w:rPr>
        <w:t>m</w:t>
      </w:r>
      <w:r w:rsidRPr="00191A04" w:rsidR="00D7602B">
        <w:rPr>
          <w:i/>
          <w:iCs/>
          <w:sz w:val="18"/>
          <w:szCs w:val="18"/>
        </w:rPr>
        <w:t xml:space="preserve">ijn eigen begroting Financiën en Nationale Schuld van 2026 een risicoparagraaf per beleidsartikel voor beleidsmatige risico’s op te nemen? En zo niet, waarom niet? </w:t>
      </w:r>
    </w:p>
    <w:p w:rsidR="00D7602B" w:rsidP="00D7602B" w:rsidRDefault="00D7602B" w14:paraId="56ED985B" w14:textId="77777777">
      <w:pPr>
        <w:pStyle w:val="Default"/>
        <w:rPr>
          <w:sz w:val="18"/>
          <w:szCs w:val="18"/>
        </w:rPr>
      </w:pPr>
    </w:p>
    <w:p w:rsidRPr="00191A04" w:rsidR="00EB2536" w:rsidP="00D7602B" w:rsidRDefault="0092279E" w14:paraId="73FACC92" w14:textId="77777777">
      <w:pPr>
        <w:pStyle w:val="Default"/>
        <w:rPr>
          <w:sz w:val="18"/>
          <w:szCs w:val="18"/>
        </w:rPr>
      </w:pPr>
      <w:r w:rsidRPr="00191A04">
        <w:rPr>
          <w:sz w:val="18"/>
          <w:szCs w:val="18"/>
        </w:rPr>
        <w:t xml:space="preserve">Ik hecht veel waarde aan het belang van identificeren, beheren en evalueren van risico’s. Ik zie echter geen toegevoegde waarde om dit nu per artikel op de begroting </w:t>
      </w:r>
      <w:r w:rsidRPr="00191A04" w:rsidR="00291E2C">
        <w:rPr>
          <w:sz w:val="18"/>
          <w:szCs w:val="18"/>
        </w:rPr>
        <w:t xml:space="preserve">van Financiën </w:t>
      </w:r>
      <w:r w:rsidRPr="00191A04">
        <w:rPr>
          <w:sz w:val="18"/>
          <w:szCs w:val="18"/>
        </w:rPr>
        <w:t xml:space="preserve">toe te voegen. Op diverse andere momenten informeer ik </w:t>
      </w:r>
      <w:r w:rsidRPr="00191A04" w:rsidR="00967A42">
        <w:rPr>
          <w:sz w:val="18"/>
          <w:szCs w:val="18"/>
        </w:rPr>
        <w:t xml:space="preserve">hier reeds over. </w:t>
      </w:r>
      <w:r w:rsidRPr="00191A04">
        <w:rPr>
          <w:sz w:val="18"/>
          <w:szCs w:val="18"/>
        </w:rPr>
        <w:t xml:space="preserve"> </w:t>
      </w:r>
      <w:r w:rsidRPr="00191A04" w:rsidR="001064D0">
        <w:rPr>
          <w:sz w:val="18"/>
          <w:szCs w:val="18"/>
        </w:rPr>
        <w:t xml:space="preserve">Dat zit </w:t>
      </w:r>
      <w:r w:rsidRPr="00191A04" w:rsidR="00967A42">
        <w:rPr>
          <w:sz w:val="18"/>
          <w:szCs w:val="18"/>
        </w:rPr>
        <w:t>onder andere</w:t>
      </w:r>
      <w:r w:rsidRPr="00191A04" w:rsidR="001064D0">
        <w:rPr>
          <w:sz w:val="18"/>
          <w:szCs w:val="18"/>
        </w:rPr>
        <w:t xml:space="preserve"> in behandeling van het Belastingplan, waarbij ik met uw Kamer in gesprek ga over het voorgenomen beleid</w:t>
      </w:r>
      <w:r w:rsidRPr="00191A04" w:rsidR="00291E2C">
        <w:rPr>
          <w:sz w:val="18"/>
          <w:szCs w:val="18"/>
        </w:rPr>
        <w:t xml:space="preserve"> die belastinginkomsten raken</w:t>
      </w:r>
      <w:r w:rsidRPr="00191A04" w:rsidR="001064D0">
        <w:rPr>
          <w:sz w:val="18"/>
          <w:szCs w:val="18"/>
        </w:rPr>
        <w:t>.</w:t>
      </w:r>
      <w:r w:rsidRPr="00191A04" w:rsidR="00291E2C">
        <w:rPr>
          <w:sz w:val="18"/>
          <w:szCs w:val="18"/>
        </w:rPr>
        <w:t xml:space="preserve"> Ook informeer ik u in de Miljoenennota, voor- en najaarsnota over de ramingen en realisatie van de belastinginkomsten. Daarnaast worden op alle wetsvoorstellen ook uitvoeringstoetsen uitgebracht waarin aandacht is voor risico’s. </w:t>
      </w:r>
      <w:r w:rsidRPr="00191A04" w:rsidR="001064D0">
        <w:rPr>
          <w:sz w:val="18"/>
          <w:szCs w:val="18"/>
        </w:rPr>
        <w:t xml:space="preserve">Met betrekking tot andere financiële risico’s voor </w:t>
      </w:r>
      <w:r w:rsidR="00E525F4">
        <w:rPr>
          <w:sz w:val="18"/>
          <w:szCs w:val="18"/>
        </w:rPr>
        <w:t xml:space="preserve">mijn eigen </w:t>
      </w:r>
      <w:r w:rsidRPr="00191A04" w:rsidR="001064D0">
        <w:rPr>
          <w:sz w:val="18"/>
          <w:szCs w:val="18"/>
        </w:rPr>
        <w:t>begroting geldt dat er een overzicht met de risicoregelingen is opgenomen. Met betrekking tot (strategische) risico’s in de uitvoering geldt dat ik u hierover informeer via de jaarplannen van de Belastingdienst, Douane en Toeslagen.</w:t>
      </w:r>
      <w:r w:rsidRPr="00191A04" w:rsidR="00291E2C">
        <w:rPr>
          <w:sz w:val="18"/>
          <w:szCs w:val="18"/>
        </w:rPr>
        <w:t xml:space="preserve"> </w:t>
      </w:r>
    </w:p>
    <w:p w:rsidRPr="00191A04" w:rsidR="00F97663" w:rsidP="00D7602B" w:rsidRDefault="00F97663" w14:paraId="7787045B" w14:textId="77777777">
      <w:pPr>
        <w:pStyle w:val="Default"/>
        <w:rPr>
          <w:sz w:val="18"/>
          <w:szCs w:val="18"/>
        </w:rPr>
      </w:pPr>
    </w:p>
    <w:p w:rsidRPr="00D7602B" w:rsidR="00F97663" w:rsidP="00D7602B" w:rsidRDefault="00F97663" w14:paraId="11BF1910" w14:textId="77777777">
      <w:pPr>
        <w:pStyle w:val="Default"/>
        <w:rPr>
          <w:sz w:val="18"/>
          <w:szCs w:val="18"/>
        </w:rPr>
      </w:pPr>
    </w:p>
    <w:p w:rsidR="00052D2D" w:rsidP="00052D2D" w:rsidRDefault="00052D2D" w14:paraId="6B3133FB" w14:textId="77777777">
      <w:pPr>
        <w:rPr>
          <w:color w:val="auto"/>
        </w:rPr>
      </w:pPr>
      <w:r>
        <w:rPr>
          <w:color w:val="auto"/>
        </w:rPr>
        <w:t>Hopende u hiermee voldoende te hebben geïnformeerd.</w:t>
      </w:r>
      <w:bookmarkEnd w:id="0"/>
    </w:p>
    <w:p w:rsidR="001A2AB0" w:rsidRDefault="001A2AB0" w14:paraId="59A414BA" w14:textId="77777777"/>
    <w:p w:rsidR="001A2AB0" w:rsidRDefault="00427C13" w14:paraId="06BBF6D2" w14:textId="77777777">
      <w:pPr>
        <w:pStyle w:val="StandaardSlotzin"/>
      </w:pPr>
      <w:r>
        <w:t>Hoogachtend,</w:t>
      </w:r>
    </w:p>
    <w:p w:rsidR="001A2AB0" w:rsidRDefault="001A2AB0" w14:paraId="73F8823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1A2AB0" w14:paraId="351C47D2" w14:textId="77777777">
        <w:tc>
          <w:tcPr>
            <w:tcW w:w="3592" w:type="dxa"/>
          </w:tcPr>
          <w:p w:rsidR="001A2AB0" w:rsidRDefault="00427C13" w14:paraId="1FA7A2F0" w14:textId="77777777">
            <w:r>
              <w:t>de minister van Financiën,</w:t>
            </w:r>
            <w:r>
              <w:br/>
            </w:r>
            <w:r>
              <w:br/>
            </w:r>
            <w:r>
              <w:br/>
            </w:r>
            <w:r>
              <w:br/>
            </w:r>
            <w:r>
              <w:br/>
            </w:r>
            <w:r>
              <w:br/>
            </w:r>
            <w:r w:rsidR="00AD0F7D">
              <w:t>E. Heinen</w:t>
            </w:r>
          </w:p>
        </w:tc>
        <w:tc>
          <w:tcPr>
            <w:tcW w:w="3892" w:type="dxa"/>
          </w:tcPr>
          <w:p w:rsidR="001A2AB0" w:rsidRDefault="001A2AB0" w14:paraId="7D22A4E1" w14:textId="77777777"/>
        </w:tc>
      </w:tr>
      <w:tr w:rsidR="001A2AB0" w14:paraId="294CC428" w14:textId="77777777">
        <w:tc>
          <w:tcPr>
            <w:tcW w:w="3592" w:type="dxa"/>
          </w:tcPr>
          <w:p w:rsidR="001A2AB0" w:rsidRDefault="001A2AB0" w14:paraId="18FC1557" w14:textId="77777777"/>
        </w:tc>
        <w:tc>
          <w:tcPr>
            <w:tcW w:w="3892" w:type="dxa"/>
          </w:tcPr>
          <w:p w:rsidR="001A2AB0" w:rsidRDefault="001A2AB0" w14:paraId="19CB5A1D" w14:textId="77777777"/>
        </w:tc>
      </w:tr>
      <w:tr w:rsidR="001A2AB0" w14:paraId="6809FA49" w14:textId="77777777">
        <w:tc>
          <w:tcPr>
            <w:tcW w:w="3592" w:type="dxa"/>
          </w:tcPr>
          <w:p w:rsidR="001A2AB0" w:rsidRDefault="001A2AB0" w14:paraId="010E0029" w14:textId="77777777"/>
        </w:tc>
        <w:tc>
          <w:tcPr>
            <w:tcW w:w="3892" w:type="dxa"/>
          </w:tcPr>
          <w:p w:rsidR="001A2AB0" w:rsidRDefault="001A2AB0" w14:paraId="1128DF44" w14:textId="77777777"/>
        </w:tc>
      </w:tr>
      <w:tr w:rsidR="001A2AB0" w14:paraId="3622815B" w14:textId="77777777">
        <w:tc>
          <w:tcPr>
            <w:tcW w:w="3592" w:type="dxa"/>
          </w:tcPr>
          <w:p w:rsidR="001A2AB0" w:rsidRDefault="001A2AB0" w14:paraId="61D3ABE8" w14:textId="77777777"/>
        </w:tc>
        <w:tc>
          <w:tcPr>
            <w:tcW w:w="3892" w:type="dxa"/>
          </w:tcPr>
          <w:p w:rsidR="001A2AB0" w:rsidRDefault="001A2AB0" w14:paraId="1076BC4D" w14:textId="77777777"/>
        </w:tc>
      </w:tr>
      <w:tr w:rsidR="001A2AB0" w14:paraId="29D2ECF3" w14:textId="77777777">
        <w:tc>
          <w:tcPr>
            <w:tcW w:w="3592" w:type="dxa"/>
          </w:tcPr>
          <w:p w:rsidR="001A2AB0" w:rsidRDefault="001A2AB0" w14:paraId="64C9606A" w14:textId="77777777"/>
        </w:tc>
        <w:tc>
          <w:tcPr>
            <w:tcW w:w="3892" w:type="dxa"/>
          </w:tcPr>
          <w:p w:rsidR="001A2AB0" w:rsidRDefault="001A2AB0" w14:paraId="1C84B2FA" w14:textId="77777777"/>
        </w:tc>
      </w:tr>
    </w:tbl>
    <w:p w:rsidR="001A2AB0" w:rsidP="00A7758B" w:rsidRDefault="001A2AB0" w14:paraId="1BD8EEBC" w14:textId="77777777">
      <w:pPr>
        <w:pStyle w:val="Verdana7"/>
      </w:pPr>
    </w:p>
    <w:sectPr w:rsidR="001A2AB0">
      <w:headerReference w:type="default" r:id="rId8"/>
      <w:headerReference w:type="first" r:id="rId9"/>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A52F" w14:textId="77777777" w:rsidR="00264FFF" w:rsidRDefault="00264FFF">
      <w:pPr>
        <w:spacing w:line="240" w:lineRule="auto"/>
      </w:pPr>
      <w:r>
        <w:separator/>
      </w:r>
    </w:p>
  </w:endnote>
  <w:endnote w:type="continuationSeparator" w:id="0">
    <w:p w14:paraId="094565E2" w14:textId="77777777" w:rsidR="00264FFF" w:rsidRDefault="00264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LTSt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E061" w14:textId="77777777" w:rsidR="00264FFF" w:rsidRDefault="00264FFF">
      <w:pPr>
        <w:spacing w:line="240" w:lineRule="auto"/>
      </w:pPr>
      <w:r>
        <w:separator/>
      </w:r>
    </w:p>
  </w:footnote>
  <w:footnote w:type="continuationSeparator" w:id="0">
    <w:p w14:paraId="77329313" w14:textId="77777777" w:rsidR="00264FFF" w:rsidRDefault="00264FFF">
      <w:pPr>
        <w:spacing w:line="240" w:lineRule="auto"/>
      </w:pPr>
      <w:r>
        <w:continuationSeparator/>
      </w:r>
    </w:p>
  </w:footnote>
  <w:footnote w:id="1">
    <w:p w14:paraId="4670A45A" w14:textId="77777777" w:rsidR="00B460E7" w:rsidRDefault="00B460E7">
      <w:pPr>
        <w:pStyle w:val="Voetnoottekst"/>
      </w:pPr>
      <w:r>
        <w:rPr>
          <w:rStyle w:val="Voetnootmarkering"/>
        </w:rPr>
        <w:footnoteRef/>
      </w:r>
      <w:r>
        <w:t xml:space="preserve"> Tweede Kamer, vergaderjaar 2024–2025, 33 670, nr. 18</w:t>
      </w:r>
    </w:p>
  </w:footnote>
  <w:footnote w:id="2">
    <w:p w14:paraId="6A5DF5FF" w14:textId="77777777" w:rsidR="00B460E7" w:rsidRDefault="00B460E7" w:rsidP="00B460E7">
      <w:pPr>
        <w:pStyle w:val="Voetnoottekst"/>
      </w:pPr>
      <w:r>
        <w:rPr>
          <w:rStyle w:val="Voetnootmarkering"/>
        </w:rPr>
        <w:footnoteRef/>
      </w:r>
      <w:r>
        <w:t xml:space="preserve"> </w:t>
      </w:r>
      <w:r w:rsidRPr="00606CA1">
        <w:rPr>
          <w:sz w:val="16"/>
          <w:szCs w:val="16"/>
        </w:rPr>
        <w:t>uiterlijk 2028</w:t>
      </w:r>
      <w:r>
        <w:rPr>
          <w:sz w:val="16"/>
          <w:szCs w:val="16"/>
        </w:rPr>
        <w:t>;</w:t>
      </w:r>
      <w:r w:rsidRPr="00606CA1">
        <w:rPr>
          <w:sz w:val="16"/>
          <w:szCs w:val="16"/>
        </w:rPr>
        <w:t xml:space="preserve"> mogelijk eerder afhankelijk van vervolgonderzoeken </w:t>
      </w:r>
      <w:r>
        <w:rPr>
          <w:sz w:val="16"/>
          <w:szCs w:val="16"/>
        </w:rPr>
        <w:t xml:space="preserve">op </w:t>
      </w:r>
      <w:r w:rsidRPr="00606CA1">
        <w:rPr>
          <w:sz w:val="16"/>
          <w:szCs w:val="16"/>
        </w:rPr>
        <w:t>beleidsdoorlichting 2021.</w:t>
      </w:r>
    </w:p>
  </w:footnote>
  <w:footnote w:id="3">
    <w:p w14:paraId="31B327A8" w14:textId="77777777" w:rsidR="0085241C" w:rsidRDefault="0085241C" w:rsidP="0085241C">
      <w:pPr>
        <w:pStyle w:val="Voetnoottekst"/>
      </w:pPr>
      <w:r>
        <w:rPr>
          <w:rStyle w:val="Voetnootmarkering"/>
        </w:rPr>
        <w:footnoteRef/>
      </w:r>
      <w:r>
        <w:t xml:space="preserve"> </w:t>
      </w:r>
      <w:hyperlink r:id="rId1" w:history="1">
        <w:r>
          <w:rPr>
            <w:rStyle w:val="Hyperlink"/>
          </w:rPr>
          <w:t>Kamerbrief aanbieding ambtelijk rapport aanpak fiscale regelingen | Kamerstuk | Rijksoverheid.nl</w:t>
        </w:r>
      </w:hyperlink>
    </w:p>
  </w:footnote>
  <w:footnote w:id="4">
    <w:p w14:paraId="410520B6" w14:textId="77777777" w:rsidR="0085241C" w:rsidRDefault="0085241C" w:rsidP="0085241C">
      <w:pPr>
        <w:pStyle w:val="Voetnoottekst"/>
      </w:pPr>
      <w:r>
        <w:rPr>
          <w:rStyle w:val="Voetnootmarkering"/>
        </w:rPr>
        <w:footnoteRef/>
      </w:r>
      <w:r>
        <w:t xml:space="preserve"> </w:t>
      </w:r>
      <w:hyperlink r:id="rId2" w:history="1">
        <w:r>
          <w:rPr>
            <w:rStyle w:val="Hyperlink"/>
          </w:rPr>
          <w:t>Kamerbrief met kabinetsreactie evaluaties fiscale regelingen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653B" w14:textId="77777777" w:rsidR="001A2AB0" w:rsidRDefault="00427C13">
    <w:r>
      <w:rPr>
        <w:noProof/>
      </w:rPr>
      <mc:AlternateContent>
        <mc:Choice Requires="wps">
          <w:drawing>
            <wp:anchor distT="0" distB="0" distL="0" distR="0" simplePos="0" relativeHeight="251652096" behindDoc="0" locked="1" layoutInCell="1" allowOverlap="1" wp14:anchorId="25D5F697" wp14:editId="1C61D55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41E9F01" w14:textId="77777777" w:rsidR="001A2AB0" w:rsidRDefault="00427C13">
                          <w:pPr>
                            <w:pStyle w:val="StandaardReferentiegegevensKop"/>
                          </w:pPr>
                          <w:r>
                            <w:t>Directie Financieel-Economische Zaken</w:t>
                          </w:r>
                        </w:p>
                        <w:p w14:paraId="45C6AE86" w14:textId="77777777" w:rsidR="001A2AB0" w:rsidRDefault="001A2AB0">
                          <w:pPr>
                            <w:pStyle w:val="WitregelW1"/>
                          </w:pPr>
                        </w:p>
                        <w:p w14:paraId="72221741" w14:textId="77777777" w:rsidR="001A2AB0" w:rsidRDefault="00427C13">
                          <w:pPr>
                            <w:pStyle w:val="StandaardReferentiegegevensKop"/>
                          </w:pPr>
                          <w:r>
                            <w:t>Ons kenmerk</w:t>
                          </w:r>
                        </w:p>
                        <w:p w14:paraId="20E30AE2" w14:textId="52A085FB" w:rsidR="004A697A" w:rsidRDefault="00611071">
                          <w:pPr>
                            <w:pStyle w:val="StandaardReferentiegegevens"/>
                          </w:pPr>
                          <w:r>
                            <w:fldChar w:fldCharType="begin"/>
                          </w:r>
                          <w:r>
                            <w:instrText xml:space="preserve"> DOCPROPERTY  "Kenmerk"  \* MERGEFORMAT </w:instrText>
                          </w:r>
                          <w:r>
                            <w:fldChar w:fldCharType="separate"/>
                          </w:r>
                          <w:r>
                            <w:t>2024-0000541163</w:t>
                          </w:r>
                          <w:r>
                            <w:fldChar w:fldCharType="end"/>
                          </w:r>
                        </w:p>
                      </w:txbxContent>
                    </wps:txbx>
                    <wps:bodyPr vert="horz" wrap="square" lIns="0" tIns="0" rIns="0" bIns="0" anchor="t" anchorCtr="0"/>
                  </wps:wsp>
                </a:graphicData>
              </a:graphic>
            </wp:anchor>
          </w:drawing>
        </mc:Choice>
        <mc:Fallback>
          <w:pict>
            <v:shapetype w14:anchorId="25D5F69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41E9F01" w14:textId="77777777" w:rsidR="001A2AB0" w:rsidRDefault="00427C13">
                    <w:pPr>
                      <w:pStyle w:val="StandaardReferentiegegevensKop"/>
                    </w:pPr>
                    <w:r>
                      <w:t>Directie Financieel-Economische Zaken</w:t>
                    </w:r>
                  </w:p>
                  <w:p w14:paraId="45C6AE86" w14:textId="77777777" w:rsidR="001A2AB0" w:rsidRDefault="001A2AB0">
                    <w:pPr>
                      <w:pStyle w:val="WitregelW1"/>
                    </w:pPr>
                  </w:p>
                  <w:p w14:paraId="72221741" w14:textId="77777777" w:rsidR="001A2AB0" w:rsidRDefault="00427C13">
                    <w:pPr>
                      <w:pStyle w:val="StandaardReferentiegegevensKop"/>
                    </w:pPr>
                    <w:r>
                      <w:t>Ons kenmerk</w:t>
                    </w:r>
                  </w:p>
                  <w:p w14:paraId="20E30AE2" w14:textId="52A085FB" w:rsidR="004A697A" w:rsidRDefault="00611071">
                    <w:pPr>
                      <w:pStyle w:val="StandaardReferentiegegevens"/>
                    </w:pPr>
                    <w:r>
                      <w:fldChar w:fldCharType="begin"/>
                    </w:r>
                    <w:r>
                      <w:instrText xml:space="preserve"> DOCPROPERTY  "Kenmerk"  \* MERGEFORMAT </w:instrText>
                    </w:r>
                    <w:r>
                      <w:fldChar w:fldCharType="separate"/>
                    </w:r>
                    <w:r>
                      <w:t>2024-0000541163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0419C27" wp14:editId="20107D8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B3E462E" w14:textId="77777777" w:rsidR="004A697A" w:rsidRDefault="006050C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0419C27"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B3E462E" w14:textId="77777777" w:rsidR="004A697A" w:rsidRDefault="006050C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3AD6DF4" wp14:editId="1F5FFA6A">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5C77DE6" w14:textId="175A7EF3" w:rsidR="004A697A" w:rsidRDefault="006050C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3AD6DF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5C77DE6" w14:textId="175A7EF3" w:rsidR="004A697A" w:rsidRDefault="006050C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5C7" w14:textId="77777777" w:rsidR="001A2AB0" w:rsidRDefault="00427C13">
    <w:pPr>
      <w:spacing w:after="7029" w:line="14" w:lineRule="exact"/>
    </w:pPr>
    <w:r>
      <w:rPr>
        <w:noProof/>
      </w:rPr>
      <mc:AlternateContent>
        <mc:Choice Requires="wps">
          <w:drawing>
            <wp:anchor distT="0" distB="0" distL="0" distR="0" simplePos="0" relativeHeight="251655168" behindDoc="0" locked="1" layoutInCell="1" allowOverlap="1" wp14:anchorId="40168701" wp14:editId="3B460AA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211EAD6" w14:textId="77777777" w:rsidR="001A2AB0" w:rsidRDefault="00427C13">
                          <w:pPr>
                            <w:spacing w:line="240" w:lineRule="auto"/>
                          </w:pPr>
                          <w:r>
                            <w:rPr>
                              <w:noProof/>
                            </w:rPr>
                            <w:drawing>
                              <wp:inline distT="0" distB="0" distL="0" distR="0" wp14:anchorId="6051B233" wp14:editId="392E48B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016870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211EAD6" w14:textId="77777777" w:rsidR="001A2AB0" w:rsidRDefault="00427C13">
                    <w:pPr>
                      <w:spacing w:line="240" w:lineRule="auto"/>
                    </w:pPr>
                    <w:r>
                      <w:rPr>
                        <w:noProof/>
                      </w:rPr>
                      <w:drawing>
                        <wp:inline distT="0" distB="0" distL="0" distR="0" wp14:anchorId="6051B233" wp14:editId="392E48B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9147C79" wp14:editId="71F7D77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1076E65" w14:textId="77777777" w:rsidR="00427C13" w:rsidRDefault="00427C13"/>
                      </w:txbxContent>
                    </wps:txbx>
                    <wps:bodyPr vert="horz" wrap="square" lIns="0" tIns="0" rIns="0" bIns="0" anchor="t" anchorCtr="0"/>
                  </wps:wsp>
                </a:graphicData>
              </a:graphic>
            </wp:anchor>
          </w:drawing>
        </mc:Choice>
        <mc:Fallback>
          <w:pict>
            <v:shape w14:anchorId="09147C7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1076E65" w14:textId="77777777" w:rsidR="00427C13" w:rsidRDefault="00427C1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C11E232" wp14:editId="651F7CA4">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601BCA2" w14:textId="77777777" w:rsidR="001A2AB0" w:rsidRDefault="00427C13">
                          <w:pPr>
                            <w:pStyle w:val="StandaardReferentiegegevensKop"/>
                          </w:pPr>
                          <w:r>
                            <w:t>Directie Financieel-Economische Zaken</w:t>
                          </w:r>
                        </w:p>
                        <w:p w14:paraId="7BAE7454" w14:textId="77777777" w:rsidR="001A2AB0" w:rsidRDefault="001A2AB0">
                          <w:pPr>
                            <w:pStyle w:val="WitregelW1"/>
                          </w:pPr>
                        </w:p>
                        <w:p w14:paraId="6EB1C6C7" w14:textId="77777777" w:rsidR="001A2AB0" w:rsidRDefault="00427C13">
                          <w:pPr>
                            <w:pStyle w:val="StandaardReferentiegegevens"/>
                          </w:pPr>
                          <w:r>
                            <w:t>Korte Voorhout 7</w:t>
                          </w:r>
                        </w:p>
                        <w:p w14:paraId="3523C1B2" w14:textId="77777777" w:rsidR="001A2AB0" w:rsidRDefault="00427C13">
                          <w:pPr>
                            <w:pStyle w:val="StandaardReferentiegegevens"/>
                          </w:pPr>
                          <w:r>
                            <w:t>2511 CW  'S-GRAVENHAGE</w:t>
                          </w:r>
                        </w:p>
                        <w:p w14:paraId="37CA97D1" w14:textId="77777777" w:rsidR="001A2AB0" w:rsidRDefault="00427C13">
                          <w:pPr>
                            <w:pStyle w:val="StandaardReferentiegegevens"/>
                          </w:pPr>
                          <w:r>
                            <w:t>POSTBUS 20201</w:t>
                          </w:r>
                        </w:p>
                        <w:p w14:paraId="722EF1B5" w14:textId="77777777" w:rsidR="001A2AB0" w:rsidRDefault="00427C13">
                          <w:pPr>
                            <w:pStyle w:val="StandaardReferentiegegevens"/>
                          </w:pPr>
                          <w:r>
                            <w:t>2500 EE  'S-GRAVENHAGE</w:t>
                          </w:r>
                        </w:p>
                        <w:p w14:paraId="0DFBA338" w14:textId="77777777" w:rsidR="001A2AB0" w:rsidRDefault="00427C13">
                          <w:pPr>
                            <w:pStyle w:val="StandaardReferentiegegevens"/>
                          </w:pPr>
                          <w:r>
                            <w:t>www.rijksoverheid.nl/fin</w:t>
                          </w:r>
                        </w:p>
                        <w:p w14:paraId="09B15591" w14:textId="77777777" w:rsidR="001A2AB0" w:rsidRDefault="001A2AB0">
                          <w:pPr>
                            <w:pStyle w:val="WitregelW2"/>
                          </w:pPr>
                        </w:p>
                        <w:p w14:paraId="732C5452" w14:textId="77777777" w:rsidR="001A2AB0" w:rsidRDefault="00427C13">
                          <w:pPr>
                            <w:pStyle w:val="StandaardReferentiegegevensKop"/>
                          </w:pPr>
                          <w:r>
                            <w:t>Ons kenmerk</w:t>
                          </w:r>
                        </w:p>
                        <w:p w14:paraId="06ABB3EC" w14:textId="6EC0E501" w:rsidR="004A697A" w:rsidRDefault="00611071">
                          <w:pPr>
                            <w:pStyle w:val="StandaardReferentiegegevens"/>
                          </w:pPr>
                          <w:r>
                            <w:fldChar w:fldCharType="begin"/>
                          </w:r>
                          <w:r>
                            <w:instrText xml:space="preserve"> DOCPROPERTY  "Kenmerk"  \* MERGEFORMAT </w:instrText>
                          </w:r>
                          <w:r>
                            <w:fldChar w:fldCharType="separate"/>
                          </w:r>
                          <w:r>
                            <w:t>2024-0000541163</w:t>
                          </w:r>
                          <w:r>
                            <w:fldChar w:fldCharType="end"/>
                          </w:r>
                        </w:p>
                        <w:p w14:paraId="04220808" w14:textId="77777777" w:rsidR="001A2AB0" w:rsidRDefault="001A2AB0">
                          <w:pPr>
                            <w:pStyle w:val="WitregelW1"/>
                          </w:pPr>
                        </w:p>
                        <w:p w14:paraId="289ABD3A" w14:textId="77777777" w:rsidR="001A2AB0" w:rsidRDefault="00427C13">
                          <w:pPr>
                            <w:pStyle w:val="StandaardReferentiegegevensKop"/>
                          </w:pPr>
                          <w:r>
                            <w:t>Uw brief (kenmerk)</w:t>
                          </w:r>
                        </w:p>
                        <w:p w14:paraId="535A14E3" w14:textId="1B65AF2F" w:rsidR="004A697A" w:rsidRDefault="006050C5">
                          <w:pPr>
                            <w:pStyle w:val="StandaardReferentiegegevens"/>
                          </w:pPr>
                          <w:r>
                            <w:fldChar w:fldCharType="begin"/>
                          </w:r>
                          <w:r>
                            <w:instrText xml:space="preserve"> DOCPROPERTY  "UwKenmerk"  \* MERGEFORMAT </w:instrText>
                          </w:r>
                          <w:r>
                            <w:fldChar w:fldCharType="end"/>
                          </w:r>
                        </w:p>
                        <w:p w14:paraId="41E038DC" w14:textId="77777777" w:rsidR="001A2AB0" w:rsidRDefault="001A2AB0">
                          <w:pPr>
                            <w:pStyle w:val="WitregelW1"/>
                          </w:pPr>
                        </w:p>
                        <w:p w14:paraId="51F21514" w14:textId="77777777" w:rsidR="001A2AB0" w:rsidRDefault="00427C13">
                          <w:pPr>
                            <w:pStyle w:val="StandaardReferentiegegevensKop"/>
                          </w:pPr>
                          <w:r>
                            <w:t>Bijlagen</w:t>
                          </w:r>
                        </w:p>
                        <w:p w14:paraId="4F1F9334" w14:textId="77777777" w:rsidR="001A2AB0" w:rsidRDefault="00191A04" w:rsidP="00DC351B">
                          <w:pPr>
                            <w:pStyle w:val="StandaardReferentiegegevens"/>
                          </w:pPr>
                          <w:r>
                            <w:t>1</w:t>
                          </w:r>
                          <w:r w:rsidR="00427C13">
                            <w:t xml:space="preserve">. Vragen </w:t>
                          </w:r>
                          <w:r w:rsidR="00DC351B">
                            <w:t>rapporteur</w:t>
                          </w:r>
                          <w:r w:rsidR="00A072D5">
                            <w:t>s</w:t>
                          </w:r>
                          <w:r w:rsidR="00DC351B">
                            <w:t xml:space="preserve"> over </w:t>
                          </w:r>
                          <w:r w:rsidR="00A072D5">
                            <w:t>begroting IX 2025</w:t>
                          </w:r>
                          <w:r w:rsidR="00DC351B">
                            <w:t xml:space="preserve"> (I</w:t>
                          </w:r>
                          <w:r>
                            <w:t>X</w:t>
                          </w:r>
                          <w:r w:rsidR="00A072D5">
                            <w:t>)</w:t>
                          </w:r>
                        </w:p>
                      </w:txbxContent>
                    </wps:txbx>
                    <wps:bodyPr vert="horz" wrap="square" lIns="0" tIns="0" rIns="0" bIns="0" anchor="t" anchorCtr="0"/>
                  </wps:wsp>
                </a:graphicData>
              </a:graphic>
            </wp:anchor>
          </w:drawing>
        </mc:Choice>
        <mc:Fallback>
          <w:pict>
            <v:shape w14:anchorId="4C11E23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601BCA2" w14:textId="77777777" w:rsidR="001A2AB0" w:rsidRDefault="00427C13">
                    <w:pPr>
                      <w:pStyle w:val="StandaardReferentiegegevensKop"/>
                    </w:pPr>
                    <w:r>
                      <w:t>Directie Financieel-Economische Zaken</w:t>
                    </w:r>
                  </w:p>
                  <w:p w14:paraId="7BAE7454" w14:textId="77777777" w:rsidR="001A2AB0" w:rsidRDefault="001A2AB0">
                    <w:pPr>
                      <w:pStyle w:val="WitregelW1"/>
                    </w:pPr>
                  </w:p>
                  <w:p w14:paraId="6EB1C6C7" w14:textId="77777777" w:rsidR="001A2AB0" w:rsidRDefault="00427C13">
                    <w:pPr>
                      <w:pStyle w:val="StandaardReferentiegegevens"/>
                    </w:pPr>
                    <w:r>
                      <w:t>Korte Voorhout 7</w:t>
                    </w:r>
                  </w:p>
                  <w:p w14:paraId="3523C1B2" w14:textId="77777777" w:rsidR="001A2AB0" w:rsidRDefault="00427C13">
                    <w:pPr>
                      <w:pStyle w:val="StandaardReferentiegegevens"/>
                    </w:pPr>
                    <w:r>
                      <w:t>2511 CW  'S-GRAVENHAGE</w:t>
                    </w:r>
                  </w:p>
                  <w:p w14:paraId="37CA97D1" w14:textId="77777777" w:rsidR="001A2AB0" w:rsidRDefault="00427C13">
                    <w:pPr>
                      <w:pStyle w:val="StandaardReferentiegegevens"/>
                    </w:pPr>
                    <w:r>
                      <w:t>POSTBUS 20201</w:t>
                    </w:r>
                  </w:p>
                  <w:p w14:paraId="722EF1B5" w14:textId="77777777" w:rsidR="001A2AB0" w:rsidRDefault="00427C13">
                    <w:pPr>
                      <w:pStyle w:val="StandaardReferentiegegevens"/>
                    </w:pPr>
                    <w:r>
                      <w:t>2500 EE  'S-GRAVENHAGE</w:t>
                    </w:r>
                  </w:p>
                  <w:p w14:paraId="0DFBA338" w14:textId="77777777" w:rsidR="001A2AB0" w:rsidRDefault="00427C13">
                    <w:pPr>
                      <w:pStyle w:val="StandaardReferentiegegevens"/>
                    </w:pPr>
                    <w:r>
                      <w:t>www.rijksoverheid.nl/fin</w:t>
                    </w:r>
                  </w:p>
                  <w:p w14:paraId="09B15591" w14:textId="77777777" w:rsidR="001A2AB0" w:rsidRDefault="001A2AB0">
                    <w:pPr>
                      <w:pStyle w:val="WitregelW2"/>
                    </w:pPr>
                  </w:p>
                  <w:p w14:paraId="732C5452" w14:textId="77777777" w:rsidR="001A2AB0" w:rsidRDefault="00427C13">
                    <w:pPr>
                      <w:pStyle w:val="StandaardReferentiegegevensKop"/>
                    </w:pPr>
                    <w:r>
                      <w:t>Ons kenmerk</w:t>
                    </w:r>
                  </w:p>
                  <w:p w14:paraId="06ABB3EC" w14:textId="6EC0E501" w:rsidR="004A697A" w:rsidRDefault="00611071">
                    <w:pPr>
                      <w:pStyle w:val="StandaardReferentiegegevens"/>
                    </w:pPr>
                    <w:r>
                      <w:fldChar w:fldCharType="begin"/>
                    </w:r>
                    <w:r>
                      <w:instrText xml:space="preserve"> DOCPROPERTY  "Kenmerk"  \* MERGEFORMAT </w:instrText>
                    </w:r>
                    <w:r>
                      <w:fldChar w:fldCharType="separate"/>
                    </w:r>
                    <w:r>
                      <w:t>2024-0000541163</w:t>
                    </w:r>
                    <w:r>
                      <w:fldChar w:fldCharType="end"/>
                    </w:r>
                  </w:p>
                  <w:p w14:paraId="04220808" w14:textId="77777777" w:rsidR="001A2AB0" w:rsidRDefault="001A2AB0">
                    <w:pPr>
                      <w:pStyle w:val="WitregelW1"/>
                    </w:pPr>
                  </w:p>
                  <w:p w14:paraId="289ABD3A" w14:textId="77777777" w:rsidR="001A2AB0" w:rsidRDefault="00427C13">
                    <w:pPr>
                      <w:pStyle w:val="StandaardReferentiegegevensKop"/>
                    </w:pPr>
                    <w:r>
                      <w:t>Uw brief (kenmerk)</w:t>
                    </w:r>
                  </w:p>
                  <w:p w14:paraId="535A14E3" w14:textId="1B65AF2F" w:rsidR="004A697A" w:rsidRDefault="006050C5">
                    <w:pPr>
                      <w:pStyle w:val="StandaardReferentiegegevens"/>
                    </w:pPr>
                    <w:r>
                      <w:fldChar w:fldCharType="begin"/>
                    </w:r>
                    <w:r>
                      <w:instrText xml:space="preserve"> DOCPROPERTY  "UwKenmerk"  \* MERGEFORMAT </w:instrText>
                    </w:r>
                    <w:r>
                      <w:fldChar w:fldCharType="end"/>
                    </w:r>
                  </w:p>
                  <w:p w14:paraId="41E038DC" w14:textId="77777777" w:rsidR="001A2AB0" w:rsidRDefault="001A2AB0">
                    <w:pPr>
                      <w:pStyle w:val="WitregelW1"/>
                    </w:pPr>
                  </w:p>
                  <w:p w14:paraId="51F21514" w14:textId="77777777" w:rsidR="001A2AB0" w:rsidRDefault="00427C13">
                    <w:pPr>
                      <w:pStyle w:val="StandaardReferentiegegevensKop"/>
                    </w:pPr>
                    <w:r>
                      <w:t>Bijlagen</w:t>
                    </w:r>
                  </w:p>
                  <w:p w14:paraId="4F1F9334" w14:textId="77777777" w:rsidR="001A2AB0" w:rsidRDefault="00191A04" w:rsidP="00DC351B">
                    <w:pPr>
                      <w:pStyle w:val="StandaardReferentiegegevens"/>
                    </w:pPr>
                    <w:r>
                      <w:t>1</w:t>
                    </w:r>
                    <w:r w:rsidR="00427C13">
                      <w:t xml:space="preserve">. Vragen </w:t>
                    </w:r>
                    <w:r w:rsidR="00DC351B">
                      <w:t>rapporteur</w:t>
                    </w:r>
                    <w:r w:rsidR="00A072D5">
                      <w:t>s</w:t>
                    </w:r>
                    <w:r w:rsidR="00DC351B">
                      <w:t xml:space="preserve"> over </w:t>
                    </w:r>
                    <w:r w:rsidR="00A072D5">
                      <w:t>begroting IX 2025</w:t>
                    </w:r>
                    <w:r w:rsidR="00DC351B">
                      <w:t xml:space="preserve"> (I</w:t>
                    </w:r>
                    <w:r>
                      <w:t>X</w:t>
                    </w:r>
                    <w:r w:rsidR="00A072D5">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3FD8FAD" wp14:editId="317D892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1FAEC73" w14:textId="77777777" w:rsidR="001A2AB0" w:rsidRDefault="00427C1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3FD8FAD"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1FAEC73" w14:textId="77777777" w:rsidR="001A2AB0" w:rsidRDefault="00427C1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802BA6A" wp14:editId="5BB63EE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881B05A" w14:textId="0917B708" w:rsidR="004A697A" w:rsidRDefault="006050C5">
                          <w:pPr>
                            <w:pStyle w:val="Rubricering"/>
                          </w:pPr>
                          <w:r>
                            <w:fldChar w:fldCharType="begin"/>
                          </w:r>
                          <w:r>
                            <w:instrText xml:space="preserve"> DOCPROPERTY  "Rubricering"  \* MERGEFORMAT </w:instrText>
                          </w:r>
                          <w:r>
                            <w:fldChar w:fldCharType="end"/>
                          </w:r>
                        </w:p>
                        <w:p w14:paraId="525761A8" w14:textId="77777777" w:rsidR="001A2AB0" w:rsidRDefault="00427C1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802BA6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881B05A" w14:textId="0917B708" w:rsidR="004A697A" w:rsidRDefault="006050C5">
                    <w:pPr>
                      <w:pStyle w:val="Rubricering"/>
                    </w:pPr>
                    <w:r>
                      <w:fldChar w:fldCharType="begin"/>
                    </w:r>
                    <w:r>
                      <w:instrText xml:space="preserve"> DOCPROPERTY  "Rubricering"  \* MERGEFORMAT </w:instrText>
                    </w:r>
                    <w:r>
                      <w:fldChar w:fldCharType="end"/>
                    </w:r>
                  </w:p>
                  <w:p w14:paraId="525761A8" w14:textId="77777777" w:rsidR="001A2AB0" w:rsidRDefault="00427C1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99858A4" wp14:editId="648D9046">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836CFDD" w14:textId="77777777" w:rsidR="004A697A" w:rsidRDefault="006050C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99858A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836CFDD" w14:textId="77777777" w:rsidR="004A697A" w:rsidRDefault="006050C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5E4C1A5" wp14:editId="53E5A637">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A2AB0" w14:paraId="7F7943BD" w14:textId="77777777">
                            <w:trPr>
                              <w:trHeight w:val="200"/>
                            </w:trPr>
                            <w:tc>
                              <w:tcPr>
                                <w:tcW w:w="1140" w:type="dxa"/>
                              </w:tcPr>
                              <w:p w14:paraId="44096EFE" w14:textId="77777777" w:rsidR="001A2AB0" w:rsidRDefault="001A2AB0"/>
                            </w:tc>
                            <w:tc>
                              <w:tcPr>
                                <w:tcW w:w="5400" w:type="dxa"/>
                              </w:tcPr>
                              <w:p w14:paraId="38F3E3DC" w14:textId="77777777" w:rsidR="001A2AB0" w:rsidRDefault="001A2AB0"/>
                            </w:tc>
                          </w:tr>
                          <w:tr w:rsidR="001A2AB0" w14:paraId="5426E1B1" w14:textId="77777777">
                            <w:trPr>
                              <w:trHeight w:val="240"/>
                            </w:trPr>
                            <w:tc>
                              <w:tcPr>
                                <w:tcW w:w="1140" w:type="dxa"/>
                              </w:tcPr>
                              <w:p w14:paraId="6A289B2D" w14:textId="77777777" w:rsidR="001A2AB0" w:rsidRDefault="00427C13">
                                <w:r>
                                  <w:t>Datum</w:t>
                                </w:r>
                              </w:p>
                            </w:tc>
                            <w:tc>
                              <w:tcPr>
                                <w:tcW w:w="5400" w:type="dxa"/>
                              </w:tcPr>
                              <w:p w14:paraId="32D5EE62" w14:textId="360D5812" w:rsidR="001A2AB0" w:rsidRDefault="00611071">
                                <w:r>
                                  <w:t>25 november 2024</w:t>
                                </w:r>
                              </w:p>
                            </w:tc>
                          </w:tr>
                          <w:tr w:rsidR="001A2AB0" w14:paraId="2B4B204F" w14:textId="77777777">
                            <w:trPr>
                              <w:trHeight w:val="240"/>
                            </w:trPr>
                            <w:tc>
                              <w:tcPr>
                                <w:tcW w:w="1140" w:type="dxa"/>
                              </w:tcPr>
                              <w:p w14:paraId="72AD3710" w14:textId="77777777" w:rsidR="001A2AB0" w:rsidRDefault="00427C13">
                                <w:r>
                                  <w:t>Betreft</w:t>
                                </w:r>
                              </w:p>
                            </w:tc>
                            <w:tc>
                              <w:tcPr>
                                <w:tcW w:w="5400" w:type="dxa"/>
                              </w:tcPr>
                              <w:p w14:paraId="7A265300" w14:textId="2E44FB6E" w:rsidR="004A697A" w:rsidRDefault="00611071">
                                <w:r>
                                  <w:fldChar w:fldCharType="begin"/>
                                </w:r>
                                <w:r>
                                  <w:instrText xml:space="preserve"> DOCPROPERTY  "Onderwerp"  \* MERGEFORMAT </w:instrText>
                                </w:r>
                                <w:r>
                                  <w:fldChar w:fldCharType="separate"/>
                                </w:r>
                                <w:r>
                                  <w:t>Beantwoording vragen naar aanleiding van het verslag van de rapporteurs over de begroting Financiën en Nationale Schuld 2025</w:t>
                                </w:r>
                                <w:r>
                                  <w:fldChar w:fldCharType="end"/>
                                </w:r>
                              </w:p>
                            </w:tc>
                          </w:tr>
                          <w:tr w:rsidR="001A2AB0" w14:paraId="63FB3700" w14:textId="77777777">
                            <w:trPr>
                              <w:trHeight w:val="200"/>
                            </w:trPr>
                            <w:tc>
                              <w:tcPr>
                                <w:tcW w:w="1140" w:type="dxa"/>
                              </w:tcPr>
                              <w:p w14:paraId="7C235388" w14:textId="77777777" w:rsidR="001A2AB0" w:rsidRDefault="001A2AB0"/>
                            </w:tc>
                            <w:tc>
                              <w:tcPr>
                                <w:tcW w:w="4738" w:type="dxa"/>
                              </w:tcPr>
                              <w:p w14:paraId="72488AA1" w14:textId="77777777" w:rsidR="001A2AB0" w:rsidRDefault="001A2AB0"/>
                            </w:tc>
                          </w:tr>
                        </w:tbl>
                        <w:p w14:paraId="3779E639" w14:textId="77777777" w:rsidR="00427C13" w:rsidRDefault="00427C13"/>
                      </w:txbxContent>
                    </wps:txbx>
                    <wps:bodyPr vert="horz" wrap="square" lIns="0" tIns="0" rIns="0" bIns="0" anchor="t" anchorCtr="0"/>
                  </wps:wsp>
                </a:graphicData>
              </a:graphic>
            </wp:anchor>
          </w:drawing>
        </mc:Choice>
        <mc:Fallback>
          <w:pict>
            <v:shape w14:anchorId="25E4C1A5"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A2AB0" w14:paraId="7F7943BD" w14:textId="77777777">
                      <w:trPr>
                        <w:trHeight w:val="200"/>
                      </w:trPr>
                      <w:tc>
                        <w:tcPr>
                          <w:tcW w:w="1140" w:type="dxa"/>
                        </w:tcPr>
                        <w:p w14:paraId="44096EFE" w14:textId="77777777" w:rsidR="001A2AB0" w:rsidRDefault="001A2AB0"/>
                      </w:tc>
                      <w:tc>
                        <w:tcPr>
                          <w:tcW w:w="5400" w:type="dxa"/>
                        </w:tcPr>
                        <w:p w14:paraId="38F3E3DC" w14:textId="77777777" w:rsidR="001A2AB0" w:rsidRDefault="001A2AB0"/>
                      </w:tc>
                    </w:tr>
                    <w:tr w:rsidR="001A2AB0" w14:paraId="5426E1B1" w14:textId="77777777">
                      <w:trPr>
                        <w:trHeight w:val="240"/>
                      </w:trPr>
                      <w:tc>
                        <w:tcPr>
                          <w:tcW w:w="1140" w:type="dxa"/>
                        </w:tcPr>
                        <w:p w14:paraId="6A289B2D" w14:textId="77777777" w:rsidR="001A2AB0" w:rsidRDefault="00427C13">
                          <w:r>
                            <w:t>Datum</w:t>
                          </w:r>
                        </w:p>
                      </w:tc>
                      <w:tc>
                        <w:tcPr>
                          <w:tcW w:w="5400" w:type="dxa"/>
                        </w:tcPr>
                        <w:p w14:paraId="32D5EE62" w14:textId="360D5812" w:rsidR="001A2AB0" w:rsidRDefault="00611071">
                          <w:r>
                            <w:t>25 november 2024</w:t>
                          </w:r>
                        </w:p>
                      </w:tc>
                    </w:tr>
                    <w:tr w:rsidR="001A2AB0" w14:paraId="2B4B204F" w14:textId="77777777">
                      <w:trPr>
                        <w:trHeight w:val="240"/>
                      </w:trPr>
                      <w:tc>
                        <w:tcPr>
                          <w:tcW w:w="1140" w:type="dxa"/>
                        </w:tcPr>
                        <w:p w14:paraId="72AD3710" w14:textId="77777777" w:rsidR="001A2AB0" w:rsidRDefault="00427C13">
                          <w:r>
                            <w:t>Betreft</w:t>
                          </w:r>
                        </w:p>
                      </w:tc>
                      <w:tc>
                        <w:tcPr>
                          <w:tcW w:w="5400" w:type="dxa"/>
                        </w:tcPr>
                        <w:p w14:paraId="7A265300" w14:textId="2E44FB6E" w:rsidR="004A697A" w:rsidRDefault="00611071">
                          <w:r>
                            <w:fldChar w:fldCharType="begin"/>
                          </w:r>
                          <w:r>
                            <w:instrText xml:space="preserve"> DOCPROPERTY  "Onderwerp"  \* MERGEFORMAT </w:instrText>
                          </w:r>
                          <w:r>
                            <w:fldChar w:fldCharType="separate"/>
                          </w:r>
                          <w:r>
                            <w:t>Beantwoording vragen naar aanleiding van het verslag van de rapporteurs over de begroting Financiën en Nationale Schuld 2025</w:t>
                          </w:r>
                          <w:r>
                            <w:fldChar w:fldCharType="end"/>
                          </w:r>
                        </w:p>
                      </w:tc>
                    </w:tr>
                    <w:tr w:rsidR="001A2AB0" w14:paraId="63FB3700" w14:textId="77777777">
                      <w:trPr>
                        <w:trHeight w:val="200"/>
                      </w:trPr>
                      <w:tc>
                        <w:tcPr>
                          <w:tcW w:w="1140" w:type="dxa"/>
                        </w:tcPr>
                        <w:p w14:paraId="7C235388" w14:textId="77777777" w:rsidR="001A2AB0" w:rsidRDefault="001A2AB0"/>
                      </w:tc>
                      <w:tc>
                        <w:tcPr>
                          <w:tcW w:w="4738" w:type="dxa"/>
                        </w:tcPr>
                        <w:p w14:paraId="72488AA1" w14:textId="77777777" w:rsidR="001A2AB0" w:rsidRDefault="001A2AB0"/>
                      </w:tc>
                    </w:tr>
                  </w:tbl>
                  <w:p w14:paraId="3779E639" w14:textId="77777777" w:rsidR="00427C13" w:rsidRDefault="00427C1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C266C91" wp14:editId="591FAF5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5D85B51" w14:textId="53C196F9" w:rsidR="004A697A" w:rsidRDefault="006050C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C266C9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5D85B51" w14:textId="53C196F9" w:rsidR="004A697A" w:rsidRDefault="006050C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F95C2EB" wp14:editId="1F637AF4">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F90C0D6" w14:textId="77777777" w:rsidR="00427C13" w:rsidRDefault="00427C13"/>
                      </w:txbxContent>
                    </wps:txbx>
                    <wps:bodyPr vert="horz" wrap="square" lIns="0" tIns="0" rIns="0" bIns="0" anchor="t" anchorCtr="0"/>
                  </wps:wsp>
                </a:graphicData>
              </a:graphic>
            </wp:anchor>
          </w:drawing>
        </mc:Choice>
        <mc:Fallback>
          <w:pict>
            <v:shape w14:anchorId="2F95C2EB"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F90C0D6" w14:textId="77777777" w:rsidR="00427C13" w:rsidRDefault="00427C1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220F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5BA104"/>
    <w:multiLevelType w:val="multilevel"/>
    <w:tmpl w:val="2B55246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5877680"/>
    <w:multiLevelType w:val="multilevel"/>
    <w:tmpl w:val="40C0D87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CFD30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B99B01"/>
    <w:multiLevelType w:val="multilevel"/>
    <w:tmpl w:val="FE4CC92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FF6AA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20DE1D6"/>
    <w:multiLevelType w:val="multilevel"/>
    <w:tmpl w:val="6A3F7C0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51C8F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EA86C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5B0A4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EADC2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323272"/>
    <w:multiLevelType w:val="hybridMultilevel"/>
    <w:tmpl w:val="EFD8C7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7A477FE"/>
    <w:multiLevelType w:val="hybridMultilevel"/>
    <w:tmpl w:val="DA20BF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8C544C7"/>
    <w:multiLevelType w:val="hybridMultilevel"/>
    <w:tmpl w:val="6C44E4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249323"/>
    <w:multiLevelType w:val="multilevel"/>
    <w:tmpl w:val="5EFB26B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49F57DF4"/>
    <w:multiLevelType w:val="hybridMultilevel"/>
    <w:tmpl w:val="425E6B82"/>
    <w:lvl w:ilvl="0" w:tplc="1B1C647C">
      <w:start w:val="4"/>
      <w:numFmt w:val="bullet"/>
      <w:lvlText w:val="-"/>
      <w:lvlJc w:val="left"/>
      <w:pPr>
        <w:ind w:left="360" w:hanging="360"/>
      </w:pPr>
      <w:rPr>
        <w:rFonts w:ascii="Verdana" w:eastAsia="DejaVu Sans"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CB23EA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E97D3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78718A8"/>
    <w:multiLevelType w:val="hybridMultilevel"/>
    <w:tmpl w:val="DA20BF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A8E9D6F"/>
    <w:multiLevelType w:val="multilevel"/>
    <w:tmpl w:val="C44D0EF2"/>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3609D0"/>
    <w:multiLevelType w:val="hybridMultilevel"/>
    <w:tmpl w:val="5532E26E"/>
    <w:lvl w:ilvl="0" w:tplc="25F46C4A">
      <w:start w:val="1"/>
      <w:numFmt w:val="decimal"/>
      <w:lvlText w:val="%1."/>
      <w:lvlJc w:val="left"/>
      <w:pPr>
        <w:ind w:left="502" w:hanging="360"/>
      </w:pPr>
      <w:rPr>
        <w:rFonts w:ascii="Verdana" w:hAnsi="Verdana" w:hint="default"/>
        <w:sz w:val="18"/>
        <w:szCs w:val="18"/>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6F7C34DB"/>
    <w:multiLevelType w:val="hybridMultilevel"/>
    <w:tmpl w:val="087AA6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DB3F0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E7B7CAB"/>
    <w:multiLevelType w:val="hybridMultilevel"/>
    <w:tmpl w:val="E4D09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4741653">
    <w:abstractNumId w:val="6"/>
  </w:num>
  <w:num w:numId="2" w16cid:durableId="782455635">
    <w:abstractNumId w:val="19"/>
  </w:num>
  <w:num w:numId="3" w16cid:durableId="470487349">
    <w:abstractNumId w:val="1"/>
  </w:num>
  <w:num w:numId="4" w16cid:durableId="34891641">
    <w:abstractNumId w:val="14"/>
  </w:num>
  <w:num w:numId="5" w16cid:durableId="615716496">
    <w:abstractNumId w:val="4"/>
  </w:num>
  <w:num w:numId="6" w16cid:durableId="404110156">
    <w:abstractNumId w:val="2"/>
  </w:num>
  <w:num w:numId="7" w16cid:durableId="15561627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0929503">
    <w:abstractNumId w:val="7"/>
  </w:num>
  <w:num w:numId="9" w16cid:durableId="1950163052">
    <w:abstractNumId w:val="9"/>
  </w:num>
  <w:num w:numId="10" w16cid:durableId="786392906">
    <w:abstractNumId w:val="20"/>
  </w:num>
  <w:num w:numId="11" w16cid:durableId="737679010">
    <w:abstractNumId w:val="21"/>
  </w:num>
  <w:num w:numId="12" w16cid:durableId="1925992040">
    <w:abstractNumId w:val="16"/>
  </w:num>
  <w:num w:numId="13" w16cid:durableId="200749041">
    <w:abstractNumId w:val="23"/>
  </w:num>
  <w:num w:numId="14" w16cid:durableId="299573722">
    <w:abstractNumId w:val="17"/>
  </w:num>
  <w:num w:numId="15" w16cid:durableId="1017730866">
    <w:abstractNumId w:val="3"/>
  </w:num>
  <w:num w:numId="16" w16cid:durableId="1246257541">
    <w:abstractNumId w:val="8"/>
  </w:num>
  <w:num w:numId="17" w16cid:durableId="522061467">
    <w:abstractNumId w:val="18"/>
  </w:num>
  <w:num w:numId="18" w16cid:durableId="1152982442">
    <w:abstractNumId w:val="0"/>
  </w:num>
  <w:num w:numId="19" w16cid:durableId="610865259">
    <w:abstractNumId w:val="12"/>
  </w:num>
  <w:num w:numId="20" w16cid:durableId="2119792154">
    <w:abstractNumId w:val="10"/>
  </w:num>
  <w:num w:numId="21" w16cid:durableId="1201867150">
    <w:abstractNumId w:val="22"/>
  </w:num>
  <w:num w:numId="22" w16cid:durableId="1254776695">
    <w:abstractNumId w:val="13"/>
  </w:num>
  <w:num w:numId="23" w16cid:durableId="1879467771">
    <w:abstractNumId w:val="11"/>
  </w:num>
  <w:num w:numId="24" w16cid:durableId="419914261">
    <w:abstractNumId w:val="5"/>
  </w:num>
  <w:num w:numId="25" w16cid:durableId="1441994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AB0"/>
    <w:rsid w:val="00002A4E"/>
    <w:rsid w:val="0005076A"/>
    <w:rsid w:val="00052D2D"/>
    <w:rsid w:val="000A12BA"/>
    <w:rsid w:val="000E5986"/>
    <w:rsid w:val="001064D0"/>
    <w:rsid w:val="001468AA"/>
    <w:rsid w:val="001540D2"/>
    <w:rsid w:val="0016412B"/>
    <w:rsid w:val="00191A04"/>
    <w:rsid w:val="001931FB"/>
    <w:rsid w:val="001A2AB0"/>
    <w:rsid w:val="00220E9E"/>
    <w:rsid w:val="00264FFF"/>
    <w:rsid w:val="00277CDC"/>
    <w:rsid w:val="002860D3"/>
    <w:rsid w:val="00291E2C"/>
    <w:rsid w:val="002A4F6B"/>
    <w:rsid w:val="002B3619"/>
    <w:rsid w:val="002D19D2"/>
    <w:rsid w:val="0036144B"/>
    <w:rsid w:val="0042385A"/>
    <w:rsid w:val="00427C13"/>
    <w:rsid w:val="00496DEE"/>
    <w:rsid w:val="004A697A"/>
    <w:rsid w:val="004B3E51"/>
    <w:rsid w:val="004F15DE"/>
    <w:rsid w:val="005050CF"/>
    <w:rsid w:val="005157F9"/>
    <w:rsid w:val="00524865"/>
    <w:rsid w:val="005376D5"/>
    <w:rsid w:val="005528FC"/>
    <w:rsid w:val="00591862"/>
    <w:rsid w:val="005B7B7C"/>
    <w:rsid w:val="005E44B3"/>
    <w:rsid w:val="006034A3"/>
    <w:rsid w:val="006050C5"/>
    <w:rsid w:val="00611071"/>
    <w:rsid w:val="0062055B"/>
    <w:rsid w:val="006509D0"/>
    <w:rsid w:val="006635C8"/>
    <w:rsid w:val="00667540"/>
    <w:rsid w:val="006838E4"/>
    <w:rsid w:val="006A7A59"/>
    <w:rsid w:val="006B5F9B"/>
    <w:rsid w:val="006E0D23"/>
    <w:rsid w:val="007603B8"/>
    <w:rsid w:val="00760468"/>
    <w:rsid w:val="00793FBA"/>
    <w:rsid w:val="007A0875"/>
    <w:rsid w:val="007B6B31"/>
    <w:rsid w:val="007D1310"/>
    <w:rsid w:val="007F4369"/>
    <w:rsid w:val="007F5AE9"/>
    <w:rsid w:val="00804E14"/>
    <w:rsid w:val="0085241C"/>
    <w:rsid w:val="008931E0"/>
    <w:rsid w:val="0092279E"/>
    <w:rsid w:val="009227C6"/>
    <w:rsid w:val="00942898"/>
    <w:rsid w:val="00964C63"/>
    <w:rsid w:val="00967A42"/>
    <w:rsid w:val="00976BB8"/>
    <w:rsid w:val="00995D35"/>
    <w:rsid w:val="009C395F"/>
    <w:rsid w:val="009D5426"/>
    <w:rsid w:val="00A072D5"/>
    <w:rsid w:val="00A7758B"/>
    <w:rsid w:val="00AD0F7D"/>
    <w:rsid w:val="00B10241"/>
    <w:rsid w:val="00B460E7"/>
    <w:rsid w:val="00B60BC4"/>
    <w:rsid w:val="00B753F7"/>
    <w:rsid w:val="00B7676A"/>
    <w:rsid w:val="00B83604"/>
    <w:rsid w:val="00BF783C"/>
    <w:rsid w:val="00C603CC"/>
    <w:rsid w:val="00C75C1B"/>
    <w:rsid w:val="00C92247"/>
    <w:rsid w:val="00C92E21"/>
    <w:rsid w:val="00CA79C3"/>
    <w:rsid w:val="00CB0116"/>
    <w:rsid w:val="00CE1FAF"/>
    <w:rsid w:val="00CE25E8"/>
    <w:rsid w:val="00CF4268"/>
    <w:rsid w:val="00D0181B"/>
    <w:rsid w:val="00D57105"/>
    <w:rsid w:val="00D7602B"/>
    <w:rsid w:val="00DB03E7"/>
    <w:rsid w:val="00DC146E"/>
    <w:rsid w:val="00DC351B"/>
    <w:rsid w:val="00E525F4"/>
    <w:rsid w:val="00EB2536"/>
    <w:rsid w:val="00EB7AAD"/>
    <w:rsid w:val="00EC5B47"/>
    <w:rsid w:val="00F173C3"/>
    <w:rsid w:val="00F24C4E"/>
    <w:rsid w:val="00F47EF6"/>
    <w:rsid w:val="00F50239"/>
    <w:rsid w:val="00F766EC"/>
    <w:rsid w:val="00F93EE6"/>
    <w:rsid w:val="00F97663"/>
    <w:rsid w:val="00FD7F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45572"/>
  <w15:docId w15:val="{D4B597CC-60D7-4431-A73F-CD1E51A0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27C1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27C13"/>
    <w:rPr>
      <w:rFonts w:ascii="Verdana" w:hAnsi="Verdana"/>
      <w:color w:val="000000"/>
      <w:sz w:val="18"/>
      <w:szCs w:val="18"/>
    </w:rPr>
  </w:style>
  <w:style w:type="paragraph" w:styleId="Voettekst">
    <w:name w:val="footer"/>
    <w:basedOn w:val="Standaard"/>
    <w:link w:val="VoettekstChar"/>
    <w:uiPriority w:val="99"/>
    <w:unhideWhenUsed/>
    <w:rsid w:val="00427C1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27C13"/>
    <w:rPr>
      <w:rFonts w:ascii="Verdana" w:hAnsi="Verdana"/>
      <w:color w:val="000000"/>
      <w:sz w:val="18"/>
      <w:szCs w:val="18"/>
    </w:rPr>
  </w:style>
  <w:style w:type="character" w:customStyle="1" w:styleId="VoetnoottekstChar">
    <w:name w:val="Voetnoottekst Char"/>
    <w:aliases w:val="Voetnoottekst_leon Char"/>
    <w:basedOn w:val="Standaardalinea-lettertype"/>
    <w:link w:val="Voetnoottekst"/>
    <w:uiPriority w:val="99"/>
    <w:semiHidden/>
    <w:locked/>
    <w:rsid w:val="00427C13"/>
    <w:rPr>
      <w:rFonts w:ascii="Calibri" w:eastAsiaTheme="minorHAnsi" w:hAnsi="Calibri" w:cs="Calibri"/>
      <w:lang w:eastAsia="en-US"/>
    </w:rPr>
  </w:style>
  <w:style w:type="paragraph" w:styleId="Voetnoottekst">
    <w:name w:val="footnote text"/>
    <w:aliases w:val="Voetnoottekst_leon"/>
    <w:basedOn w:val="Standaard"/>
    <w:link w:val="VoetnoottekstChar"/>
    <w:uiPriority w:val="99"/>
    <w:semiHidden/>
    <w:unhideWhenUsed/>
    <w:rsid w:val="00427C13"/>
    <w:pPr>
      <w:autoSpaceDN/>
      <w:spacing w:line="240" w:lineRule="auto"/>
      <w:textAlignment w:val="auto"/>
    </w:pPr>
    <w:rPr>
      <w:rFonts w:ascii="Calibri" w:eastAsiaTheme="minorHAnsi" w:hAnsi="Calibri" w:cs="Calibri"/>
      <w:color w:val="auto"/>
      <w:sz w:val="20"/>
      <w:szCs w:val="20"/>
      <w:lang w:eastAsia="en-US"/>
    </w:rPr>
  </w:style>
  <w:style w:type="character" w:customStyle="1" w:styleId="VoetnoottekstChar1">
    <w:name w:val="Voetnoottekst Char1"/>
    <w:basedOn w:val="Standaardalinea-lettertype"/>
    <w:uiPriority w:val="99"/>
    <w:semiHidden/>
    <w:rsid w:val="00427C13"/>
    <w:rPr>
      <w:rFonts w:ascii="Verdana" w:hAnsi="Verdana"/>
      <w:color w:val="000000"/>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427C13"/>
    <w:rPr>
      <w:rFonts w:eastAsia="Times New Roman" w:cs="Times New Roman"/>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427C13"/>
    <w:pPr>
      <w:widowControl w:val="0"/>
      <w:autoSpaceDN/>
      <w:adjustRightInd w:val="0"/>
      <w:spacing w:line="240" w:lineRule="auto"/>
      <w:ind w:left="720"/>
      <w:contextualSpacing/>
      <w:jc w:val="both"/>
      <w:textAlignment w:val="auto"/>
    </w:pPr>
    <w:rPr>
      <w:rFonts w:ascii="Times New Roman" w:eastAsia="Times New Roman" w:hAnsi="Times New Roman" w:cs="Times New Roman"/>
      <w:color w:val="auto"/>
      <w:sz w:val="24"/>
      <w:szCs w:val="24"/>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rsid w:val="00427C13"/>
    <w:rPr>
      <w:vertAlign w:val="superscript"/>
    </w:rPr>
  </w:style>
  <w:style w:type="paragraph" w:styleId="Geenafstand">
    <w:name w:val="No Spacing"/>
    <w:uiPriority w:val="1"/>
    <w:qFormat/>
    <w:rsid w:val="00427C13"/>
    <w:pPr>
      <w:autoSpaceDN/>
      <w:textAlignment w:val="auto"/>
    </w:pPr>
    <w:rPr>
      <w:rFonts w:ascii="Verdana" w:eastAsiaTheme="minorHAnsi" w:hAnsi="Verdana" w:cstheme="minorBidi"/>
      <w:sz w:val="18"/>
      <w:szCs w:val="22"/>
      <w:lang w:eastAsia="en-US"/>
    </w:rPr>
  </w:style>
  <w:style w:type="paragraph" w:customStyle="1" w:styleId="Default">
    <w:name w:val="Default"/>
    <w:rsid w:val="00CB0116"/>
    <w:pPr>
      <w:autoSpaceDE w:val="0"/>
      <w:adjustRightInd w:val="0"/>
      <w:textAlignment w:val="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6E0D23"/>
    <w:rPr>
      <w:sz w:val="16"/>
      <w:szCs w:val="16"/>
    </w:rPr>
  </w:style>
  <w:style w:type="paragraph" w:styleId="Tekstopmerking">
    <w:name w:val="annotation text"/>
    <w:basedOn w:val="Standaard"/>
    <w:link w:val="TekstopmerkingChar"/>
    <w:uiPriority w:val="99"/>
    <w:unhideWhenUsed/>
    <w:rsid w:val="006E0D23"/>
    <w:pPr>
      <w:spacing w:line="240" w:lineRule="auto"/>
    </w:pPr>
    <w:rPr>
      <w:sz w:val="20"/>
      <w:szCs w:val="20"/>
    </w:rPr>
  </w:style>
  <w:style w:type="character" w:customStyle="1" w:styleId="TekstopmerkingChar">
    <w:name w:val="Tekst opmerking Char"/>
    <w:basedOn w:val="Standaardalinea-lettertype"/>
    <w:link w:val="Tekstopmerking"/>
    <w:uiPriority w:val="99"/>
    <w:rsid w:val="006E0D2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E0D23"/>
    <w:rPr>
      <w:b/>
      <w:bCs/>
    </w:rPr>
  </w:style>
  <w:style w:type="character" w:customStyle="1" w:styleId="OnderwerpvanopmerkingChar">
    <w:name w:val="Onderwerp van opmerking Char"/>
    <w:basedOn w:val="TekstopmerkingChar"/>
    <w:link w:val="Onderwerpvanopmerking"/>
    <w:uiPriority w:val="99"/>
    <w:semiHidden/>
    <w:rsid w:val="006E0D23"/>
    <w:rPr>
      <w:rFonts w:ascii="Verdana" w:hAnsi="Verdana"/>
      <w:b/>
      <w:bCs/>
      <w:color w:val="000000"/>
    </w:rPr>
  </w:style>
  <w:style w:type="paragraph" w:styleId="Revisie">
    <w:name w:val="Revision"/>
    <w:hidden/>
    <w:uiPriority w:val="99"/>
    <w:semiHidden/>
    <w:rsid w:val="00976BB8"/>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92279E"/>
    <w:rPr>
      <w:color w:val="954F72" w:themeColor="followedHyperlink"/>
      <w:u w:val="single"/>
    </w:rPr>
  </w:style>
  <w:style w:type="table" w:styleId="Tabelraster">
    <w:name w:val="Table Grid"/>
    <w:basedOn w:val="Standaardtabel"/>
    <w:uiPriority w:val="39"/>
    <w:rsid w:val="0085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2378">
      <w:bodyDiv w:val="1"/>
      <w:marLeft w:val="0"/>
      <w:marRight w:val="0"/>
      <w:marTop w:val="0"/>
      <w:marBottom w:val="0"/>
      <w:divBdr>
        <w:top w:val="none" w:sz="0" w:space="0" w:color="auto"/>
        <w:left w:val="none" w:sz="0" w:space="0" w:color="auto"/>
        <w:bottom w:val="none" w:sz="0" w:space="0" w:color="auto"/>
        <w:right w:val="none" w:sz="0" w:space="0" w:color="auto"/>
      </w:divBdr>
    </w:div>
    <w:div w:id="980034542">
      <w:bodyDiv w:val="1"/>
      <w:marLeft w:val="0"/>
      <w:marRight w:val="0"/>
      <w:marTop w:val="0"/>
      <w:marBottom w:val="0"/>
      <w:divBdr>
        <w:top w:val="none" w:sz="0" w:space="0" w:color="auto"/>
        <w:left w:val="none" w:sz="0" w:space="0" w:color="auto"/>
        <w:bottom w:val="none" w:sz="0" w:space="0" w:color="auto"/>
        <w:right w:val="none" w:sz="0" w:space="0" w:color="auto"/>
      </w:divBdr>
    </w:div>
    <w:div w:id="118216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weedekamer.nl/kamerstukken/brieven_regering/detail?id=2024D40679&amp;did=2024D406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webSetting" Target="webSettings0.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4/10/17/kamerbrief-kabinetsreactie-evaluaties-fiscale-regelingen" TargetMode="External"/><Relationship Id="rId1" Type="http://schemas.openxmlformats.org/officeDocument/2006/relationships/hyperlink" Target="https://www.rijksoverheid.nl/documenten/kamerstukken/2023/07/07/kamerbrief-aanbieding-ambtelijk-rapport-aanpak-fiscale-regeli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3300</ap:Words>
  <ap:Characters>18150</ap:Characters>
  <ap:DocSecurity>0</ap:DocSecurity>
  <ap:Lines>151</ap:Lines>
  <ap:Paragraphs>42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aan Eerste of Tweede Kamer - Beantwoording vragen naar aanleiding van he tverslag van de rapporteur en Kamerleden ove het jaarverslag IX 2023 en het verantwoordingsonderzoek van de Algmene Rekenkamer</vt:lpstr>
      <vt:lpstr>Brief aan Eerste of Tweede Kamer - Beantwoording vragen naar aanleiding van he tverslag van de rapporteur en Kamerleden ove het jaarverslag IX 2023 en het verantwoordingsonderzoek van de Algmene Rekenkamer</vt:lpstr>
    </vt:vector>
  </ap:TitlesOfParts>
  <ap:LinksUpToDate>false</ap:LinksUpToDate>
  <ap:CharactersWithSpaces>21408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2024-11-25T14:49:00.0000000Z</dcterms:created>
  <dcterms:modified xsi:type="dcterms:W3CDTF">2024-11-25T14:49:00.0000000Z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vragen naar aanleiding van he tverslag van de rapporteur en Kamerleden ove het jaarverslag IX 2023 en het verantwoordingsonderzoek van de Algmene Rekenkamer</vt:lpwstr>
  </property>
  <property fmtid="{D5CDD505-2E9C-101B-9397-08002B2CF9AE}" pid="5" name="Publicatiedatum">
    <vt:lpwstr/>
  </property>
  <property fmtid="{D5CDD505-2E9C-101B-9397-08002B2CF9AE}" pid="6" name="Verantwoordelijke organisatie">
    <vt:lpwstr>Directie Financieel-Economische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19 juni 2024</vt:lpwstr>
  </property>
  <property fmtid="{D5CDD505-2E9C-101B-9397-08002B2CF9AE}" pid="13" name="Opgesteld door, Naam">
    <vt:lpwstr/>
  </property>
  <property fmtid="{D5CDD505-2E9C-101B-9397-08002B2CF9AE}" pid="14" name="Opgesteld door, Telefoonnummer">
    <vt:lpwstr>088-4428420</vt:lpwstr>
  </property>
  <property fmtid="{D5CDD505-2E9C-101B-9397-08002B2CF9AE}" pid="15" name="Kenmerk">
    <vt:lpwstr>2024-0000541163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vragen naar aanleiding van het verslag van de rapporteurs over de begroting Financiën en Nationale Schuld 2025</vt:lpwstr>
  </property>
  <property fmtid="{D5CDD505-2E9C-101B-9397-08002B2CF9AE}" pid="30" name="UwKenmerk">
    <vt:lpwstr/>
  </property>
  <property fmtid="{D5CDD505-2E9C-101B-9397-08002B2CF9AE}" pid="31" name="MSIP_Label_0b3866f6-513b-41e9-9aa1-311b4823e2dc_Enabled">
    <vt:lpwstr>true</vt:lpwstr>
  </property>
  <property fmtid="{D5CDD505-2E9C-101B-9397-08002B2CF9AE}" pid="32" name="MSIP_Label_0b3866f6-513b-41e9-9aa1-311b4823e2dc_SetDate">
    <vt:lpwstr>2024-06-19T09:18:48Z</vt:lpwstr>
  </property>
  <property fmtid="{D5CDD505-2E9C-101B-9397-08002B2CF9AE}" pid="33" name="MSIP_Label_0b3866f6-513b-41e9-9aa1-311b4823e2dc_Method">
    <vt:lpwstr>Standard</vt:lpwstr>
  </property>
  <property fmtid="{D5CDD505-2E9C-101B-9397-08002B2CF9AE}" pid="34" name="MSIP_Label_0b3866f6-513b-41e9-9aa1-311b4823e2dc_Name">
    <vt:lpwstr>FIN-BEDR-Rijksoverheid</vt:lpwstr>
  </property>
  <property fmtid="{D5CDD505-2E9C-101B-9397-08002B2CF9AE}" pid="35" name="MSIP_Label_0b3866f6-513b-41e9-9aa1-311b4823e2dc_SiteId">
    <vt:lpwstr>84712536-f524-40a0-913b-5d25ba502732</vt:lpwstr>
  </property>
  <property fmtid="{D5CDD505-2E9C-101B-9397-08002B2CF9AE}" pid="36" name="MSIP_Label_0b3866f6-513b-41e9-9aa1-311b4823e2dc_ActionId">
    <vt:lpwstr>d830878e-1f06-48c4-bc6c-95d289853bf3</vt:lpwstr>
  </property>
  <property fmtid="{D5CDD505-2E9C-101B-9397-08002B2CF9AE}" pid="37" name="MSIP_Label_0b3866f6-513b-41e9-9aa1-311b4823e2dc_ContentBits">
    <vt:lpwstr>0</vt:lpwstr>
  </property>
</Properties>
</file>