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571" w:rsidRDefault="00787294" w14:paraId="1671EF44" w14:textId="77777777">
      <w:r>
        <w:t>Geachte voorzitter,</w:t>
      </w:r>
    </w:p>
    <w:p w:rsidR="00382571" w:rsidRDefault="00382571" w14:paraId="1671EF45" w14:textId="77777777"/>
    <w:p w:rsidRPr="00787294" w:rsidR="00382571" w:rsidRDefault="001B7BF1" w14:paraId="1671EF47" w14:textId="2CC416CA">
      <w:r>
        <w:t xml:space="preserve">Op 26 november </w:t>
      </w:r>
      <w:r w:rsidRPr="00787294" w:rsidR="00787294">
        <w:t xml:space="preserve">vindt het </w:t>
      </w:r>
      <w:r w:rsidR="00787294">
        <w:t>Commissiedebat wapenexportbeleid plaats</w:t>
      </w:r>
      <w:r w:rsidR="00052E54">
        <w:t>.</w:t>
      </w:r>
      <w:r w:rsidR="00787294">
        <w:t xml:space="preserve"> Helaas dien ik mij vanwege andere verplichtingen af te melden voor dit debat. De minister voor Buitenlandse Handel en Ontwikkelingshulp en de staatssecretaris van Defensie zullen beide deelnemen aan het debat.</w:t>
      </w:r>
    </w:p>
    <w:p w:rsidR="00063B3D" w:rsidRDefault="00063B3D" w14:paraId="6168DE29"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382571" w14:paraId="1671EF4A" w14:textId="77777777">
        <w:tc>
          <w:tcPr>
            <w:tcW w:w="3620" w:type="dxa"/>
          </w:tcPr>
          <w:p w:rsidR="00382571" w:rsidRDefault="00787294" w14:paraId="1671EF48" w14:textId="77777777">
            <w:r>
              <w:t>De minister van Buitenlandse Zaken,</w:t>
            </w:r>
            <w:r>
              <w:br/>
            </w:r>
            <w:r>
              <w:br/>
            </w:r>
            <w:r>
              <w:br/>
            </w:r>
            <w:r>
              <w:br/>
            </w:r>
            <w:r>
              <w:br/>
            </w:r>
            <w:r>
              <w:br/>
              <w:t>Caspar Veldkamp</w:t>
            </w:r>
          </w:p>
        </w:tc>
        <w:tc>
          <w:tcPr>
            <w:tcW w:w="3921" w:type="dxa"/>
          </w:tcPr>
          <w:p w:rsidR="00382571" w:rsidRDefault="00382571" w14:paraId="1671EF49" w14:textId="77777777"/>
        </w:tc>
      </w:tr>
    </w:tbl>
    <w:p w:rsidR="00382571" w:rsidRDefault="00382571" w14:paraId="1671EF4B" w14:textId="77777777"/>
    <w:sectPr w:rsidR="00382571">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EF54" w14:textId="77777777" w:rsidR="00787294" w:rsidRDefault="00787294">
      <w:pPr>
        <w:spacing w:line="240" w:lineRule="auto"/>
      </w:pPr>
      <w:r>
        <w:separator/>
      </w:r>
    </w:p>
  </w:endnote>
  <w:endnote w:type="continuationSeparator" w:id="0">
    <w:p w14:paraId="1671EF56" w14:textId="77777777" w:rsidR="00787294" w:rsidRDefault="007872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C699" w14:textId="77777777" w:rsidR="00052E54" w:rsidRDefault="0005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7D82" w14:textId="77777777" w:rsidR="00052E54" w:rsidRDefault="00052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CDAE" w14:textId="77777777" w:rsidR="00052E54" w:rsidRDefault="0005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EF50" w14:textId="77777777" w:rsidR="00787294" w:rsidRDefault="00787294">
      <w:pPr>
        <w:spacing w:line="240" w:lineRule="auto"/>
      </w:pPr>
      <w:r>
        <w:separator/>
      </w:r>
    </w:p>
  </w:footnote>
  <w:footnote w:type="continuationSeparator" w:id="0">
    <w:p w14:paraId="1671EF52" w14:textId="77777777" w:rsidR="00787294" w:rsidRDefault="007872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44BC" w14:textId="77777777" w:rsidR="00052E54" w:rsidRDefault="00052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EF4C" w14:textId="77777777" w:rsidR="00382571" w:rsidRDefault="00787294">
    <w:r>
      <w:rPr>
        <w:noProof/>
      </w:rPr>
      <mc:AlternateContent>
        <mc:Choice Requires="wps">
          <w:drawing>
            <wp:anchor distT="0" distB="0" distL="0" distR="0" simplePos="1" relativeHeight="251652608" behindDoc="0" locked="1" layoutInCell="1" allowOverlap="1" wp14:anchorId="1671EF50" wp14:editId="1671EF51">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71EF7E" w14:textId="77777777" w:rsidR="00382571" w:rsidRDefault="00787294">
                          <w:pPr>
                            <w:pStyle w:val="Referentiegegevensbold"/>
                          </w:pPr>
                          <w:r>
                            <w:t>Ministerie van Buitenlandse Zaken</w:t>
                          </w:r>
                        </w:p>
                        <w:p w14:paraId="1671EF7F" w14:textId="77777777" w:rsidR="00382571" w:rsidRDefault="00382571">
                          <w:pPr>
                            <w:pStyle w:val="WitregelW2"/>
                          </w:pPr>
                        </w:p>
                        <w:p w14:paraId="1671EF80" w14:textId="77777777" w:rsidR="00382571" w:rsidRDefault="00787294">
                          <w:pPr>
                            <w:pStyle w:val="Referentiegegevensbold"/>
                          </w:pPr>
                          <w:r>
                            <w:t>Onze referentie</w:t>
                          </w:r>
                        </w:p>
                        <w:p w14:paraId="1671EF81" w14:textId="77777777" w:rsidR="00382571" w:rsidRDefault="00787294">
                          <w:pPr>
                            <w:pStyle w:val="Referentiegegevens"/>
                          </w:pPr>
                          <w:r>
                            <w:t>BZ2409454</w:t>
                          </w:r>
                        </w:p>
                      </w:txbxContent>
                    </wps:txbx>
                    <wps:bodyPr vert="horz" wrap="square" lIns="0" tIns="0" rIns="0" bIns="0" anchor="t" anchorCtr="0"/>
                  </wps:wsp>
                </a:graphicData>
              </a:graphic>
            </wp:anchor>
          </w:drawing>
        </mc:Choice>
        <mc:Fallback>
          <w:pict>
            <v:shapetype w14:anchorId="1671EF50"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671EF7E" w14:textId="77777777" w:rsidR="00382571" w:rsidRDefault="00787294">
                    <w:pPr>
                      <w:pStyle w:val="Referentiegegevensbold"/>
                    </w:pPr>
                    <w:r>
                      <w:t>Ministerie van Buitenlandse Zaken</w:t>
                    </w:r>
                  </w:p>
                  <w:p w14:paraId="1671EF7F" w14:textId="77777777" w:rsidR="00382571" w:rsidRDefault="00382571">
                    <w:pPr>
                      <w:pStyle w:val="WitregelW2"/>
                    </w:pPr>
                  </w:p>
                  <w:p w14:paraId="1671EF80" w14:textId="77777777" w:rsidR="00382571" w:rsidRDefault="00787294">
                    <w:pPr>
                      <w:pStyle w:val="Referentiegegevensbold"/>
                    </w:pPr>
                    <w:r>
                      <w:t>Onze referentie</w:t>
                    </w:r>
                  </w:p>
                  <w:p w14:paraId="1671EF81" w14:textId="77777777" w:rsidR="00382571" w:rsidRDefault="00787294">
                    <w:pPr>
                      <w:pStyle w:val="Referentiegegevens"/>
                    </w:pPr>
                    <w:r>
                      <w:t>BZ2409454</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671EF52" wp14:editId="1671EF53">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671EF82" w14:textId="77777777" w:rsidR="00382571" w:rsidRDefault="00787294">
                          <w:pPr>
                            <w:pStyle w:val="Rubricering"/>
                          </w:pPr>
                          <w:r>
                            <w:t>ONGERUBRICEERD / GEEN MERKING</w:t>
                          </w:r>
                        </w:p>
                      </w:txbxContent>
                    </wps:txbx>
                    <wps:bodyPr vert="horz" wrap="square" lIns="0" tIns="0" rIns="0" bIns="0" anchor="t" anchorCtr="0"/>
                  </wps:wsp>
                </a:graphicData>
              </a:graphic>
            </wp:anchor>
          </w:drawing>
        </mc:Choice>
        <mc:Fallback>
          <w:pict>
            <v:shape w14:anchorId="1671EF52"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671EF82" w14:textId="77777777" w:rsidR="00382571" w:rsidRDefault="00787294">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671EF54" wp14:editId="1671EF55">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71EF90" w14:textId="77777777" w:rsidR="00787294" w:rsidRDefault="00787294"/>
                      </w:txbxContent>
                    </wps:txbx>
                    <wps:bodyPr vert="horz" wrap="square" lIns="0" tIns="0" rIns="0" bIns="0" anchor="t" anchorCtr="0"/>
                  </wps:wsp>
                </a:graphicData>
              </a:graphic>
            </wp:anchor>
          </w:drawing>
        </mc:Choice>
        <mc:Fallback>
          <w:pict>
            <v:shape w14:anchorId="1671EF54"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671EF90" w14:textId="77777777" w:rsidR="00787294" w:rsidRDefault="0078729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EF4E" w14:textId="495DACEF" w:rsidR="00382571" w:rsidRDefault="00787294">
    <w:pPr>
      <w:spacing w:after="7131" w:line="14" w:lineRule="exact"/>
    </w:pPr>
    <w:r>
      <w:rPr>
        <w:noProof/>
      </w:rPr>
      <mc:AlternateContent>
        <mc:Choice Requires="wps">
          <w:drawing>
            <wp:anchor distT="0" distB="0" distL="0" distR="0" simplePos="0" relativeHeight="251655680" behindDoc="0" locked="1" layoutInCell="1" allowOverlap="1" wp14:anchorId="1671EF56" wp14:editId="1671EF5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671EF83" w14:textId="77777777" w:rsidR="00787294" w:rsidRDefault="00787294"/>
                      </w:txbxContent>
                    </wps:txbx>
                    <wps:bodyPr vert="horz" wrap="square" lIns="0" tIns="0" rIns="0" bIns="0" anchor="t" anchorCtr="0"/>
                  </wps:wsp>
                </a:graphicData>
              </a:graphic>
            </wp:anchor>
          </w:drawing>
        </mc:Choice>
        <mc:Fallback>
          <w:pict>
            <v:shapetype w14:anchorId="1671EF56"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671EF83" w14:textId="77777777" w:rsidR="00787294" w:rsidRDefault="0078729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71EF58" wp14:editId="1671EF5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71EF67" w14:textId="58840E04" w:rsidR="00382571" w:rsidRDefault="00787294">
                          <w:r>
                            <w:t>Aan de Voorzitter van de</w:t>
                          </w:r>
                          <w:r>
                            <w:br/>
                            <w:t>Tweede Kamer der Staten-Generaal</w:t>
                          </w:r>
                          <w:r>
                            <w:br/>
                          </w:r>
                          <w:r w:rsidR="00052E54">
                            <w:t>Prinses Irenestraat 6</w:t>
                          </w:r>
                          <w:r>
                            <w:br/>
                            <w:t>Den Haa</w:t>
                          </w:r>
                          <w:r w:rsidR="00052E54">
                            <w:t>g</w:t>
                          </w:r>
                        </w:p>
                      </w:txbxContent>
                    </wps:txbx>
                    <wps:bodyPr vert="horz" wrap="square" lIns="0" tIns="0" rIns="0" bIns="0" anchor="t" anchorCtr="0"/>
                  </wps:wsp>
                </a:graphicData>
              </a:graphic>
            </wp:anchor>
          </w:drawing>
        </mc:Choice>
        <mc:Fallback>
          <w:pict>
            <v:shape w14:anchorId="1671EF58"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671EF67" w14:textId="58840E04" w:rsidR="00382571" w:rsidRDefault="00787294">
                    <w:r>
                      <w:t>Aan de Voorzitter van de</w:t>
                    </w:r>
                    <w:r>
                      <w:br/>
                      <w:t>Tweede Kamer der Staten-Generaal</w:t>
                    </w:r>
                    <w:r>
                      <w:br/>
                    </w:r>
                    <w:r w:rsidR="00052E54">
                      <w:t>Prinses Irenestraat 6</w:t>
                    </w:r>
                    <w:r>
                      <w:br/>
                      <w:t>Den Haa</w:t>
                    </w:r>
                    <w:r w:rsidR="00052E54">
                      <w:t>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671EF5A" wp14:editId="1671EF5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382571" w14:paraId="1671EF6A" w14:textId="77777777">
                            <w:tc>
                              <w:tcPr>
                                <w:tcW w:w="678" w:type="dxa"/>
                              </w:tcPr>
                              <w:p w14:paraId="1671EF68" w14:textId="77777777" w:rsidR="00382571" w:rsidRDefault="00787294">
                                <w:r>
                                  <w:t>Datum</w:t>
                                </w:r>
                              </w:p>
                            </w:tc>
                            <w:tc>
                              <w:tcPr>
                                <w:tcW w:w="6851" w:type="dxa"/>
                              </w:tcPr>
                              <w:p w14:paraId="1671EF69" w14:textId="57FF5098" w:rsidR="00382571" w:rsidRDefault="00B34D8A">
                                <w:r>
                                  <w:t>22</w:t>
                                </w:r>
                                <w:r w:rsidR="00787294">
                                  <w:t xml:space="preserve"> november 2024</w:t>
                                </w:r>
                              </w:p>
                            </w:tc>
                          </w:tr>
                          <w:tr w:rsidR="00382571" w14:paraId="1671EF6F" w14:textId="77777777">
                            <w:tc>
                              <w:tcPr>
                                <w:tcW w:w="678" w:type="dxa"/>
                              </w:tcPr>
                              <w:p w14:paraId="1671EF6B" w14:textId="77777777" w:rsidR="00382571" w:rsidRDefault="00787294">
                                <w:r>
                                  <w:t>Betreft</w:t>
                                </w:r>
                              </w:p>
                              <w:p w14:paraId="1671EF6C" w14:textId="77777777" w:rsidR="00382571" w:rsidRDefault="00382571"/>
                            </w:tc>
                            <w:tc>
                              <w:tcPr>
                                <w:tcW w:w="6851" w:type="dxa"/>
                              </w:tcPr>
                              <w:p w14:paraId="1671EF6D" w14:textId="5402EF33" w:rsidR="00382571" w:rsidRDefault="00787294">
                                <w:r>
                                  <w:t>Commissiedebat wa</w:t>
                                </w:r>
                                <w:r w:rsidR="007A589A">
                                  <w:t>p</w:t>
                                </w:r>
                                <w:r>
                                  <w:t>enexportbeleid</w:t>
                                </w:r>
                              </w:p>
                              <w:p w14:paraId="1671EF6E" w14:textId="77777777" w:rsidR="00382571" w:rsidRDefault="00382571"/>
                            </w:tc>
                          </w:tr>
                        </w:tbl>
                        <w:p w14:paraId="1671EF70" w14:textId="77777777" w:rsidR="00382571" w:rsidRDefault="00382571"/>
                        <w:p w14:paraId="1671EF71" w14:textId="77777777" w:rsidR="00382571" w:rsidRDefault="00382571"/>
                      </w:txbxContent>
                    </wps:txbx>
                    <wps:bodyPr vert="horz" wrap="square" lIns="0" tIns="0" rIns="0" bIns="0" anchor="t" anchorCtr="0"/>
                  </wps:wsp>
                </a:graphicData>
              </a:graphic>
            </wp:anchor>
          </w:drawing>
        </mc:Choice>
        <mc:Fallback>
          <w:pict>
            <v:shape w14:anchorId="1671EF5A"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382571" w14:paraId="1671EF6A" w14:textId="77777777">
                      <w:tc>
                        <w:tcPr>
                          <w:tcW w:w="678" w:type="dxa"/>
                        </w:tcPr>
                        <w:p w14:paraId="1671EF68" w14:textId="77777777" w:rsidR="00382571" w:rsidRDefault="00787294">
                          <w:r>
                            <w:t>Datum</w:t>
                          </w:r>
                        </w:p>
                      </w:tc>
                      <w:tc>
                        <w:tcPr>
                          <w:tcW w:w="6851" w:type="dxa"/>
                        </w:tcPr>
                        <w:p w14:paraId="1671EF69" w14:textId="57FF5098" w:rsidR="00382571" w:rsidRDefault="00B34D8A">
                          <w:r>
                            <w:t>22</w:t>
                          </w:r>
                          <w:r w:rsidR="00787294">
                            <w:t xml:space="preserve"> november 2024</w:t>
                          </w:r>
                        </w:p>
                      </w:tc>
                    </w:tr>
                    <w:tr w:rsidR="00382571" w14:paraId="1671EF6F" w14:textId="77777777">
                      <w:tc>
                        <w:tcPr>
                          <w:tcW w:w="678" w:type="dxa"/>
                        </w:tcPr>
                        <w:p w14:paraId="1671EF6B" w14:textId="77777777" w:rsidR="00382571" w:rsidRDefault="00787294">
                          <w:r>
                            <w:t>Betreft</w:t>
                          </w:r>
                        </w:p>
                        <w:p w14:paraId="1671EF6C" w14:textId="77777777" w:rsidR="00382571" w:rsidRDefault="00382571"/>
                      </w:tc>
                      <w:tc>
                        <w:tcPr>
                          <w:tcW w:w="6851" w:type="dxa"/>
                        </w:tcPr>
                        <w:p w14:paraId="1671EF6D" w14:textId="5402EF33" w:rsidR="00382571" w:rsidRDefault="00787294">
                          <w:r>
                            <w:t>Commissiedebat wa</w:t>
                          </w:r>
                          <w:r w:rsidR="007A589A">
                            <w:t>p</w:t>
                          </w:r>
                          <w:r>
                            <w:t>enexportbeleid</w:t>
                          </w:r>
                        </w:p>
                        <w:p w14:paraId="1671EF6E" w14:textId="77777777" w:rsidR="00382571" w:rsidRDefault="00382571"/>
                      </w:tc>
                    </w:tr>
                  </w:tbl>
                  <w:p w14:paraId="1671EF70" w14:textId="77777777" w:rsidR="00382571" w:rsidRDefault="00382571"/>
                  <w:p w14:paraId="1671EF71" w14:textId="77777777" w:rsidR="00382571" w:rsidRDefault="00382571"/>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671EF5C" wp14:editId="1671EF5D">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71EF72" w14:textId="77777777" w:rsidR="00382571" w:rsidRDefault="00787294">
                          <w:pPr>
                            <w:pStyle w:val="Referentiegegevensbold"/>
                          </w:pPr>
                          <w:r>
                            <w:t>Ministerie van Buitenlandse Zaken</w:t>
                          </w:r>
                        </w:p>
                        <w:p w14:paraId="1671EF73" w14:textId="77777777" w:rsidR="00382571" w:rsidRDefault="00382571">
                          <w:pPr>
                            <w:pStyle w:val="WitregelW1"/>
                          </w:pPr>
                        </w:p>
                        <w:p w14:paraId="1671EF74" w14:textId="2A0CF6F0" w:rsidR="00382571" w:rsidRPr="00052E54" w:rsidRDefault="00052E54">
                          <w:pPr>
                            <w:pStyle w:val="Referentiegegevens"/>
                          </w:pPr>
                          <w:r w:rsidRPr="00052E54">
                            <w:t>Rijnstraat 8</w:t>
                          </w:r>
                        </w:p>
                        <w:p w14:paraId="57EECFFE" w14:textId="2FE63B8E" w:rsidR="00052E54" w:rsidRPr="00B34D8A" w:rsidRDefault="00052E54" w:rsidP="00052E54">
                          <w:pPr>
                            <w:rPr>
                              <w:sz w:val="13"/>
                              <w:szCs w:val="13"/>
                              <w:lang w:val="de-DE"/>
                            </w:rPr>
                          </w:pPr>
                          <w:r w:rsidRPr="00B34D8A">
                            <w:rPr>
                              <w:sz w:val="13"/>
                              <w:szCs w:val="13"/>
                              <w:lang w:val="de-DE"/>
                            </w:rPr>
                            <w:t>2515XP Den Haag</w:t>
                          </w:r>
                        </w:p>
                        <w:p w14:paraId="1D52CA19" w14:textId="5BDB6466" w:rsidR="00052E54" w:rsidRPr="00B34D8A" w:rsidRDefault="00052E54" w:rsidP="00052E54">
                          <w:pPr>
                            <w:rPr>
                              <w:sz w:val="13"/>
                              <w:szCs w:val="13"/>
                              <w:lang w:val="de-DE"/>
                            </w:rPr>
                          </w:pPr>
                          <w:r w:rsidRPr="00B34D8A">
                            <w:rPr>
                              <w:sz w:val="13"/>
                              <w:szCs w:val="13"/>
                              <w:lang w:val="de-DE"/>
                            </w:rPr>
                            <w:t>Postbus 20061</w:t>
                          </w:r>
                        </w:p>
                        <w:p w14:paraId="568BB539" w14:textId="4433B851" w:rsidR="00052E54" w:rsidRPr="00B34D8A" w:rsidRDefault="00052E54" w:rsidP="00052E54">
                          <w:pPr>
                            <w:rPr>
                              <w:sz w:val="13"/>
                              <w:szCs w:val="13"/>
                              <w:lang w:val="de-DE"/>
                            </w:rPr>
                          </w:pPr>
                          <w:proofErr w:type="spellStart"/>
                          <w:r w:rsidRPr="00B34D8A">
                            <w:rPr>
                              <w:sz w:val="13"/>
                              <w:szCs w:val="13"/>
                              <w:lang w:val="de-DE"/>
                            </w:rPr>
                            <w:t>Nederland</w:t>
                          </w:r>
                          <w:proofErr w:type="spellEnd"/>
                        </w:p>
                        <w:p w14:paraId="1671EF75" w14:textId="77777777" w:rsidR="00382571" w:rsidRPr="00B34D8A" w:rsidRDefault="00787294">
                          <w:pPr>
                            <w:pStyle w:val="Referentiegegevens"/>
                            <w:rPr>
                              <w:lang w:val="de-DE"/>
                            </w:rPr>
                          </w:pPr>
                          <w:r w:rsidRPr="00B34D8A">
                            <w:rPr>
                              <w:lang w:val="de-DE"/>
                            </w:rPr>
                            <w:t>www.minbuza.nl</w:t>
                          </w:r>
                        </w:p>
                        <w:p w14:paraId="1671EF76" w14:textId="77777777" w:rsidR="00382571" w:rsidRPr="00B34D8A" w:rsidRDefault="00382571">
                          <w:pPr>
                            <w:pStyle w:val="WitregelW2"/>
                            <w:rPr>
                              <w:lang w:val="de-DE"/>
                            </w:rPr>
                          </w:pPr>
                        </w:p>
                        <w:p w14:paraId="1671EF77" w14:textId="77777777" w:rsidR="00382571" w:rsidRPr="00B34D8A" w:rsidRDefault="00787294">
                          <w:pPr>
                            <w:pStyle w:val="Referentiegegevensbold"/>
                            <w:rPr>
                              <w:lang w:val="de-DE"/>
                            </w:rPr>
                          </w:pPr>
                          <w:proofErr w:type="spellStart"/>
                          <w:r w:rsidRPr="00B34D8A">
                            <w:rPr>
                              <w:lang w:val="de-DE"/>
                            </w:rPr>
                            <w:t>Onze</w:t>
                          </w:r>
                          <w:proofErr w:type="spellEnd"/>
                          <w:r w:rsidRPr="00B34D8A">
                            <w:rPr>
                              <w:lang w:val="de-DE"/>
                            </w:rPr>
                            <w:t xml:space="preserve"> </w:t>
                          </w:r>
                          <w:proofErr w:type="spellStart"/>
                          <w:r w:rsidRPr="00B34D8A">
                            <w:rPr>
                              <w:lang w:val="de-DE"/>
                            </w:rPr>
                            <w:t>referentie</w:t>
                          </w:r>
                          <w:proofErr w:type="spellEnd"/>
                        </w:p>
                        <w:p w14:paraId="1671EF78" w14:textId="77777777" w:rsidR="00382571" w:rsidRDefault="00787294">
                          <w:pPr>
                            <w:pStyle w:val="Referentiegegevens"/>
                          </w:pPr>
                          <w:r>
                            <w:t>BZ2409454</w:t>
                          </w:r>
                        </w:p>
                        <w:p w14:paraId="1671EF79" w14:textId="77777777" w:rsidR="00382571" w:rsidRDefault="00382571">
                          <w:pPr>
                            <w:pStyle w:val="WitregelW1"/>
                          </w:pPr>
                        </w:p>
                        <w:p w14:paraId="1671EF7A" w14:textId="77777777" w:rsidR="00382571" w:rsidRDefault="00787294">
                          <w:pPr>
                            <w:pStyle w:val="Referentiegegevensbold"/>
                          </w:pPr>
                          <w:r>
                            <w:t>Bijlage(n)</w:t>
                          </w:r>
                        </w:p>
                        <w:p w14:paraId="1671EF7B" w14:textId="77777777" w:rsidR="00382571" w:rsidRDefault="00787294">
                          <w:pPr>
                            <w:pStyle w:val="Referentiegegevens"/>
                          </w:pPr>
                          <w:r>
                            <w:t>-</w:t>
                          </w:r>
                        </w:p>
                      </w:txbxContent>
                    </wps:txbx>
                    <wps:bodyPr vert="horz" wrap="square" lIns="0" tIns="0" rIns="0" bIns="0" anchor="t" anchorCtr="0"/>
                  </wps:wsp>
                </a:graphicData>
              </a:graphic>
            </wp:anchor>
          </w:drawing>
        </mc:Choice>
        <mc:Fallback>
          <w:pict>
            <v:shape w14:anchorId="1671EF5C" id="41b10cd4-80a4-11ea-b356-6230a4311406" o:spid="_x0000_s1032" type="#_x0000_t202" style="position:absolute;margin-left:466.25pt;margin-top:154.75pt;width:100.6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1671EF72" w14:textId="77777777" w:rsidR="00382571" w:rsidRDefault="00787294">
                    <w:pPr>
                      <w:pStyle w:val="Referentiegegevensbold"/>
                    </w:pPr>
                    <w:r>
                      <w:t>Ministerie van Buitenlandse Zaken</w:t>
                    </w:r>
                  </w:p>
                  <w:p w14:paraId="1671EF73" w14:textId="77777777" w:rsidR="00382571" w:rsidRDefault="00382571">
                    <w:pPr>
                      <w:pStyle w:val="WitregelW1"/>
                    </w:pPr>
                  </w:p>
                  <w:p w14:paraId="1671EF74" w14:textId="2A0CF6F0" w:rsidR="00382571" w:rsidRPr="00052E54" w:rsidRDefault="00052E54">
                    <w:pPr>
                      <w:pStyle w:val="Referentiegegevens"/>
                    </w:pPr>
                    <w:r w:rsidRPr="00052E54">
                      <w:t>Rijnstraat 8</w:t>
                    </w:r>
                  </w:p>
                  <w:p w14:paraId="57EECFFE" w14:textId="2FE63B8E" w:rsidR="00052E54" w:rsidRPr="00B34D8A" w:rsidRDefault="00052E54" w:rsidP="00052E54">
                    <w:pPr>
                      <w:rPr>
                        <w:sz w:val="13"/>
                        <w:szCs w:val="13"/>
                        <w:lang w:val="de-DE"/>
                      </w:rPr>
                    </w:pPr>
                    <w:r w:rsidRPr="00B34D8A">
                      <w:rPr>
                        <w:sz w:val="13"/>
                        <w:szCs w:val="13"/>
                        <w:lang w:val="de-DE"/>
                      </w:rPr>
                      <w:t>2515XP Den Haag</w:t>
                    </w:r>
                  </w:p>
                  <w:p w14:paraId="1D52CA19" w14:textId="5BDB6466" w:rsidR="00052E54" w:rsidRPr="00B34D8A" w:rsidRDefault="00052E54" w:rsidP="00052E54">
                    <w:pPr>
                      <w:rPr>
                        <w:sz w:val="13"/>
                        <w:szCs w:val="13"/>
                        <w:lang w:val="de-DE"/>
                      </w:rPr>
                    </w:pPr>
                    <w:r w:rsidRPr="00B34D8A">
                      <w:rPr>
                        <w:sz w:val="13"/>
                        <w:szCs w:val="13"/>
                        <w:lang w:val="de-DE"/>
                      </w:rPr>
                      <w:t>Postbus 20061</w:t>
                    </w:r>
                  </w:p>
                  <w:p w14:paraId="568BB539" w14:textId="4433B851" w:rsidR="00052E54" w:rsidRPr="00B34D8A" w:rsidRDefault="00052E54" w:rsidP="00052E54">
                    <w:pPr>
                      <w:rPr>
                        <w:sz w:val="13"/>
                        <w:szCs w:val="13"/>
                        <w:lang w:val="de-DE"/>
                      </w:rPr>
                    </w:pPr>
                    <w:proofErr w:type="spellStart"/>
                    <w:r w:rsidRPr="00B34D8A">
                      <w:rPr>
                        <w:sz w:val="13"/>
                        <w:szCs w:val="13"/>
                        <w:lang w:val="de-DE"/>
                      </w:rPr>
                      <w:t>Nederland</w:t>
                    </w:r>
                    <w:proofErr w:type="spellEnd"/>
                  </w:p>
                  <w:p w14:paraId="1671EF75" w14:textId="77777777" w:rsidR="00382571" w:rsidRPr="00B34D8A" w:rsidRDefault="00787294">
                    <w:pPr>
                      <w:pStyle w:val="Referentiegegevens"/>
                      <w:rPr>
                        <w:lang w:val="de-DE"/>
                      </w:rPr>
                    </w:pPr>
                    <w:r w:rsidRPr="00B34D8A">
                      <w:rPr>
                        <w:lang w:val="de-DE"/>
                      </w:rPr>
                      <w:t>www.minbuza.nl</w:t>
                    </w:r>
                  </w:p>
                  <w:p w14:paraId="1671EF76" w14:textId="77777777" w:rsidR="00382571" w:rsidRPr="00B34D8A" w:rsidRDefault="00382571">
                    <w:pPr>
                      <w:pStyle w:val="WitregelW2"/>
                      <w:rPr>
                        <w:lang w:val="de-DE"/>
                      </w:rPr>
                    </w:pPr>
                  </w:p>
                  <w:p w14:paraId="1671EF77" w14:textId="77777777" w:rsidR="00382571" w:rsidRPr="00B34D8A" w:rsidRDefault="00787294">
                    <w:pPr>
                      <w:pStyle w:val="Referentiegegevensbold"/>
                      <w:rPr>
                        <w:lang w:val="de-DE"/>
                      </w:rPr>
                    </w:pPr>
                    <w:proofErr w:type="spellStart"/>
                    <w:r w:rsidRPr="00B34D8A">
                      <w:rPr>
                        <w:lang w:val="de-DE"/>
                      </w:rPr>
                      <w:t>Onze</w:t>
                    </w:r>
                    <w:proofErr w:type="spellEnd"/>
                    <w:r w:rsidRPr="00B34D8A">
                      <w:rPr>
                        <w:lang w:val="de-DE"/>
                      </w:rPr>
                      <w:t xml:space="preserve"> </w:t>
                    </w:r>
                    <w:proofErr w:type="spellStart"/>
                    <w:r w:rsidRPr="00B34D8A">
                      <w:rPr>
                        <w:lang w:val="de-DE"/>
                      </w:rPr>
                      <w:t>referentie</w:t>
                    </w:r>
                    <w:proofErr w:type="spellEnd"/>
                  </w:p>
                  <w:p w14:paraId="1671EF78" w14:textId="77777777" w:rsidR="00382571" w:rsidRDefault="00787294">
                    <w:pPr>
                      <w:pStyle w:val="Referentiegegevens"/>
                    </w:pPr>
                    <w:r>
                      <w:t>BZ2409454</w:t>
                    </w:r>
                  </w:p>
                  <w:p w14:paraId="1671EF79" w14:textId="77777777" w:rsidR="00382571" w:rsidRDefault="00382571">
                    <w:pPr>
                      <w:pStyle w:val="WitregelW1"/>
                    </w:pPr>
                  </w:p>
                  <w:p w14:paraId="1671EF7A" w14:textId="77777777" w:rsidR="00382571" w:rsidRDefault="00787294">
                    <w:pPr>
                      <w:pStyle w:val="Referentiegegevensbold"/>
                    </w:pPr>
                    <w:r>
                      <w:t>Bijlage(n)</w:t>
                    </w:r>
                  </w:p>
                  <w:p w14:paraId="1671EF7B" w14:textId="77777777" w:rsidR="00382571" w:rsidRDefault="0078729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71EF60" wp14:editId="29C01DF9">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671EF89" w14:textId="77777777" w:rsidR="00787294" w:rsidRDefault="00787294"/>
                      </w:txbxContent>
                    </wps:txbx>
                    <wps:bodyPr vert="horz" wrap="square" lIns="0" tIns="0" rIns="0" bIns="0" anchor="t" anchorCtr="0"/>
                  </wps:wsp>
                </a:graphicData>
              </a:graphic>
            </wp:anchor>
          </w:drawing>
        </mc:Choice>
        <mc:Fallback>
          <w:pict>
            <v:shape w14:anchorId="1671EF60"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671EF89" w14:textId="77777777" w:rsidR="00787294" w:rsidRDefault="0078729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671EF62" wp14:editId="1671EF6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71EF8B" w14:textId="77777777" w:rsidR="00787294" w:rsidRDefault="00787294"/>
                      </w:txbxContent>
                    </wps:txbx>
                    <wps:bodyPr vert="horz" wrap="square" lIns="0" tIns="0" rIns="0" bIns="0" anchor="t" anchorCtr="0"/>
                  </wps:wsp>
                </a:graphicData>
              </a:graphic>
            </wp:anchor>
          </w:drawing>
        </mc:Choice>
        <mc:Fallback>
          <w:pict>
            <v:shape w14:anchorId="1671EF62"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671EF8B" w14:textId="77777777" w:rsidR="00787294" w:rsidRDefault="0078729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1EF64" wp14:editId="1671EF6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671EF7D" w14:textId="77777777" w:rsidR="00382571" w:rsidRDefault="00787294">
                          <w:pPr>
                            <w:spacing w:line="240" w:lineRule="auto"/>
                          </w:pPr>
                          <w:r>
                            <w:rPr>
                              <w:noProof/>
                            </w:rPr>
                            <w:drawing>
                              <wp:inline distT="0" distB="0" distL="0" distR="0" wp14:anchorId="1671EF83" wp14:editId="1671EF8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71EF64"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671EF7D" w14:textId="77777777" w:rsidR="00382571" w:rsidRDefault="00787294">
                    <w:pPr>
                      <w:spacing w:line="240" w:lineRule="auto"/>
                    </w:pPr>
                    <w:r>
                      <w:rPr>
                        <w:noProof/>
                      </w:rPr>
                      <w:drawing>
                        <wp:inline distT="0" distB="0" distL="0" distR="0" wp14:anchorId="1671EF83" wp14:editId="1671EF84">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2C4CB8"/>
    <w:multiLevelType w:val="multilevel"/>
    <w:tmpl w:val="5F26330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69F13"/>
    <w:multiLevelType w:val="multilevel"/>
    <w:tmpl w:val="DA7A37C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06FBEBC"/>
    <w:multiLevelType w:val="multilevel"/>
    <w:tmpl w:val="6FB52A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042FD0E"/>
    <w:multiLevelType w:val="multilevel"/>
    <w:tmpl w:val="43323C2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B9992F6"/>
    <w:multiLevelType w:val="multilevel"/>
    <w:tmpl w:val="1C1A573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08551443">
    <w:abstractNumId w:val="3"/>
  </w:num>
  <w:num w:numId="2" w16cid:durableId="1040276511">
    <w:abstractNumId w:val="1"/>
  </w:num>
  <w:num w:numId="3" w16cid:durableId="2135171812">
    <w:abstractNumId w:val="2"/>
  </w:num>
  <w:num w:numId="4" w16cid:durableId="694773902">
    <w:abstractNumId w:val="4"/>
  </w:num>
  <w:num w:numId="5" w16cid:durableId="205226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71"/>
    <w:rsid w:val="00052E54"/>
    <w:rsid w:val="00063B3D"/>
    <w:rsid w:val="001B7BF1"/>
    <w:rsid w:val="00382571"/>
    <w:rsid w:val="004A4E8E"/>
    <w:rsid w:val="00787294"/>
    <w:rsid w:val="007A589A"/>
    <w:rsid w:val="00B34D8A"/>
    <w:rsid w:val="00E503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671EF44"/>
  <w15:docId w15:val="{97B91F76-F413-4AA7-95A0-A78CB2A5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A589A"/>
    <w:pPr>
      <w:tabs>
        <w:tab w:val="center" w:pos="4513"/>
        <w:tab w:val="right" w:pos="9026"/>
      </w:tabs>
      <w:spacing w:line="240" w:lineRule="auto"/>
    </w:pPr>
  </w:style>
  <w:style w:type="character" w:customStyle="1" w:styleId="HeaderChar">
    <w:name w:val="Header Char"/>
    <w:basedOn w:val="DefaultParagraphFont"/>
    <w:link w:val="Header"/>
    <w:uiPriority w:val="99"/>
    <w:rsid w:val="007A589A"/>
    <w:rPr>
      <w:rFonts w:ascii="Verdana" w:hAnsi="Verdana"/>
      <w:color w:val="000000"/>
      <w:sz w:val="18"/>
      <w:szCs w:val="18"/>
    </w:rPr>
  </w:style>
  <w:style w:type="paragraph" w:styleId="Footer">
    <w:name w:val="footer"/>
    <w:basedOn w:val="Normal"/>
    <w:link w:val="FooterChar"/>
    <w:uiPriority w:val="99"/>
    <w:unhideWhenUsed/>
    <w:rsid w:val="007A589A"/>
    <w:pPr>
      <w:tabs>
        <w:tab w:val="center" w:pos="4513"/>
        <w:tab w:val="right" w:pos="9026"/>
      </w:tabs>
      <w:spacing w:line="240" w:lineRule="auto"/>
    </w:pPr>
  </w:style>
  <w:style w:type="character" w:customStyle="1" w:styleId="FooterChar">
    <w:name w:val="Footer Char"/>
    <w:basedOn w:val="DefaultParagraphFont"/>
    <w:link w:val="Footer"/>
    <w:uiPriority w:val="99"/>
    <w:rsid w:val="007A589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ap:Words>
  <ap:Characters>303</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Commissiedebat waxenexportbeleid</vt:lpstr>
    </vt:vector>
  </ap:TitlesOfParts>
  <ap:LinksUpToDate>false</ap:LinksUpToDate>
  <ap:CharactersWithSpaces>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2024-11-22T14:41:00.0000000Z</dcterms:created>
  <dcterms:modified xsi:type="dcterms:W3CDTF">2024-11-22T14:41:00.0000000Z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7;#Military and civil cooperation|b8dca804-e27b-465f-bf91-3b704e18e8a2</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92f58428-267c-4b81-8b87-ecb03d8c3bad</vt:lpwstr>
  </property>
  <property fmtid="{D5CDD505-2E9C-101B-9397-08002B2CF9AE}" pid="23" name="_docset_NoMedatataSyncRequired">
    <vt:lpwstr>False</vt:lpwstr>
  </property>
</Properties>
</file>