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0B5D" w:rsidR="00C30B5D" w:rsidP="00C30B5D" w:rsidRDefault="00C30B5D" w14:paraId="70C23999" w14:textId="77777777">
      <w:bookmarkStart w:name="_GoBack" w:id="0"/>
      <w:bookmarkEnd w:id="0"/>
      <w:r w:rsidRPr="00C30B5D">
        <w:t>Geachte voorzitter,</w:t>
      </w:r>
    </w:p>
    <w:p w:rsidRPr="00C30B5D" w:rsidR="00C30B5D" w:rsidP="00C30B5D" w:rsidRDefault="00C30B5D" w14:paraId="66289E5D" w14:textId="77777777"/>
    <w:p w:rsidRPr="00C30B5D" w:rsidR="00C30B5D" w:rsidP="00C30B5D" w:rsidRDefault="00C30B5D" w14:paraId="3F503252" w14:textId="6F1FCA5E">
      <w:r w:rsidRPr="00C30B5D">
        <w:t xml:space="preserve">Hierbij ontvangt u de antwoorden op de vragen </w:t>
      </w:r>
      <w:r w:rsidR="00AE61D8">
        <w:t xml:space="preserve">met kenmerk </w:t>
      </w:r>
      <w:r w:rsidRPr="00AE61D8" w:rsidR="00AE61D8">
        <w:t>2024Z18435</w:t>
      </w:r>
      <w:r w:rsidR="00AE61D8">
        <w:t xml:space="preserve"> </w:t>
      </w:r>
      <w:r w:rsidRPr="00C30B5D">
        <w:t>die gesteld zijn door de leden Olger Van Dijk (Nieuw Sociaal Contract) en Pierik (BBB) over het bericht ‘Rijksadviseur Wouter Veldhuis is om: Lelylijn zonder Duitse connectie wél van belang.’</w:t>
      </w:r>
      <w:r w:rsidRPr="006A3C7C">
        <w:rPr>
          <w:vertAlign w:val="superscript"/>
        </w:rPr>
        <w:footnoteReference w:id="1"/>
      </w:r>
      <w:r w:rsidRPr="006A3C7C" w:rsidR="006A3C7C">
        <w:rPr>
          <w:sz w:val="16"/>
          <w:szCs w:val="16"/>
        </w:rPr>
        <w:t xml:space="preserve"> </w:t>
      </w:r>
      <w:r w:rsidRPr="00C30B5D">
        <w:t xml:space="preserve">over de voortgang van de MIRT-onderzoeken Lelylijn en Nedersaksenlijn. </w:t>
      </w:r>
    </w:p>
    <w:p w:rsidRPr="00C30B5D" w:rsidR="00C30B5D" w:rsidP="00C30B5D" w:rsidRDefault="00C30B5D" w14:paraId="02A75A25" w14:textId="77777777"/>
    <w:p w:rsidRPr="00C30B5D" w:rsidR="00C30B5D" w:rsidP="00C30B5D" w:rsidRDefault="00C30B5D" w14:paraId="6939F58F" w14:textId="77777777">
      <w:r w:rsidRPr="00C30B5D">
        <w:t>Hoogachtend,</w:t>
      </w:r>
    </w:p>
    <w:p w:rsidRPr="00C30B5D" w:rsidR="00C30B5D" w:rsidP="00C30B5D" w:rsidRDefault="00C30B5D" w14:paraId="6F8E7106" w14:textId="77777777">
      <w:r w:rsidRPr="00C30B5D">
        <w:t>DE STAATSSECRETARIS VAN INFRASTRUCTUUR EN WATERSTAAT - OPENBAAR VERVOER EN MILIEU,</w:t>
      </w:r>
    </w:p>
    <w:p w:rsidRPr="00C30B5D" w:rsidR="00C30B5D" w:rsidP="00C30B5D" w:rsidRDefault="00C30B5D" w14:paraId="4692F09C" w14:textId="77777777"/>
    <w:p w:rsidRPr="00C30B5D" w:rsidR="00C30B5D" w:rsidP="00C30B5D" w:rsidRDefault="00C30B5D" w14:paraId="0E256D36" w14:textId="77777777"/>
    <w:p w:rsidRPr="00C30B5D" w:rsidR="00C30B5D" w:rsidP="00C30B5D" w:rsidRDefault="00C30B5D" w14:paraId="4CDB709B" w14:textId="77777777"/>
    <w:p w:rsidRPr="00C30B5D" w:rsidR="00C30B5D" w:rsidP="00C30B5D" w:rsidRDefault="00C30B5D" w14:paraId="197BC8CC" w14:textId="77777777"/>
    <w:p w:rsidRPr="00C30B5D" w:rsidR="00C30B5D" w:rsidP="00C30B5D" w:rsidRDefault="00C30B5D" w14:paraId="3CD2EF75" w14:textId="77777777">
      <w:r w:rsidRPr="00C30B5D">
        <w:t>C.A. Jansen</w:t>
      </w:r>
    </w:p>
    <w:p w:rsidRPr="00C30B5D" w:rsidR="00C30B5D" w:rsidP="00C30B5D" w:rsidRDefault="00C30B5D" w14:paraId="0AC9AAD3" w14:textId="3EE8FEE0">
      <w:r w:rsidRPr="00C30B5D">
        <w:br w:type="page"/>
      </w:r>
    </w:p>
    <w:p w:rsidR="00AE61D8" w:rsidP="00C30B5D" w:rsidRDefault="00AE61D8" w14:paraId="6527DF11" w14:textId="7D5080A4">
      <w:pPr>
        <w:rPr>
          <w:b/>
          <w:bCs/>
        </w:rPr>
      </w:pPr>
      <w:r w:rsidRPr="00AE61D8">
        <w:rPr>
          <w:b/>
          <w:bCs/>
        </w:rPr>
        <w:lastRenderedPageBreak/>
        <w:t>2024Z18435</w:t>
      </w:r>
    </w:p>
    <w:p w:rsidR="00AE61D8" w:rsidP="00C30B5D" w:rsidRDefault="00E82A93" w14:paraId="78A30EA0" w14:textId="087A5A12">
      <w:r>
        <w:t xml:space="preserve">Antwoorden op vragen van de leden Olger van Dijk (Nieuw Sociaal Contract) en Pierik (BBB) aan de Staatssecretaris van Infrastructuur en Waterstaat over het bericht </w:t>
      </w:r>
      <w:r w:rsidR="0017057D">
        <w:t>“</w:t>
      </w:r>
      <w:r>
        <w:t>Rijksadviseur Wouter Veldhuis is om: Lelylijn zonder Duitse connectie wél van belang.</w:t>
      </w:r>
      <w:r w:rsidR="00895FE1">
        <w:t>”</w:t>
      </w:r>
      <w:r>
        <w:t xml:space="preserve"> (ingezonden 14 november 2024).</w:t>
      </w:r>
    </w:p>
    <w:p w:rsidR="00E82A93" w:rsidP="00C30B5D" w:rsidRDefault="00E82A93" w14:paraId="54610A3F" w14:textId="77777777">
      <w:pPr>
        <w:rPr>
          <w:b/>
          <w:bCs/>
        </w:rPr>
      </w:pPr>
    </w:p>
    <w:p w:rsidRPr="00C30B5D" w:rsidR="00C30B5D" w:rsidP="00C30B5D" w:rsidRDefault="00C30B5D" w14:paraId="75299B2A" w14:textId="45A57C6C">
      <w:pPr>
        <w:rPr>
          <w:b/>
          <w:bCs/>
        </w:rPr>
      </w:pPr>
      <w:r w:rsidRPr="00C30B5D">
        <w:rPr>
          <w:b/>
          <w:bCs/>
        </w:rPr>
        <w:t>Vraag 1</w:t>
      </w:r>
    </w:p>
    <w:p w:rsidR="00C30B5D" w:rsidP="00C30B5D" w:rsidRDefault="00C30B5D" w14:paraId="658FF405" w14:textId="66C66631">
      <w:pPr>
        <w:rPr>
          <w:vertAlign w:val="superscript"/>
        </w:rPr>
      </w:pPr>
      <w:r w:rsidRPr="00C30B5D">
        <w:t>Heeft u kennisgenomen van het bericht van 11 november 2024 jl. getiteld ‘Rijksadviseur Wouter Veldhuis is om: Lelylijn zonder Duitse connectie wél van belang. Maar Nedersaksenlijn helemaal belangrijk’</w:t>
      </w:r>
      <w:r>
        <w:t>?</w:t>
      </w:r>
      <w:r>
        <w:rPr>
          <w:vertAlign w:val="superscript"/>
        </w:rPr>
        <w:t>1</w:t>
      </w:r>
    </w:p>
    <w:p w:rsidR="00C30B5D" w:rsidP="00C30B5D" w:rsidRDefault="00C30B5D" w14:paraId="28DBED49" w14:textId="77777777">
      <w:pPr>
        <w:rPr>
          <w:vertAlign w:val="superscript"/>
        </w:rPr>
      </w:pPr>
    </w:p>
    <w:p w:rsidR="00C30B5D" w:rsidP="00C30B5D" w:rsidRDefault="00C30B5D" w14:paraId="3E6CE899" w14:textId="191EE33D">
      <w:pPr>
        <w:rPr>
          <w:b/>
          <w:bCs/>
        </w:rPr>
      </w:pPr>
      <w:r w:rsidRPr="00C30B5D">
        <w:rPr>
          <w:b/>
          <w:bCs/>
        </w:rPr>
        <w:t>Antwoord 1</w:t>
      </w:r>
    </w:p>
    <w:p w:rsidRPr="00C30B5D" w:rsidR="00C30B5D" w:rsidP="00C30B5D" w:rsidRDefault="00C30B5D" w14:paraId="751A959F" w14:textId="2C57D93D">
      <w:r>
        <w:t>Ja</w:t>
      </w:r>
      <w:r w:rsidR="006A3C7C">
        <w:t>.</w:t>
      </w:r>
    </w:p>
    <w:p w:rsidRPr="00C30B5D" w:rsidR="00C30B5D" w:rsidP="00C30B5D" w:rsidRDefault="00C30B5D" w14:paraId="08B0E536" w14:textId="77777777">
      <w:pPr>
        <w:rPr>
          <w:b/>
          <w:bCs/>
          <w:vertAlign w:val="superscript"/>
        </w:rPr>
      </w:pPr>
    </w:p>
    <w:p w:rsidRPr="00C30B5D" w:rsidR="00C30B5D" w:rsidP="00C30B5D" w:rsidRDefault="00C30B5D" w14:paraId="506FA279" w14:textId="097E48C4">
      <w:pPr>
        <w:rPr>
          <w:b/>
          <w:bCs/>
        </w:rPr>
      </w:pPr>
      <w:r w:rsidRPr="00C30B5D">
        <w:rPr>
          <w:b/>
          <w:bCs/>
        </w:rPr>
        <w:t>Vraag 2</w:t>
      </w:r>
    </w:p>
    <w:p w:rsidR="00C30B5D" w:rsidP="00C30B5D" w:rsidRDefault="00C30B5D" w14:paraId="5E916225" w14:textId="77777777">
      <w:r w:rsidRPr="00C30B5D">
        <w:t>Bent u het eens dat een stap gezet dient te worden met de Nedersaksenlijn en de Lelylijn?</w:t>
      </w:r>
    </w:p>
    <w:p w:rsidR="00C30B5D" w:rsidP="00C30B5D" w:rsidRDefault="00C30B5D" w14:paraId="165977EC" w14:textId="77777777"/>
    <w:p w:rsidR="00C30B5D" w:rsidP="00C30B5D" w:rsidRDefault="00C30B5D" w14:paraId="7FBD4A33" w14:textId="23228C6F">
      <w:pPr>
        <w:rPr>
          <w:b/>
          <w:bCs/>
        </w:rPr>
      </w:pPr>
      <w:r w:rsidRPr="00C30B5D">
        <w:rPr>
          <w:b/>
          <w:bCs/>
        </w:rPr>
        <w:t>Antwoord 2</w:t>
      </w:r>
    </w:p>
    <w:p w:rsidRPr="00C30B5D" w:rsidR="00C30B5D" w:rsidP="00C30B5D" w:rsidRDefault="00C30B5D" w14:paraId="3D404E43" w14:textId="3A08B324">
      <w:r>
        <w:t>Ja</w:t>
      </w:r>
      <w:r w:rsidR="00193950">
        <w:t>, d</w:t>
      </w:r>
      <w:r>
        <w:t>aarom heeft dit kabinet de</w:t>
      </w:r>
      <w:r w:rsidR="0054352C">
        <w:t>ze prioritaire</w:t>
      </w:r>
      <w:r>
        <w:t xml:space="preserve"> lijnen ook opgenomen in het </w:t>
      </w:r>
      <w:r w:rsidR="00E23841">
        <w:t>h</w:t>
      </w:r>
      <w:r w:rsidR="006A3C7C">
        <w:t xml:space="preserve">oofdlijnenakkoord en het </w:t>
      </w:r>
      <w:r w:rsidR="00E23841">
        <w:t>r</w:t>
      </w:r>
      <w:r>
        <w:t xml:space="preserve">egeerprogramma. </w:t>
      </w:r>
    </w:p>
    <w:p w:rsidRPr="00C30B5D" w:rsidR="00C30B5D" w:rsidP="00C30B5D" w:rsidRDefault="00C30B5D" w14:paraId="1E0586EC" w14:textId="77777777">
      <w:pPr>
        <w:rPr>
          <w:b/>
          <w:bCs/>
        </w:rPr>
      </w:pPr>
    </w:p>
    <w:p w:rsidRPr="00C30B5D" w:rsidR="00C30B5D" w:rsidP="00C30B5D" w:rsidRDefault="00C30B5D" w14:paraId="401B77DB" w14:textId="66792083">
      <w:pPr>
        <w:rPr>
          <w:b/>
          <w:bCs/>
        </w:rPr>
      </w:pPr>
      <w:r w:rsidRPr="00C30B5D">
        <w:rPr>
          <w:b/>
          <w:bCs/>
        </w:rPr>
        <w:t>Vraag 3</w:t>
      </w:r>
    </w:p>
    <w:p w:rsidR="00C30B5D" w:rsidP="00C30B5D" w:rsidRDefault="00C30B5D" w14:paraId="0A6F08BA" w14:textId="77777777">
      <w:r w:rsidRPr="00C30B5D">
        <w:t>Hoe waardeert u het ‘Masterplan’ voor het Noorden van Rijksadviseur Wouter Veldhuis om een jaar lang vervolgonderzoek te doen naar de Lelylijn en dit te verankeren in de Nota Ruimte 2025?</w:t>
      </w:r>
    </w:p>
    <w:p w:rsidR="00C30B5D" w:rsidP="00C30B5D" w:rsidRDefault="00C30B5D" w14:paraId="0C86BE60" w14:textId="77777777"/>
    <w:p w:rsidR="00C30B5D" w:rsidP="00C30B5D" w:rsidRDefault="00C30B5D" w14:paraId="3D44643C" w14:textId="40AE6FCD">
      <w:pPr>
        <w:rPr>
          <w:b/>
          <w:bCs/>
        </w:rPr>
      </w:pPr>
      <w:r w:rsidRPr="00C30B5D">
        <w:rPr>
          <w:b/>
          <w:bCs/>
        </w:rPr>
        <w:t>Antwoord 3</w:t>
      </w:r>
    </w:p>
    <w:p w:rsidRPr="0054352C" w:rsidR="0054352C" w:rsidP="00C30B5D" w:rsidRDefault="0054352C" w14:paraId="74B435A3" w14:textId="61AD4DC6">
      <w:r>
        <w:t xml:space="preserve">Het kabinet deelt de observatie dat de Lelylijn een grote impact heeft op het ruimtegebruik in Noordelijk Nederland en dat dit een sturende werking </w:t>
      </w:r>
      <w:r w:rsidR="00001A09">
        <w:t xml:space="preserve">kan </w:t>
      </w:r>
      <w:r>
        <w:t xml:space="preserve">hebben. Het kabinet deelt daarom ook de noodzaak om voor de Lelylijn door te denken wat de mogelijke ruimtelijke opgaven na 2050 zijn. Zoals ook in het NOVEX-ontwikkelperspectief wordt geschetst is alleen de aanleg van de Lelylijn niet voldoende om de meeste winst te behalen voor Noordelijk Nederland. Het College van Rijksadviseurs roept op om de opgave en oplossingsrichtingen nog verder te verbreden en naar een langere tijdshorizon te kijken voordat overgaan wordt tot </w:t>
      </w:r>
      <w:r w:rsidR="009D22D6">
        <w:t>trechteren</w:t>
      </w:r>
      <w:r w:rsidR="00BC1D75">
        <w:rPr>
          <w:rStyle w:val="FootnoteReference"/>
        </w:rPr>
        <w:footnoteReference w:id="2"/>
      </w:r>
      <w:r>
        <w:t>.</w:t>
      </w:r>
      <w:r w:rsidR="002D4480">
        <w:t xml:space="preserve"> </w:t>
      </w:r>
      <w:r w:rsidR="002B5DDE">
        <w:t>Vanuit het kabinet wordt ook deze oproep gedeeld om breder te kijken. Dit vraagt ook tijd om het op een goede manier te doen. De uitwerking van de Nota Ruimte komt waarschijnlijk te vroeg om het ruimtebeslag op een goede manier uit te werken.</w:t>
      </w:r>
    </w:p>
    <w:p w:rsidRPr="00C30B5D" w:rsidR="00C30B5D" w:rsidP="00C30B5D" w:rsidRDefault="00C30B5D" w14:paraId="51E0327C" w14:textId="77777777">
      <w:pPr>
        <w:rPr>
          <w:b/>
          <w:bCs/>
        </w:rPr>
      </w:pPr>
    </w:p>
    <w:p w:rsidRPr="00C30B5D" w:rsidR="00C30B5D" w:rsidP="00C30B5D" w:rsidRDefault="00C30B5D" w14:paraId="0A6C0433" w14:textId="0D405065">
      <w:pPr>
        <w:rPr>
          <w:b/>
          <w:bCs/>
        </w:rPr>
      </w:pPr>
      <w:r w:rsidRPr="00C30B5D">
        <w:rPr>
          <w:b/>
          <w:bCs/>
        </w:rPr>
        <w:t>Vraag 4</w:t>
      </w:r>
    </w:p>
    <w:p w:rsidRPr="00C30B5D" w:rsidR="00C30B5D" w:rsidP="00C30B5D" w:rsidRDefault="00C30B5D" w14:paraId="60AE6E88" w14:textId="77777777">
      <w:r w:rsidRPr="00C30B5D">
        <w:t>Hoe geeft u uitvoering aan de motie Pierik/Olger van Dijk (Kamerstuk 36600-XII, nr. 42) om te bezien wat nodig is om de MIRT-verkenning van de Nedersaksenlijn te starten?</w:t>
      </w:r>
    </w:p>
    <w:p w:rsidR="00C30B5D" w:rsidP="00C30B5D" w:rsidRDefault="00C30B5D" w14:paraId="3F20A8A2" w14:textId="77777777"/>
    <w:p w:rsidR="00C30B5D" w:rsidP="00C30B5D" w:rsidRDefault="00C30B5D" w14:paraId="7E1E6AD5" w14:textId="5EBFAC14">
      <w:pPr>
        <w:rPr>
          <w:b/>
          <w:bCs/>
        </w:rPr>
      </w:pPr>
      <w:r w:rsidRPr="00C30B5D">
        <w:rPr>
          <w:b/>
          <w:bCs/>
        </w:rPr>
        <w:t>Antwoord 4</w:t>
      </w:r>
    </w:p>
    <w:p w:rsidR="002D4480" w:rsidP="002D4480" w:rsidRDefault="002D4480" w14:paraId="63472FAB" w14:textId="056741CF">
      <w:r>
        <w:t>Binnen het kabinet en met de regio wordt gesproken over verschillende vervolgstappen. De MIRT-spelregels</w:t>
      </w:r>
      <w:r>
        <w:rPr>
          <w:rStyle w:val="FootnoteReference"/>
        </w:rPr>
        <w:footnoteReference w:id="3"/>
      </w:r>
      <w:r>
        <w:t xml:space="preserve"> schrijven voor dat om de stap te kunnen zetten naar de verkenningsfase er een gedragen beeld over de opgave en oplossingsrichtingen moet zijn. Daarnaast dient bij de start van de MIRT-verkenning zicht te zijn op ten minste 75% financiering van de meest voor de hand liggende oplossing van de opgave. Hierbij worden naast de initiële investeringskosten ook de verandering in de beheer- en onderhoudskosten meegenomen. Dit betekent dat bij start van de verkenning zicht moet zijn op in totaal ca. €1,3 miljard. Er ontbreekt nog zicht op dit bedrag voor de aanlegkosten en de dekking van de structurele beheer- en onderhoudskosten</w:t>
      </w:r>
      <w:r w:rsidR="006A3C7C">
        <w:t>,</w:t>
      </w:r>
      <w:r w:rsidR="00001A09">
        <w:t xml:space="preserve"> </w:t>
      </w:r>
      <w:r w:rsidR="00F41DCF">
        <w:t>die</w:t>
      </w:r>
      <w:r w:rsidR="00001A09">
        <w:t xml:space="preserve"> geschat worden op structureel ca. €25 mln</w:t>
      </w:r>
      <w:r>
        <w:t xml:space="preserve">. </w:t>
      </w:r>
      <w:r w:rsidR="00481459">
        <w:t xml:space="preserve">per jaar. </w:t>
      </w:r>
    </w:p>
    <w:p w:rsidRPr="00C30B5D" w:rsidR="00C30B5D" w:rsidP="00C30B5D" w:rsidRDefault="00C30B5D" w14:paraId="045D602A" w14:textId="77777777">
      <w:pPr>
        <w:rPr>
          <w:b/>
          <w:bCs/>
        </w:rPr>
      </w:pPr>
    </w:p>
    <w:p w:rsidRPr="00C30B5D" w:rsidR="00C30B5D" w:rsidP="00C30B5D" w:rsidRDefault="00C30B5D" w14:paraId="422CCA5D" w14:textId="455E418F">
      <w:pPr>
        <w:rPr>
          <w:b/>
          <w:bCs/>
        </w:rPr>
      </w:pPr>
      <w:r w:rsidRPr="00C30B5D">
        <w:rPr>
          <w:b/>
          <w:bCs/>
        </w:rPr>
        <w:t>Vraag 5</w:t>
      </w:r>
    </w:p>
    <w:p w:rsidRPr="00C30B5D" w:rsidR="00C30B5D" w:rsidP="00C30B5D" w:rsidRDefault="00C30B5D" w14:paraId="1ED342A2" w14:textId="62F22265">
      <w:r w:rsidRPr="00C30B5D">
        <w:t>Hoe gaat u uitvoering geven aan de afspraak in het hoofdlijnenakkoord om te bezien wat er nodig is om de aanleg van de Lelylijn voort te zetten?</w:t>
      </w:r>
    </w:p>
    <w:p w:rsidR="00C30B5D" w:rsidP="00C30B5D" w:rsidRDefault="00C30B5D" w14:paraId="19018CBD" w14:textId="77777777"/>
    <w:p w:rsidRPr="00C30B5D" w:rsidR="00C30B5D" w:rsidP="00C30B5D" w:rsidRDefault="00C30B5D" w14:paraId="4CA670E9" w14:textId="56E02464">
      <w:pPr>
        <w:rPr>
          <w:b/>
          <w:bCs/>
        </w:rPr>
      </w:pPr>
      <w:r w:rsidRPr="00C30B5D">
        <w:rPr>
          <w:b/>
          <w:bCs/>
        </w:rPr>
        <w:t>Antwoord 5</w:t>
      </w:r>
    </w:p>
    <w:p w:rsidRPr="007C7599" w:rsidR="00C30B5D" w:rsidP="00C30B5D" w:rsidRDefault="00371D22" w14:paraId="30F2961A" w14:textId="4566A254">
      <w:r>
        <w:t>Over de uitvoering van de afspraak uit het hoofdlijnenakkoord</w:t>
      </w:r>
      <w:r w:rsidR="007C7599">
        <w:t xml:space="preserve"> wordt nu het gesprek gevoerd. Er zijn verschillende mogelijkheden tot een vervolg denkbaar, waarbij de regio inzet op de start van een MIRT-verkenning. Hiervoor is echter nog geen zicht op de benodigde financiering.</w:t>
      </w:r>
      <w:r w:rsidR="00BC1D75">
        <w:t xml:space="preserve"> Er moet </w:t>
      </w:r>
      <w:r w:rsidR="006A3C7C">
        <w:t xml:space="preserve">zicht </w:t>
      </w:r>
      <w:r w:rsidR="00BC1D75">
        <w:t xml:space="preserve">zijn op in totaal ca. € 7 miljard aanvullend aanlegbudget en de dekking van de structurele beheer- en onderhoudskosten die geschat worden op structureel minimaal €200 mln. </w:t>
      </w:r>
      <w:r w:rsidR="00CF5CFE">
        <w:t xml:space="preserve">per jaar. </w:t>
      </w:r>
      <w:r w:rsidR="007C7599">
        <w:t>Er zijn ook nog andere vervolgstappen denkbaar, zoals bijvoorbeeld het College van Rijksadviseurs voorstelt. Uiterlijk bij voorjaarsnota (april 2025) zal door het kabinet het definitieve besluit over de vervolgstappen voor de Lelylijn worden genomen.</w:t>
      </w:r>
    </w:p>
    <w:p w:rsidRPr="00C30B5D" w:rsidR="00C30B5D" w:rsidP="00C30B5D" w:rsidRDefault="00C30B5D" w14:paraId="251C476C" w14:textId="77777777">
      <w:pPr>
        <w:rPr>
          <w:b/>
          <w:bCs/>
        </w:rPr>
      </w:pPr>
    </w:p>
    <w:p w:rsidRPr="00C30B5D" w:rsidR="00C30B5D" w:rsidP="00C30B5D" w:rsidRDefault="00C30B5D" w14:paraId="3BD3A526" w14:textId="7803E750">
      <w:pPr>
        <w:rPr>
          <w:b/>
          <w:bCs/>
        </w:rPr>
      </w:pPr>
      <w:r w:rsidRPr="00C30B5D">
        <w:rPr>
          <w:b/>
          <w:bCs/>
        </w:rPr>
        <w:t>Vraag 6</w:t>
      </w:r>
    </w:p>
    <w:p w:rsidRPr="00C30B5D" w:rsidR="00C30B5D" w:rsidP="00C30B5D" w:rsidRDefault="00C30B5D" w14:paraId="29AFF18F" w14:textId="48ECB474">
      <w:r w:rsidRPr="00C30B5D">
        <w:t>Welke financieringsmogelijkheden heeft de staatssecretaris concreet onderzocht om te voldoen aan de 75% financiering van de Lelylijn en de Nedersaksenlijn?</w:t>
      </w:r>
    </w:p>
    <w:p w:rsidR="00C30B5D" w:rsidP="00C30B5D" w:rsidRDefault="00C30B5D" w14:paraId="1CDBBB52" w14:textId="77777777"/>
    <w:p w:rsidR="00C30B5D" w:rsidP="00C30B5D" w:rsidRDefault="00C30B5D" w14:paraId="0FA6DA5E" w14:textId="05193263">
      <w:pPr>
        <w:rPr>
          <w:b/>
          <w:bCs/>
        </w:rPr>
      </w:pPr>
      <w:r w:rsidRPr="00C30B5D">
        <w:rPr>
          <w:b/>
          <w:bCs/>
        </w:rPr>
        <w:t>Antwoord 6</w:t>
      </w:r>
    </w:p>
    <w:p w:rsidRPr="007C7599" w:rsidR="007C7599" w:rsidP="00C30B5D" w:rsidRDefault="00F41DCF" w14:paraId="6F772EDE" w14:textId="69440D1B">
      <w:r>
        <w:t xml:space="preserve">Er zijn opties denkbaar met reguliere financiering, zoals reguliere financiering door het Rijk </w:t>
      </w:r>
      <w:r w:rsidR="00A90E0B">
        <w:t xml:space="preserve">generiek of </w:t>
      </w:r>
      <w:r>
        <w:t>uit het Mobiliteitsfonds of cofinanciering vanuit Regio of andere partijen. Daarnaast is gekeken naar een nieuwe vorm van publiek-private samenwerking,</w:t>
      </w:r>
      <w:r w:rsidR="00251E01">
        <w:t xml:space="preserve"> een vorm van leningen (green bonds/obligaties of leningen door ProRail) en naar mogelijkheden voor een gebiedsontwikkelfonds. </w:t>
      </w:r>
    </w:p>
    <w:p w:rsidRPr="00C30B5D" w:rsidR="00C30B5D" w:rsidP="00C30B5D" w:rsidRDefault="00C30B5D" w14:paraId="7368E4BF" w14:textId="77777777">
      <w:pPr>
        <w:rPr>
          <w:b/>
          <w:bCs/>
        </w:rPr>
      </w:pPr>
    </w:p>
    <w:p w:rsidRPr="00C30B5D" w:rsidR="00C30B5D" w:rsidP="00C30B5D" w:rsidRDefault="00C30B5D" w14:paraId="4DC53978" w14:textId="5259E624">
      <w:pPr>
        <w:rPr>
          <w:b/>
          <w:bCs/>
        </w:rPr>
      </w:pPr>
      <w:r w:rsidRPr="00C30B5D">
        <w:rPr>
          <w:b/>
          <w:bCs/>
        </w:rPr>
        <w:t>Vraag 7</w:t>
      </w:r>
    </w:p>
    <w:p w:rsidR="00C30B5D" w:rsidP="00C30B5D" w:rsidRDefault="00C30B5D" w14:paraId="5DD2B0F9" w14:textId="12802E88">
      <w:r w:rsidRPr="00C30B5D">
        <w:t>Kunt u alle onderzochte nationale financieringsmogelijkheden zowel binnen als buiten de I&amp;W begroting benoemen (zoals bijvoorbeeld economische structuurversterking uit Nij Begun), en ook de Europese financieringsmogelijkheden (zoals bijvoorbeeld Green Bonds, en overige EU</w:t>
      </w:r>
      <w:r w:rsidR="006A3C7C">
        <w:t>-f</w:t>
      </w:r>
      <w:r w:rsidRPr="00C30B5D">
        <w:t>ondsen) uiteenzetten in een tabel?</w:t>
      </w:r>
    </w:p>
    <w:p w:rsidR="00C30B5D" w:rsidP="00C30B5D" w:rsidRDefault="00C30B5D" w14:paraId="4903328D" w14:textId="77777777"/>
    <w:p w:rsidR="00C30B5D" w:rsidP="00C30B5D" w:rsidRDefault="00C30B5D" w14:paraId="7CF0A12F" w14:textId="0DEF9E89">
      <w:pPr>
        <w:rPr>
          <w:b/>
          <w:bCs/>
        </w:rPr>
      </w:pPr>
      <w:r w:rsidRPr="00C30B5D">
        <w:rPr>
          <w:b/>
          <w:bCs/>
        </w:rPr>
        <w:t>Antwoord 7</w:t>
      </w:r>
    </w:p>
    <w:tbl>
      <w:tblPr>
        <w:tblStyle w:val="TableGrid"/>
        <w:tblW w:w="7650" w:type="dxa"/>
        <w:tblLook w:val="04A0" w:firstRow="1" w:lastRow="0" w:firstColumn="1" w:lastColumn="0" w:noHBand="0" w:noVBand="1"/>
      </w:tblPr>
      <w:tblGrid>
        <w:gridCol w:w="2060"/>
        <w:gridCol w:w="5590"/>
      </w:tblGrid>
      <w:tr w:rsidR="002B5DDE" w:rsidTr="003B7DC2" w14:paraId="7A53D710" w14:textId="77777777">
        <w:trPr>
          <w:trHeight w:val="300"/>
        </w:trPr>
        <w:tc>
          <w:tcPr>
            <w:tcW w:w="2060" w:type="dxa"/>
            <w:hideMark/>
          </w:tcPr>
          <w:p w:rsidRPr="002B5DDE" w:rsidR="002B5DDE" w:rsidRDefault="002B5DDE" w14:paraId="3DC2745B" w14:textId="1122B1DD">
            <w:pPr>
              <w:rPr>
                <w:b/>
                <w:bCs/>
                <w:color w:val="auto"/>
                <w:sz w:val="22"/>
                <w:szCs w:val="22"/>
              </w:rPr>
            </w:pPr>
            <w:r w:rsidRPr="002B5DDE">
              <w:rPr>
                <w:b/>
                <w:bCs/>
                <w:color w:val="auto"/>
              </w:rPr>
              <w:t>Bekeken financierings</w:t>
            </w:r>
            <w:r w:rsidR="003B7DC2">
              <w:rPr>
                <w:b/>
                <w:bCs/>
                <w:color w:val="auto"/>
              </w:rPr>
              <w:t>-</w:t>
            </w:r>
            <w:r w:rsidRPr="002B5DDE">
              <w:rPr>
                <w:b/>
                <w:bCs/>
                <w:color w:val="auto"/>
              </w:rPr>
              <w:t>mogelijkheid</w:t>
            </w:r>
          </w:p>
        </w:tc>
        <w:tc>
          <w:tcPr>
            <w:tcW w:w="5590" w:type="dxa"/>
            <w:hideMark/>
          </w:tcPr>
          <w:p w:rsidRPr="003B7DC2" w:rsidR="002B5DDE" w:rsidRDefault="002B5DDE" w14:paraId="67F698E1" w14:textId="77777777">
            <w:pPr>
              <w:rPr>
                <w:b/>
                <w:bCs/>
                <w:color w:val="auto"/>
              </w:rPr>
            </w:pPr>
            <w:r w:rsidRPr="003B7DC2">
              <w:rPr>
                <w:b/>
                <w:bCs/>
                <w:color w:val="auto"/>
              </w:rPr>
              <w:t>Belangrijkste observatie</w:t>
            </w:r>
          </w:p>
        </w:tc>
      </w:tr>
      <w:tr w:rsidR="002B5DDE" w:rsidTr="003B7DC2" w14:paraId="15F5EFCF" w14:textId="77777777">
        <w:trPr>
          <w:trHeight w:val="1200"/>
        </w:trPr>
        <w:tc>
          <w:tcPr>
            <w:tcW w:w="2060" w:type="dxa"/>
            <w:hideMark/>
          </w:tcPr>
          <w:p w:rsidRPr="003B7DC2" w:rsidR="002B5DDE" w:rsidP="002B5DDE" w:rsidRDefault="002B5DDE" w14:paraId="7D6E6D28" w14:textId="2AC28668">
            <w:pPr>
              <w:rPr>
                <w:color w:val="auto"/>
                <w:sz w:val="16"/>
                <w:szCs w:val="16"/>
              </w:rPr>
            </w:pPr>
            <w:r w:rsidRPr="003B7DC2">
              <w:rPr>
                <w:color w:val="auto"/>
                <w:sz w:val="16"/>
                <w:szCs w:val="16"/>
              </w:rPr>
              <w:t>Generieke financiering door het Rijk</w:t>
            </w:r>
            <w:r w:rsidRPr="003B7DC2" w:rsidR="003B7DC2">
              <w:rPr>
                <w:color w:val="auto"/>
                <w:sz w:val="16"/>
                <w:szCs w:val="16"/>
              </w:rPr>
              <w:t xml:space="preserve"> buiten de IenW-begroting om</w:t>
            </w:r>
          </w:p>
        </w:tc>
        <w:tc>
          <w:tcPr>
            <w:tcW w:w="5590" w:type="dxa"/>
            <w:hideMark/>
          </w:tcPr>
          <w:p w:rsidRPr="003B7DC2" w:rsidR="002B5DDE" w:rsidP="002B5DDE" w:rsidRDefault="002B5DDE" w14:paraId="105E8A8D" w14:textId="77777777">
            <w:pPr>
              <w:rPr>
                <w:color w:val="auto"/>
                <w:sz w:val="16"/>
                <w:szCs w:val="16"/>
              </w:rPr>
            </w:pPr>
            <w:r w:rsidRPr="003B7DC2">
              <w:rPr>
                <w:color w:val="auto"/>
                <w:sz w:val="16"/>
                <w:szCs w:val="16"/>
              </w:rPr>
              <w:t>In het Hoofdlijnenakkoord is geen aanvullende bijdrage vrijgemaakt voor deze lijnen. De beschikbare middelen zijn reeds belegd in andere lopende en geplande programma’s. Dit betekent dat extra financiering vanuit de rijksbegroting op korte termijn niet beschikbaar is, tenzij herallocatie van middelen plaatsvindt.</w:t>
            </w:r>
          </w:p>
        </w:tc>
      </w:tr>
      <w:tr w:rsidR="002B5DDE" w:rsidTr="003B7DC2" w14:paraId="3CD66163" w14:textId="77777777">
        <w:trPr>
          <w:trHeight w:val="261"/>
        </w:trPr>
        <w:tc>
          <w:tcPr>
            <w:tcW w:w="2060" w:type="dxa"/>
            <w:hideMark/>
          </w:tcPr>
          <w:p w:rsidRPr="003B7DC2" w:rsidR="002B5DDE" w:rsidP="002B5DDE" w:rsidRDefault="002B5DDE" w14:paraId="1A7755E4" w14:textId="21205FE2">
            <w:pPr>
              <w:rPr>
                <w:color w:val="auto"/>
                <w:sz w:val="16"/>
                <w:szCs w:val="16"/>
              </w:rPr>
            </w:pPr>
            <w:r w:rsidRPr="003B7DC2">
              <w:rPr>
                <w:color w:val="auto"/>
                <w:sz w:val="16"/>
                <w:szCs w:val="16"/>
              </w:rPr>
              <w:t>Bekostiging uit het Mobiliteitsfonds</w:t>
            </w:r>
          </w:p>
        </w:tc>
        <w:tc>
          <w:tcPr>
            <w:tcW w:w="5590" w:type="dxa"/>
            <w:hideMark/>
          </w:tcPr>
          <w:p w:rsidRPr="003B7DC2" w:rsidR="002B5DDE" w:rsidP="002B5DDE" w:rsidRDefault="002B5DDE" w14:paraId="6F26C166" w14:textId="1C938847">
            <w:pPr>
              <w:rPr>
                <w:color w:val="auto"/>
                <w:sz w:val="16"/>
                <w:szCs w:val="16"/>
              </w:rPr>
            </w:pPr>
            <w:r w:rsidRPr="003B7DC2">
              <w:rPr>
                <w:color w:val="auto"/>
                <w:sz w:val="16"/>
                <w:szCs w:val="16"/>
              </w:rPr>
              <w:t>Extrapolatie van het Mobiliteitsfonds biedt een mogelijkheid voor financiering op de langere termijn, maar dit gaat ten</w:t>
            </w:r>
            <w:r w:rsidRPr="003B7DC2" w:rsidR="003B7DC2">
              <w:rPr>
                <w:color w:val="auto"/>
                <w:sz w:val="16"/>
                <w:szCs w:val="16"/>
              </w:rPr>
              <w:t xml:space="preserve"> </w:t>
            </w:r>
            <w:r w:rsidRPr="003B7DC2">
              <w:rPr>
                <w:color w:val="auto"/>
                <w:sz w:val="16"/>
                <w:szCs w:val="16"/>
              </w:rPr>
              <w:t xml:space="preserve">koste van de ruimte voor andere investeringen en beheer en onderhoud van projecten binnen het weg-, spoorweg- en vaarwegennetwerk. </w:t>
            </w:r>
            <w:r w:rsidRPr="003B7DC2" w:rsidR="003B7DC2">
              <w:rPr>
                <w:color w:val="auto"/>
                <w:sz w:val="16"/>
                <w:szCs w:val="16"/>
              </w:rPr>
              <w:t>Mobiliteitsfonds staat in toenemende mate onder druk. Zoals recent in de MIRT-brief is vermeld</w:t>
            </w:r>
            <w:r w:rsidR="008C271F">
              <w:rPr>
                <w:color w:val="auto"/>
                <w:sz w:val="16"/>
                <w:szCs w:val="16"/>
              </w:rPr>
              <w:t>,</w:t>
            </w:r>
            <w:r w:rsidRPr="003B7DC2" w:rsidR="003B7DC2">
              <w:rPr>
                <w:color w:val="auto"/>
                <w:sz w:val="16"/>
                <w:szCs w:val="16"/>
              </w:rPr>
              <w:t xml:space="preserve"> resteert momenteel circa € 1,1 mld. aan extrapolatieruimte 2038</w:t>
            </w:r>
            <w:r w:rsidR="006A3C7C">
              <w:rPr>
                <w:color w:val="auto"/>
                <w:sz w:val="16"/>
                <w:szCs w:val="16"/>
              </w:rPr>
              <w:t xml:space="preserve">, </w:t>
            </w:r>
            <w:r w:rsidRPr="003B7DC2" w:rsidR="003B7DC2">
              <w:rPr>
                <w:color w:val="auto"/>
                <w:sz w:val="16"/>
                <w:szCs w:val="16"/>
              </w:rPr>
              <w:t>waar meerdere risico’s, tegenvallers en ambities tegenover staan.</w:t>
            </w:r>
          </w:p>
        </w:tc>
      </w:tr>
      <w:tr w:rsidR="002B5DDE" w:rsidTr="003B7DC2" w14:paraId="0E1AA1FE" w14:textId="77777777">
        <w:trPr>
          <w:trHeight w:val="1200"/>
        </w:trPr>
        <w:tc>
          <w:tcPr>
            <w:tcW w:w="2060" w:type="dxa"/>
            <w:hideMark/>
          </w:tcPr>
          <w:p w:rsidRPr="003B7DC2" w:rsidR="002B5DDE" w:rsidP="006802A0" w:rsidRDefault="002B5DDE" w14:paraId="095DF2F4" w14:textId="77777777">
            <w:pPr>
              <w:rPr>
                <w:color w:val="auto"/>
                <w:sz w:val="16"/>
                <w:szCs w:val="16"/>
              </w:rPr>
            </w:pPr>
            <w:r w:rsidRPr="003B7DC2">
              <w:rPr>
                <w:color w:val="auto"/>
                <w:sz w:val="16"/>
                <w:szCs w:val="16"/>
              </w:rPr>
              <w:t xml:space="preserve">Reguliere cofinanciering door regio of andere partijen. </w:t>
            </w:r>
          </w:p>
        </w:tc>
        <w:tc>
          <w:tcPr>
            <w:tcW w:w="5590" w:type="dxa"/>
            <w:hideMark/>
          </w:tcPr>
          <w:p w:rsidRPr="003B7DC2" w:rsidR="002B5DDE" w:rsidP="006802A0" w:rsidRDefault="002B5DDE" w14:paraId="743E1E3B" w14:textId="717DE7C2">
            <w:pPr>
              <w:rPr>
                <w:color w:val="auto"/>
                <w:sz w:val="16"/>
                <w:szCs w:val="16"/>
              </w:rPr>
            </w:pPr>
            <w:r w:rsidRPr="003B7DC2">
              <w:rPr>
                <w:color w:val="auto"/>
                <w:sz w:val="16"/>
                <w:szCs w:val="16"/>
              </w:rPr>
              <w:t>Er is op dit moment geen concrete bijdrage vanuit de regio</w:t>
            </w:r>
            <w:r w:rsidR="00A57708">
              <w:rPr>
                <w:color w:val="auto"/>
                <w:sz w:val="16"/>
                <w:szCs w:val="16"/>
              </w:rPr>
              <w:t>’</w:t>
            </w:r>
            <w:r w:rsidRPr="003B7DC2">
              <w:rPr>
                <w:color w:val="auto"/>
                <w:sz w:val="16"/>
                <w:szCs w:val="16"/>
              </w:rPr>
              <w:t>s</w:t>
            </w:r>
            <w:r w:rsidRPr="003B7DC2" w:rsidR="003B7DC2">
              <w:rPr>
                <w:color w:val="auto"/>
                <w:sz w:val="16"/>
                <w:szCs w:val="16"/>
              </w:rPr>
              <w:t xml:space="preserve"> </w:t>
            </w:r>
            <w:r w:rsidR="006A3C7C">
              <w:rPr>
                <w:color w:val="auto"/>
                <w:sz w:val="16"/>
                <w:szCs w:val="16"/>
              </w:rPr>
              <w:t>toegezegd</w:t>
            </w:r>
            <w:r w:rsidR="00A57708">
              <w:rPr>
                <w:color w:val="auto"/>
                <w:sz w:val="16"/>
                <w:szCs w:val="16"/>
              </w:rPr>
              <w:t xml:space="preserve"> voor de aanleg van de lijnen, wel is €15 miljoen voor de studiekosten toegezegd</w:t>
            </w:r>
            <w:r w:rsidRPr="003B7DC2">
              <w:rPr>
                <w:color w:val="auto"/>
                <w:sz w:val="16"/>
                <w:szCs w:val="16"/>
              </w:rPr>
              <w:t xml:space="preserve">. Vanuit het ministerie worden gesprekken gevoerd met de regio's, </w:t>
            </w:r>
            <w:r w:rsidRPr="003B7DC2" w:rsidR="003B7DC2">
              <w:rPr>
                <w:color w:val="auto"/>
                <w:sz w:val="16"/>
                <w:szCs w:val="16"/>
              </w:rPr>
              <w:t>maar</w:t>
            </w:r>
            <w:r w:rsidRPr="003B7DC2">
              <w:rPr>
                <w:color w:val="auto"/>
                <w:sz w:val="16"/>
                <w:szCs w:val="16"/>
              </w:rPr>
              <w:t xml:space="preserve"> er </w:t>
            </w:r>
            <w:r w:rsidRPr="003B7DC2" w:rsidR="003B7DC2">
              <w:rPr>
                <w:color w:val="auto"/>
                <w:sz w:val="16"/>
                <w:szCs w:val="16"/>
              </w:rPr>
              <w:t xml:space="preserve">is </w:t>
            </w:r>
            <w:r w:rsidRPr="003B7DC2">
              <w:rPr>
                <w:color w:val="auto"/>
                <w:sz w:val="16"/>
                <w:szCs w:val="16"/>
              </w:rPr>
              <w:t>geen zicht op enige vorm van cofinanciering of het benutten van regionale ontwikkelingsprogramma</w:t>
            </w:r>
            <w:r w:rsidR="00A57708">
              <w:rPr>
                <w:color w:val="auto"/>
                <w:sz w:val="16"/>
                <w:szCs w:val="16"/>
              </w:rPr>
              <w:t>’</w:t>
            </w:r>
            <w:r w:rsidRPr="003B7DC2">
              <w:rPr>
                <w:color w:val="auto"/>
                <w:sz w:val="16"/>
                <w:szCs w:val="16"/>
              </w:rPr>
              <w:t>s</w:t>
            </w:r>
            <w:r w:rsidR="00A57708">
              <w:rPr>
                <w:color w:val="auto"/>
                <w:sz w:val="16"/>
                <w:szCs w:val="16"/>
              </w:rPr>
              <w:t xml:space="preserve"> voor de aanleg</w:t>
            </w:r>
            <w:r w:rsidRPr="003B7DC2">
              <w:rPr>
                <w:color w:val="auto"/>
                <w:sz w:val="16"/>
                <w:szCs w:val="16"/>
              </w:rPr>
              <w:t>.</w:t>
            </w:r>
          </w:p>
        </w:tc>
      </w:tr>
      <w:tr w:rsidR="002B5DDE" w:rsidTr="003B7DC2" w14:paraId="6CD3417D" w14:textId="77777777">
        <w:trPr>
          <w:trHeight w:val="1800"/>
        </w:trPr>
        <w:tc>
          <w:tcPr>
            <w:tcW w:w="2060" w:type="dxa"/>
            <w:hideMark/>
          </w:tcPr>
          <w:p w:rsidRPr="003B7DC2" w:rsidR="002B5DDE" w:rsidRDefault="002B5DDE" w14:paraId="0762EC35" w14:textId="77777777">
            <w:pPr>
              <w:rPr>
                <w:color w:val="auto"/>
                <w:sz w:val="16"/>
                <w:szCs w:val="16"/>
              </w:rPr>
            </w:pPr>
            <w:r w:rsidRPr="003B7DC2">
              <w:rPr>
                <w:color w:val="auto"/>
                <w:sz w:val="16"/>
                <w:szCs w:val="16"/>
              </w:rPr>
              <w:t>Publiek-private samenwerking (DBFM(O))</w:t>
            </w:r>
          </w:p>
        </w:tc>
        <w:tc>
          <w:tcPr>
            <w:tcW w:w="5590" w:type="dxa"/>
            <w:hideMark/>
          </w:tcPr>
          <w:p w:rsidRPr="003B7DC2" w:rsidR="002B5DDE" w:rsidRDefault="003B7DC2" w14:paraId="790C6D8A" w14:textId="127D6FB3">
            <w:pPr>
              <w:rPr>
                <w:color w:val="auto"/>
                <w:sz w:val="16"/>
                <w:szCs w:val="16"/>
              </w:rPr>
            </w:pPr>
            <w:r w:rsidRPr="003B7DC2">
              <w:rPr>
                <w:color w:val="auto"/>
                <w:sz w:val="16"/>
                <w:szCs w:val="16"/>
              </w:rPr>
              <w:t>Nieuwe vormen van Publiek Private Samenwerking die gebruik maken van private financiering zouden een bijdrage kunnen leveren aan de (voor)financiering van de projecten. De afgelopen periode zijn geen DBFM-opdrachten meer gegund omdat deze voor marktpartijen niet interessant zijn vanwege de omvang, complexiteit en de risico's en de Anti-Tax Avoidance Directive (ATAD), die een financieel voordeel heeft weggenomen. Daarnaast geldt dat private financiering vaak duurder is dan publieke financiering, omdat de financieringskosten van de overheid zeer laag zijn (staatsobligaties). Daarbij komt dat de exploitatiekosten van de lijnen (inclusief onderhoud, rente en aflossing) groter zijn dan de exploitatieopbrengsten. Dit verschil komt aanvullend ten laste van de rijksbegroting en ook hiervoor is geen dekking voorzien</w:t>
            </w:r>
          </w:p>
        </w:tc>
      </w:tr>
      <w:tr w:rsidR="002B5DDE" w:rsidTr="003B7DC2" w14:paraId="46F3AA4D" w14:textId="77777777">
        <w:trPr>
          <w:trHeight w:val="2100"/>
        </w:trPr>
        <w:tc>
          <w:tcPr>
            <w:tcW w:w="2060" w:type="dxa"/>
            <w:hideMark/>
          </w:tcPr>
          <w:p w:rsidRPr="003B7DC2" w:rsidR="002B5DDE" w:rsidRDefault="002B5DDE" w14:paraId="7F844A13" w14:textId="77777777">
            <w:pPr>
              <w:rPr>
                <w:color w:val="auto"/>
                <w:sz w:val="16"/>
                <w:szCs w:val="16"/>
              </w:rPr>
            </w:pPr>
            <w:r w:rsidRPr="003B7DC2">
              <w:rPr>
                <w:color w:val="auto"/>
                <w:sz w:val="16"/>
                <w:szCs w:val="16"/>
              </w:rPr>
              <w:t>Bijdragen uit Europese Fondsen</w:t>
            </w:r>
          </w:p>
        </w:tc>
        <w:tc>
          <w:tcPr>
            <w:tcW w:w="5590" w:type="dxa"/>
            <w:hideMark/>
          </w:tcPr>
          <w:p w:rsidRPr="003B7DC2" w:rsidR="002B5DDE" w:rsidRDefault="003B7DC2" w14:paraId="111AA9E0" w14:textId="0A76C2D4">
            <w:pPr>
              <w:rPr>
                <w:color w:val="auto"/>
                <w:sz w:val="16"/>
                <w:szCs w:val="16"/>
              </w:rPr>
            </w:pPr>
            <w:r w:rsidRPr="003B7DC2">
              <w:rPr>
                <w:color w:val="auto"/>
                <w:sz w:val="16"/>
                <w:szCs w:val="16"/>
              </w:rPr>
              <w:t>Europese fondsen, zoals de structuurfondsen of specifieke programma’s gericht op infrastructuur en duurzaamheid, kunnen een aanvulling vormen, maar deze kunnen pas in een later stadium van het project worden aangevraagd. De onzekerheid over de toewijzing maakt het niet mogelijk om deze middelen nu al als directe financiering te beschouwen. Voorts moeten Europese fondsen vooral als aanvullende bron van financiering worden gezien, die kan bijdragen aan de totale financieringsmix, maar niet als primaire dekking. Ook hier geldt dat de exploitatiekosten van de lijnen (inclusief onderhoud, rente en aflossing) groter zijn dan de exploitatieopbrengsten. Dit verschil komt aanvullend ten laste van de rijksbegroting en ook hiervoor is geen dekking voorzien.</w:t>
            </w:r>
          </w:p>
        </w:tc>
      </w:tr>
      <w:tr w:rsidR="002B5DDE" w:rsidTr="003B7DC2" w14:paraId="6019BE13" w14:textId="77777777">
        <w:trPr>
          <w:trHeight w:val="1200"/>
        </w:trPr>
        <w:tc>
          <w:tcPr>
            <w:tcW w:w="2060" w:type="dxa"/>
            <w:hideMark/>
          </w:tcPr>
          <w:p w:rsidRPr="003B7DC2" w:rsidR="002B5DDE" w:rsidRDefault="002B5DDE" w14:paraId="0CD92118" w14:textId="77777777">
            <w:pPr>
              <w:rPr>
                <w:color w:val="auto"/>
                <w:sz w:val="16"/>
                <w:szCs w:val="16"/>
              </w:rPr>
            </w:pPr>
            <w:r w:rsidRPr="003B7DC2">
              <w:rPr>
                <w:color w:val="auto"/>
                <w:sz w:val="16"/>
                <w:szCs w:val="16"/>
              </w:rPr>
              <w:t>Green Bonds/Staatsobligaties</w:t>
            </w:r>
          </w:p>
        </w:tc>
        <w:tc>
          <w:tcPr>
            <w:tcW w:w="5590" w:type="dxa"/>
            <w:hideMark/>
          </w:tcPr>
          <w:p w:rsidRPr="003B7DC2" w:rsidR="002B5DDE" w:rsidRDefault="003B7DC2" w14:paraId="00D75663" w14:textId="014EACE4">
            <w:pPr>
              <w:rPr>
                <w:color w:val="auto"/>
                <w:sz w:val="16"/>
                <w:szCs w:val="16"/>
              </w:rPr>
            </w:pPr>
            <w:r w:rsidRPr="003B7DC2">
              <w:rPr>
                <w:color w:val="auto"/>
                <w:sz w:val="16"/>
                <w:szCs w:val="16"/>
              </w:rPr>
              <w:t>Green Bonds kunnen een optie zijn voor de (voor)financiering van projecten. Er zal echter nog steeds sprake zijn van een rentevergoeding. Ook hier geldt dat de exploitatiekosten van de lijnen (inclusief onderhoud, rente en aflossing) groter zijn dan de exploitatieopbrengsten. Dit verschil komt aanvullend ten laste van de rijksbegroting en ook hiervoor is geen dekking voorzien.</w:t>
            </w:r>
          </w:p>
        </w:tc>
      </w:tr>
      <w:tr w:rsidR="002B5DDE" w:rsidTr="00A57708" w14:paraId="6E160BAC" w14:textId="77777777">
        <w:trPr>
          <w:trHeight w:val="70"/>
        </w:trPr>
        <w:tc>
          <w:tcPr>
            <w:tcW w:w="2060" w:type="dxa"/>
            <w:hideMark/>
          </w:tcPr>
          <w:p w:rsidRPr="003B7DC2" w:rsidR="002B5DDE" w:rsidRDefault="002B5DDE" w14:paraId="569DBBE3" w14:textId="77777777">
            <w:pPr>
              <w:rPr>
                <w:color w:val="auto"/>
                <w:sz w:val="16"/>
                <w:szCs w:val="16"/>
              </w:rPr>
            </w:pPr>
            <w:r w:rsidRPr="003B7DC2">
              <w:rPr>
                <w:color w:val="auto"/>
                <w:sz w:val="16"/>
                <w:szCs w:val="16"/>
              </w:rPr>
              <w:t>Corporate lening door ProRail</w:t>
            </w:r>
          </w:p>
        </w:tc>
        <w:tc>
          <w:tcPr>
            <w:tcW w:w="5590" w:type="dxa"/>
            <w:hideMark/>
          </w:tcPr>
          <w:p w:rsidRPr="003B7DC2" w:rsidR="002B5DDE" w:rsidRDefault="002B5DDE" w14:paraId="7C3DE8B9" w14:textId="01B2589B">
            <w:pPr>
              <w:rPr>
                <w:color w:val="auto"/>
                <w:sz w:val="16"/>
                <w:szCs w:val="16"/>
              </w:rPr>
            </w:pPr>
            <w:r w:rsidRPr="003B7DC2">
              <w:rPr>
                <w:color w:val="auto"/>
                <w:sz w:val="16"/>
                <w:szCs w:val="16"/>
              </w:rPr>
              <w:t>Een lening door ProRail kan tijdelijke liquiditeit bieden, maar het komt uiteindelijk ook ten laste van de rijksbegroting, aangezien de exploitatiekosten van de lijn hoger zijn dan de opbrengsten. Dit type lening kan een optie zijn voor kortetermijnfinanciering, maar zoals bij andere leningen moeten de rente en aflossing van de lening in overweging worden genomen.</w:t>
            </w:r>
            <w:r w:rsidRPr="003B7DC2" w:rsidR="003B7DC2">
              <w:rPr>
                <w:color w:val="auto"/>
                <w:sz w:val="16"/>
                <w:szCs w:val="16"/>
              </w:rPr>
              <w:t xml:space="preserve"> Het verwachte rentepercentage is hoger dan bij een green bond. </w:t>
            </w:r>
          </w:p>
        </w:tc>
      </w:tr>
      <w:tr w:rsidR="002B5DDE" w:rsidTr="003B7DC2" w14:paraId="071A164E" w14:textId="77777777">
        <w:trPr>
          <w:trHeight w:val="70"/>
        </w:trPr>
        <w:tc>
          <w:tcPr>
            <w:tcW w:w="2060" w:type="dxa"/>
            <w:hideMark/>
          </w:tcPr>
          <w:p w:rsidRPr="003B7DC2" w:rsidR="002B5DDE" w:rsidRDefault="002B5DDE" w14:paraId="5ECAB919" w14:textId="77777777">
            <w:pPr>
              <w:rPr>
                <w:color w:val="auto"/>
                <w:sz w:val="16"/>
                <w:szCs w:val="16"/>
              </w:rPr>
            </w:pPr>
            <w:r w:rsidRPr="003B7DC2">
              <w:rPr>
                <w:color w:val="auto"/>
                <w:sz w:val="16"/>
                <w:szCs w:val="16"/>
              </w:rPr>
              <w:t>Gebiedsontwikkelfonds</w:t>
            </w:r>
          </w:p>
        </w:tc>
        <w:tc>
          <w:tcPr>
            <w:tcW w:w="5590" w:type="dxa"/>
            <w:hideMark/>
          </w:tcPr>
          <w:p w:rsidRPr="003B7DC2" w:rsidR="003B7DC2" w:rsidP="003B7DC2" w:rsidRDefault="003B7DC2" w14:paraId="40C5C02D" w14:textId="77777777">
            <w:pPr>
              <w:rPr>
                <w:color w:val="auto"/>
                <w:sz w:val="16"/>
                <w:szCs w:val="16"/>
              </w:rPr>
            </w:pPr>
            <w:r w:rsidRPr="003B7DC2">
              <w:rPr>
                <w:color w:val="auto"/>
                <w:sz w:val="16"/>
                <w:szCs w:val="16"/>
              </w:rPr>
              <w:t>Een Gebiedsontwikkelfonds kan een potentieel bron van financiering zijn voor projecten die gericht zijn op ruimtelijke ontwikkeling. Het vereist echter tijd om een dergelijk fonds op te zetten en de projecten goed uit te werken en te integreren in de plannen. De opbrengsten uit gebiedsontwikkeling zijn onzeker en moeilijk in te schatten. Door naast gebiedsontwikkeling ook andere verdiencapaciteit toe te voegen aan het fonds, wordt de mogelijkheid voor (voor)financiering groter. Ook hier geldt dat de exploitatiekosten van de lijnen (inclusief onderhoud, rente en aflossing) groter zijn dan de exploitatieopbrengsten. Dit verschil komt aanvullend ten laste van de rijksbegroting en ook hiervoor is geen dekking voorzien.</w:t>
            </w:r>
          </w:p>
          <w:p w:rsidRPr="003B7DC2" w:rsidR="002B5DDE" w:rsidRDefault="002B5DDE" w14:paraId="222BD86A" w14:textId="14AA8CA2">
            <w:pPr>
              <w:rPr>
                <w:color w:val="auto"/>
                <w:sz w:val="16"/>
                <w:szCs w:val="16"/>
              </w:rPr>
            </w:pPr>
          </w:p>
        </w:tc>
      </w:tr>
      <w:tr w:rsidR="00A90E0B" w:rsidTr="003B7DC2" w14:paraId="339C0F9E" w14:textId="77777777">
        <w:tc>
          <w:tcPr>
            <w:tcW w:w="2060" w:type="dxa"/>
          </w:tcPr>
          <w:p w:rsidRPr="003B7DC2" w:rsidR="00A90E0B" w:rsidP="00A90E0B" w:rsidRDefault="00A90E0B" w14:paraId="522DEC10" w14:textId="0103A29C">
            <w:pPr>
              <w:rPr>
                <w:color w:val="auto"/>
                <w:sz w:val="16"/>
                <w:szCs w:val="16"/>
              </w:rPr>
            </w:pPr>
            <w:r w:rsidRPr="003B7DC2">
              <w:rPr>
                <w:color w:val="auto"/>
                <w:sz w:val="16"/>
                <w:szCs w:val="16"/>
              </w:rPr>
              <w:t>Een mix van bovenstaande mogelijkheden</w:t>
            </w:r>
          </w:p>
        </w:tc>
        <w:tc>
          <w:tcPr>
            <w:tcW w:w="5590" w:type="dxa"/>
          </w:tcPr>
          <w:p w:rsidRPr="003B7DC2" w:rsidR="00A90E0B" w:rsidDel="00251E01" w:rsidP="00A90E0B" w:rsidRDefault="00A90E0B" w14:paraId="46C5F6DB" w14:textId="5F928B5C">
            <w:pPr>
              <w:rPr>
                <w:color w:val="auto"/>
                <w:sz w:val="16"/>
                <w:szCs w:val="16"/>
              </w:rPr>
            </w:pPr>
            <w:r w:rsidRPr="003B7DC2">
              <w:rPr>
                <w:color w:val="auto"/>
                <w:sz w:val="16"/>
                <w:szCs w:val="16"/>
              </w:rPr>
              <w:t>Dit moet nog nader uitgezocht worden.</w:t>
            </w:r>
          </w:p>
        </w:tc>
      </w:tr>
    </w:tbl>
    <w:p w:rsidR="00C30B5D" w:rsidP="00C30B5D" w:rsidRDefault="00C30B5D" w14:paraId="1FB3BF90" w14:textId="2DA8C7B8"/>
    <w:p w:rsidR="00BD4EC1" w:rsidP="00C30B5D" w:rsidRDefault="00BD4EC1" w14:paraId="2F2C831D" w14:textId="0BAB485D">
      <w:r>
        <w:t xml:space="preserve">Er zal altijd een verplichting vanuit het Rijk aangegaan moeten worden om </w:t>
      </w:r>
      <w:r w:rsidR="00244E5D">
        <w:t>het benodigde</w:t>
      </w:r>
      <w:r>
        <w:t xml:space="preserve"> bedrag te dekken. Uit de MIRT-onderzoeken blijkt dat de exploitatiekosten hoger zijn dan de exploitatieopbrengsten</w:t>
      </w:r>
      <w:r w:rsidR="001E28C6">
        <w:t>.</w:t>
      </w:r>
      <w:r>
        <w:t xml:space="preserve"> </w:t>
      </w:r>
      <w:r w:rsidR="001E28C6">
        <w:t>J</w:t>
      </w:r>
      <w:r>
        <w:t>aarlijks zal er dan ook een bijdrage voor beheer, onderhoud en vervanging nodig zijn voor deze lijnen. Daarbij speelt dat bij externe financieringsmogelijkheden ook altijd een vorm van rente verschuldigd is, waardoor de totale kosten oplopen. Deze aspecten moeten nader uitgewerkt worden</w:t>
      </w:r>
      <w:r w:rsidR="003B7DC2">
        <w:t>; het onderzoek naar de financieringsopties loopt daarmee nog</w:t>
      </w:r>
      <w:r>
        <w:t xml:space="preserve">.  </w:t>
      </w:r>
    </w:p>
    <w:p w:rsidR="00251E01" w:rsidP="00C30B5D" w:rsidRDefault="00251E01" w14:paraId="1861B9E7" w14:textId="77777777"/>
    <w:p w:rsidRPr="00C30B5D" w:rsidR="00C30B5D" w:rsidP="00C30B5D" w:rsidRDefault="00C30B5D" w14:paraId="263B99D5" w14:textId="6D653AAD">
      <w:pPr>
        <w:rPr>
          <w:b/>
          <w:bCs/>
        </w:rPr>
      </w:pPr>
      <w:r w:rsidRPr="00C30B5D">
        <w:rPr>
          <w:b/>
          <w:bCs/>
        </w:rPr>
        <w:t>Vraag 8</w:t>
      </w:r>
    </w:p>
    <w:p w:rsidRPr="00C30B5D" w:rsidR="00C30B5D" w:rsidP="00C30B5D" w:rsidRDefault="00C30B5D" w14:paraId="76DC18DF" w14:textId="77777777">
      <w:r w:rsidRPr="00C30B5D">
        <w:t>Bent u bereid alles op alles te zetten om zo snel mogelijk, uiterlijk bij voorjaarsnota, extra financiering te vinden voor de Nedersaksenlijn en de Lelylijn?</w:t>
      </w:r>
    </w:p>
    <w:p w:rsidR="00C30B5D" w:rsidP="00C30B5D" w:rsidRDefault="00C30B5D" w14:paraId="20CAFFA7" w14:textId="77777777"/>
    <w:p w:rsidR="00C30B5D" w:rsidP="00C30B5D" w:rsidRDefault="00C30B5D" w14:paraId="742716A6" w14:textId="6BF6E176">
      <w:pPr>
        <w:rPr>
          <w:b/>
          <w:bCs/>
        </w:rPr>
      </w:pPr>
      <w:r w:rsidRPr="00C30B5D">
        <w:rPr>
          <w:b/>
          <w:bCs/>
        </w:rPr>
        <w:t>Antwoord 8</w:t>
      </w:r>
    </w:p>
    <w:p w:rsidRPr="007C7599" w:rsidR="007C7599" w:rsidP="00C30B5D" w:rsidRDefault="007C7599" w14:paraId="0B049F43" w14:textId="236026F1">
      <w:r>
        <w:t>Zoals aangegeven in de antwoorden op de vragen 6 en 7 wordt er gekeken naar mogelijkheden voor financiering. Tegelijkertijd moet het kabinet ook realistisch zijn. Er is</w:t>
      </w:r>
      <w:r w:rsidR="00A90E0B">
        <w:t>, los van de kosten voor beheer, onderhoud, vervanging en exploitatie,</w:t>
      </w:r>
      <w:r>
        <w:t xml:space="preserve"> aanvullend </w:t>
      </w:r>
      <w:r w:rsidR="00BD4EC1">
        <w:t>circa</w:t>
      </w:r>
      <w:r>
        <w:t xml:space="preserve"> € </w:t>
      </w:r>
      <w:r w:rsidR="00BD4EC1">
        <w:t>7</w:t>
      </w:r>
      <w:r>
        <w:t xml:space="preserve"> miljard nodig om zicht te hebben op de benodigde minimale 75% financiering die het MIRT voorschrijft voor</w:t>
      </w:r>
      <w:r w:rsidR="00BD4EC1">
        <w:t xml:space="preserve"> de Lelylijn en </w:t>
      </w:r>
      <w:r w:rsidR="00A90E0B">
        <w:t xml:space="preserve">circa </w:t>
      </w:r>
      <w:r w:rsidR="00BD4EC1">
        <w:t>€</w:t>
      </w:r>
      <w:r w:rsidR="00A90E0B">
        <w:t xml:space="preserve"> </w:t>
      </w:r>
      <w:r w:rsidR="00BD4EC1">
        <w:t>1,3 miljard voor de Nedersaksenlijn</w:t>
      </w:r>
      <w:r>
        <w:t>. Dat is een enorm bedrag</w:t>
      </w:r>
      <w:r w:rsidR="00BD4EC1">
        <w:t xml:space="preserve">. Ook </w:t>
      </w:r>
      <w:r>
        <w:t>gezien de huidige financiële situatie van het Mobiliteitsfonds</w:t>
      </w:r>
      <w:r w:rsidR="00625DDA">
        <w:t xml:space="preserve"> en Rijksbegroting</w:t>
      </w:r>
      <w:r>
        <w:t xml:space="preserve">. </w:t>
      </w:r>
    </w:p>
    <w:p w:rsidR="00C30B5D" w:rsidP="00C30B5D" w:rsidRDefault="00C30B5D" w14:paraId="69653441" w14:textId="77777777"/>
    <w:p w:rsidRPr="00C30B5D" w:rsidR="00C30B5D" w:rsidP="00C30B5D" w:rsidRDefault="00C30B5D" w14:paraId="1445B866" w14:textId="1888BFD9">
      <w:pPr>
        <w:rPr>
          <w:b/>
          <w:bCs/>
        </w:rPr>
      </w:pPr>
      <w:r w:rsidRPr="00C30B5D">
        <w:rPr>
          <w:b/>
          <w:bCs/>
        </w:rPr>
        <w:t>Vraag 9</w:t>
      </w:r>
    </w:p>
    <w:p w:rsidRPr="00C30B5D" w:rsidR="00C30B5D" w:rsidP="00C30B5D" w:rsidRDefault="00C30B5D" w14:paraId="74B309BC" w14:textId="26BE78A5">
      <w:r w:rsidRPr="00C30B5D">
        <w:t>Zou u ieder van deze vragen afzonderlijk kunnen beantwoorden voor het notaoverleg MIRT op 25 november 2024?</w:t>
      </w:r>
      <w:r w:rsidRPr="00C30B5D">
        <w:br/>
      </w:r>
    </w:p>
    <w:p w:rsidRPr="00C30B5D" w:rsidR="00345F81" w:rsidP="00C30B5D" w:rsidRDefault="00C30B5D" w14:paraId="0B86B4F7" w14:textId="08697130">
      <w:pPr>
        <w:rPr>
          <w:b/>
          <w:bCs/>
        </w:rPr>
      </w:pPr>
      <w:r w:rsidRPr="00C30B5D">
        <w:rPr>
          <w:b/>
          <w:bCs/>
        </w:rPr>
        <w:t>Antwoord 9</w:t>
      </w:r>
    </w:p>
    <w:p w:rsidRPr="00C30B5D" w:rsidR="00C30B5D" w:rsidP="00C30B5D" w:rsidRDefault="00C2234C" w14:paraId="28BD4111" w14:textId="1FFF5D82">
      <w:r>
        <w:t>Ja.</w:t>
      </w:r>
    </w:p>
    <w:sectPr w:rsidRPr="00C30B5D" w:rsidR="00C30B5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407CA" w14:textId="77777777" w:rsidR="00844D12" w:rsidRDefault="00844D12">
      <w:pPr>
        <w:spacing w:line="240" w:lineRule="auto"/>
      </w:pPr>
      <w:r>
        <w:separator/>
      </w:r>
    </w:p>
  </w:endnote>
  <w:endnote w:type="continuationSeparator" w:id="0">
    <w:p w14:paraId="64D241B9" w14:textId="77777777" w:rsidR="00844D12" w:rsidRDefault="00844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EE6DA" w14:textId="77777777" w:rsidR="00342815" w:rsidRDefault="00342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9E26" w14:textId="77777777" w:rsidR="00345F81" w:rsidRDefault="00345F8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D0338" w14:textId="77777777" w:rsidR="00345F81" w:rsidRDefault="00345F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F0F3E" w14:textId="77777777" w:rsidR="00844D12" w:rsidRDefault="00844D12">
      <w:pPr>
        <w:spacing w:line="240" w:lineRule="auto"/>
      </w:pPr>
      <w:r>
        <w:separator/>
      </w:r>
    </w:p>
  </w:footnote>
  <w:footnote w:type="continuationSeparator" w:id="0">
    <w:p w14:paraId="0E0DA0CE" w14:textId="77777777" w:rsidR="00844D12" w:rsidRDefault="00844D12">
      <w:pPr>
        <w:spacing w:line="240" w:lineRule="auto"/>
      </w:pPr>
      <w:r>
        <w:continuationSeparator/>
      </w:r>
    </w:p>
  </w:footnote>
  <w:footnote w:id="1">
    <w:p w14:paraId="0EDE76B8" w14:textId="77777777" w:rsidR="00C30B5D" w:rsidRPr="00C30B5D" w:rsidRDefault="00C30B5D" w:rsidP="00C30B5D">
      <w:pPr>
        <w:spacing w:after="240"/>
        <w:rPr>
          <w:sz w:val="16"/>
          <w:szCs w:val="16"/>
        </w:rPr>
      </w:pPr>
      <w:r w:rsidRPr="00C30B5D">
        <w:rPr>
          <w:rStyle w:val="FootnoteReference"/>
          <w:sz w:val="16"/>
          <w:szCs w:val="16"/>
        </w:rPr>
        <w:footnoteRef/>
      </w:r>
      <w:r w:rsidRPr="00C30B5D">
        <w:rPr>
          <w:sz w:val="16"/>
          <w:szCs w:val="16"/>
        </w:rPr>
        <w:t xml:space="preserve"> Dagblad van het Noorden, 11 november 2024, ‘</w:t>
      </w:r>
      <w:r w:rsidRPr="00C30B5D">
        <w:rPr>
          <w:i/>
          <w:iCs/>
          <w:sz w:val="16"/>
          <w:szCs w:val="16"/>
        </w:rPr>
        <w:t>Rijksadviseur Wouter Veldhuis is om: Lelylijn zonder Duitse connectie wél van belang. Maar Nedersaksenlijn helemaal belangrijk</w:t>
      </w:r>
      <w:r w:rsidRPr="00C30B5D">
        <w:rPr>
          <w:sz w:val="16"/>
          <w:szCs w:val="16"/>
        </w:rPr>
        <w:t xml:space="preserve">’, </w:t>
      </w:r>
      <w:hyperlink r:id="rId1" w:history="1">
        <w:r w:rsidRPr="00C30B5D">
          <w:rPr>
            <w:rStyle w:val="Hyperlink"/>
            <w:sz w:val="16"/>
            <w:szCs w:val="16"/>
          </w:rPr>
          <w:t>https://dvhn.nl/groningen/Rijksadviseur-nu-wel-voor-Lelylijn-29272382.html</w:t>
        </w:r>
      </w:hyperlink>
      <w:r w:rsidRPr="00C30B5D">
        <w:rPr>
          <w:sz w:val="16"/>
          <w:szCs w:val="16"/>
        </w:rPr>
        <w:t>.</w:t>
      </w:r>
    </w:p>
    <w:p w14:paraId="24474D06" w14:textId="077D1F4E" w:rsidR="00C30B5D" w:rsidRDefault="00C30B5D">
      <w:pPr>
        <w:pStyle w:val="FootnoteText"/>
      </w:pPr>
    </w:p>
  </w:footnote>
  <w:footnote w:id="2">
    <w:p w14:paraId="638D3E8F" w14:textId="0AE8F8CB" w:rsidR="00BC1D75" w:rsidRDefault="00BC1D75">
      <w:pPr>
        <w:pStyle w:val="FootnoteText"/>
      </w:pPr>
      <w:r>
        <w:rPr>
          <w:rStyle w:val="FootnoteReference"/>
        </w:rPr>
        <w:footnoteRef/>
      </w:r>
      <w:r>
        <w:t xml:space="preserve"> </w:t>
      </w:r>
      <w:r w:rsidRPr="00BC1D75">
        <w:rPr>
          <w:sz w:val="16"/>
          <w:szCs w:val="16"/>
        </w:rPr>
        <w:t xml:space="preserve">Zie voor het volledige advies: </w:t>
      </w:r>
      <w:hyperlink r:id="rId2" w:anchor=":~:text=De%20Stuurgroep%20Lelylijn%20heeft%20het,mee%20te%20geven%20voor%20een%20(" w:history="1">
        <w:r w:rsidRPr="00BC1D75">
          <w:rPr>
            <w:rStyle w:val="Hyperlink"/>
            <w:sz w:val="16"/>
            <w:szCs w:val="16"/>
          </w:rPr>
          <w:t>Reflectie op het MIRT-onderzoek en het NOVEX ontwikkelperspectief Lelylijn | Publicatie | College van Rijksadviseurs</w:t>
        </w:r>
      </w:hyperlink>
    </w:p>
  </w:footnote>
  <w:footnote w:id="3">
    <w:p w14:paraId="405F438A" w14:textId="77777777" w:rsidR="002D4480" w:rsidRDefault="002D4480" w:rsidP="002D4480">
      <w:pPr>
        <w:pStyle w:val="FootnoteText"/>
      </w:pPr>
      <w:r w:rsidRPr="00544636">
        <w:rPr>
          <w:rStyle w:val="FootnoteReference"/>
          <w:sz w:val="16"/>
          <w:szCs w:val="16"/>
        </w:rPr>
        <w:footnoteRef/>
      </w:r>
      <w:r w:rsidRPr="00544636">
        <w:rPr>
          <w:sz w:val="16"/>
          <w:szCs w:val="16"/>
        </w:rPr>
        <w:t xml:space="preserve"> </w:t>
      </w:r>
      <w:hyperlink r:id="rId3" w:history="1">
        <w:r w:rsidRPr="00544636">
          <w:rPr>
            <w:rStyle w:val="Hyperlink"/>
            <w:sz w:val="16"/>
            <w:szCs w:val="16"/>
          </w:rPr>
          <w:t>Spelregels van het Meerjarenprogramma Infrastructuur, Ruimte en Transport (MIRT)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3928" w14:textId="77777777" w:rsidR="00342815" w:rsidRDefault="00342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0EDA" w14:textId="77777777" w:rsidR="00345F81" w:rsidRDefault="00C901BB">
    <w:r>
      <w:rPr>
        <w:noProof/>
        <w:lang w:val="en-GB" w:eastAsia="en-GB"/>
      </w:rPr>
      <mc:AlternateContent>
        <mc:Choice Requires="wps">
          <w:drawing>
            <wp:anchor distT="0" distB="0" distL="0" distR="0" simplePos="0" relativeHeight="251651584" behindDoc="0" locked="1" layoutInCell="1" allowOverlap="1" wp14:anchorId="46FC6FEA" wp14:editId="5D5E3BB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5E37A27" w14:textId="77777777" w:rsidR="00345F81" w:rsidRDefault="00C901BB">
                          <w:pPr>
                            <w:pStyle w:val="AfzendgegevensKop0"/>
                          </w:pPr>
                          <w:r>
                            <w:t>Ministerie van Infrastructuur en Waterstaat</w:t>
                          </w:r>
                        </w:p>
                        <w:p w14:paraId="76E6AB3C" w14:textId="77777777" w:rsidR="00B74B2D" w:rsidRDefault="00B74B2D" w:rsidP="00B74B2D">
                          <w:pPr>
                            <w:pStyle w:val="Referentiegegevenskop"/>
                            <w:spacing w:line="276" w:lineRule="auto"/>
                          </w:pPr>
                        </w:p>
                        <w:p w14:paraId="306069CF" w14:textId="79FCEB95" w:rsidR="00B74B2D" w:rsidRPr="00B74B2D" w:rsidRDefault="00B74B2D" w:rsidP="00B74B2D">
                          <w:pPr>
                            <w:pStyle w:val="Referentiegegevenskop"/>
                            <w:spacing w:line="276" w:lineRule="auto"/>
                          </w:pPr>
                          <w:r w:rsidRPr="00B74B2D">
                            <w:t>Ons kenmerk</w:t>
                          </w:r>
                        </w:p>
                        <w:p w14:paraId="7DC7EDDB" w14:textId="03AD2D9F" w:rsidR="00B74B2D" w:rsidRPr="00B74B2D" w:rsidRDefault="00B74B2D" w:rsidP="00B74B2D">
                          <w:pPr>
                            <w:pStyle w:val="Referentiegegevens"/>
                            <w:spacing w:line="276" w:lineRule="auto"/>
                          </w:pPr>
                          <w:r w:rsidRPr="00B74B2D">
                            <w:t>IENW/BSK-2024/3</w:t>
                          </w:r>
                          <w:r>
                            <w:t>31464</w:t>
                          </w:r>
                        </w:p>
                        <w:p w14:paraId="084F03B0" w14:textId="4D96E1C7" w:rsidR="00345F81" w:rsidRDefault="00345F81" w:rsidP="00B74B2D">
                          <w:pPr>
                            <w:pStyle w:val="WitregelW2"/>
                          </w:pPr>
                        </w:p>
                      </w:txbxContent>
                    </wps:txbx>
                    <wps:bodyPr vert="horz" wrap="square" lIns="0" tIns="0" rIns="0" bIns="0" anchor="t" anchorCtr="0"/>
                  </wps:wsp>
                </a:graphicData>
              </a:graphic>
            </wp:anchor>
          </w:drawing>
        </mc:Choice>
        <mc:Fallback>
          <w:pict>
            <v:shapetype w14:anchorId="46FC6FE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5E37A27" w14:textId="77777777" w:rsidR="00345F81" w:rsidRDefault="00C901BB">
                    <w:pPr>
                      <w:pStyle w:val="AfzendgegevensKop0"/>
                    </w:pPr>
                    <w:r>
                      <w:t>Ministerie van Infrastructuur en Waterstaat</w:t>
                    </w:r>
                  </w:p>
                  <w:p w14:paraId="76E6AB3C" w14:textId="77777777" w:rsidR="00B74B2D" w:rsidRDefault="00B74B2D" w:rsidP="00B74B2D">
                    <w:pPr>
                      <w:pStyle w:val="Referentiegegevenskop"/>
                      <w:spacing w:line="276" w:lineRule="auto"/>
                    </w:pPr>
                  </w:p>
                  <w:p w14:paraId="306069CF" w14:textId="79FCEB95" w:rsidR="00B74B2D" w:rsidRPr="00B74B2D" w:rsidRDefault="00B74B2D" w:rsidP="00B74B2D">
                    <w:pPr>
                      <w:pStyle w:val="Referentiegegevenskop"/>
                      <w:spacing w:line="276" w:lineRule="auto"/>
                    </w:pPr>
                    <w:r w:rsidRPr="00B74B2D">
                      <w:t>Ons kenmerk</w:t>
                    </w:r>
                  </w:p>
                  <w:p w14:paraId="7DC7EDDB" w14:textId="03AD2D9F" w:rsidR="00B74B2D" w:rsidRPr="00B74B2D" w:rsidRDefault="00B74B2D" w:rsidP="00B74B2D">
                    <w:pPr>
                      <w:pStyle w:val="Referentiegegevens"/>
                      <w:spacing w:line="276" w:lineRule="auto"/>
                    </w:pPr>
                    <w:r w:rsidRPr="00B74B2D">
                      <w:t>IENW/BSK-2024/3</w:t>
                    </w:r>
                    <w:r>
                      <w:t>31464</w:t>
                    </w:r>
                  </w:p>
                  <w:p w14:paraId="084F03B0" w14:textId="4D96E1C7" w:rsidR="00345F81" w:rsidRDefault="00345F81" w:rsidP="00B74B2D">
                    <w:pPr>
                      <w:pStyle w:val="WitregelW2"/>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3270321" wp14:editId="0AAFBC5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77F525" w14:textId="2834FA98" w:rsidR="00345F81" w:rsidRDefault="00C901BB">
                          <w:pPr>
                            <w:pStyle w:val="Referentiegegevens"/>
                          </w:pPr>
                          <w:r>
                            <w:t xml:space="preserve">Pagina </w:t>
                          </w:r>
                          <w:r>
                            <w:fldChar w:fldCharType="begin"/>
                          </w:r>
                          <w:r>
                            <w:instrText>PAGE</w:instrText>
                          </w:r>
                          <w:r>
                            <w:fldChar w:fldCharType="separate"/>
                          </w:r>
                          <w:r w:rsidR="00C30B5D">
                            <w:rPr>
                              <w:noProof/>
                            </w:rPr>
                            <w:t>2</w:t>
                          </w:r>
                          <w:r>
                            <w:fldChar w:fldCharType="end"/>
                          </w:r>
                          <w:r>
                            <w:t xml:space="preserve"> van </w:t>
                          </w:r>
                          <w:r>
                            <w:fldChar w:fldCharType="begin"/>
                          </w:r>
                          <w:r>
                            <w:instrText>NUMPAGES</w:instrText>
                          </w:r>
                          <w:r>
                            <w:fldChar w:fldCharType="separate"/>
                          </w:r>
                          <w:r w:rsidR="00C30B5D">
                            <w:rPr>
                              <w:noProof/>
                            </w:rPr>
                            <w:t>2</w:t>
                          </w:r>
                          <w:r>
                            <w:fldChar w:fldCharType="end"/>
                          </w:r>
                        </w:p>
                      </w:txbxContent>
                    </wps:txbx>
                    <wps:bodyPr vert="horz" wrap="square" lIns="0" tIns="0" rIns="0" bIns="0" anchor="t" anchorCtr="0"/>
                  </wps:wsp>
                </a:graphicData>
              </a:graphic>
            </wp:anchor>
          </w:drawing>
        </mc:Choice>
        <mc:Fallback>
          <w:pict>
            <v:shape w14:anchorId="0327032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D77F525" w14:textId="2834FA98" w:rsidR="00345F81" w:rsidRDefault="00C901BB">
                    <w:pPr>
                      <w:pStyle w:val="Referentiegegevens"/>
                    </w:pPr>
                    <w:r>
                      <w:t xml:space="preserve">Pagina </w:t>
                    </w:r>
                    <w:r>
                      <w:fldChar w:fldCharType="begin"/>
                    </w:r>
                    <w:r>
                      <w:instrText>PAGE</w:instrText>
                    </w:r>
                    <w:r>
                      <w:fldChar w:fldCharType="separate"/>
                    </w:r>
                    <w:r w:rsidR="00C30B5D">
                      <w:rPr>
                        <w:noProof/>
                      </w:rPr>
                      <w:t>2</w:t>
                    </w:r>
                    <w:r>
                      <w:fldChar w:fldCharType="end"/>
                    </w:r>
                    <w:r>
                      <w:t xml:space="preserve"> van </w:t>
                    </w:r>
                    <w:r>
                      <w:fldChar w:fldCharType="begin"/>
                    </w:r>
                    <w:r>
                      <w:instrText>NUMPAGES</w:instrText>
                    </w:r>
                    <w:r>
                      <w:fldChar w:fldCharType="separate"/>
                    </w:r>
                    <w:r w:rsidR="00C30B5D">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2D8332B" wp14:editId="0B2FA48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A92614A" w14:textId="77777777" w:rsidR="00C901BB" w:rsidRDefault="00C901BB"/>
                      </w:txbxContent>
                    </wps:txbx>
                    <wps:bodyPr vert="horz" wrap="square" lIns="0" tIns="0" rIns="0" bIns="0" anchor="t" anchorCtr="0"/>
                  </wps:wsp>
                </a:graphicData>
              </a:graphic>
            </wp:anchor>
          </w:drawing>
        </mc:Choice>
        <mc:Fallback>
          <w:pict>
            <v:shape w14:anchorId="12D8332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A92614A" w14:textId="77777777" w:rsidR="00C901BB" w:rsidRDefault="00C901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DC75DD7" wp14:editId="2467E94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3302864" w14:textId="77777777" w:rsidR="00C901BB" w:rsidRDefault="00C901BB"/>
                      </w:txbxContent>
                    </wps:txbx>
                    <wps:bodyPr vert="horz" wrap="square" lIns="0" tIns="0" rIns="0" bIns="0" anchor="t" anchorCtr="0"/>
                  </wps:wsp>
                </a:graphicData>
              </a:graphic>
            </wp:anchor>
          </w:drawing>
        </mc:Choice>
        <mc:Fallback>
          <w:pict>
            <v:shape w14:anchorId="3DC75DD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3302864" w14:textId="77777777" w:rsidR="00C901BB" w:rsidRDefault="00C901B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51D1" w14:textId="77777777" w:rsidR="00345F81" w:rsidRDefault="00C901B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16DBEDC" wp14:editId="2A3FC4E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F04FAA5" w14:textId="77777777" w:rsidR="00C901BB" w:rsidRDefault="00C901BB"/>
                      </w:txbxContent>
                    </wps:txbx>
                    <wps:bodyPr vert="horz" wrap="square" lIns="0" tIns="0" rIns="0" bIns="0" anchor="t" anchorCtr="0"/>
                  </wps:wsp>
                </a:graphicData>
              </a:graphic>
            </wp:anchor>
          </w:drawing>
        </mc:Choice>
        <mc:Fallback>
          <w:pict>
            <v:shapetype w14:anchorId="416DBED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F04FAA5" w14:textId="77777777" w:rsidR="00C901BB" w:rsidRDefault="00C901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B70C619" wp14:editId="606CAF8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DBB554" w14:textId="2405999B" w:rsidR="00345F81" w:rsidRDefault="00C901BB">
                          <w:pPr>
                            <w:pStyle w:val="Referentiegegevens"/>
                          </w:pPr>
                          <w:r>
                            <w:t xml:space="preserve">Pagina </w:t>
                          </w:r>
                          <w:r>
                            <w:fldChar w:fldCharType="begin"/>
                          </w:r>
                          <w:r>
                            <w:instrText>PAGE</w:instrText>
                          </w:r>
                          <w:r>
                            <w:fldChar w:fldCharType="separate"/>
                          </w:r>
                          <w:r w:rsidR="00D72CA6">
                            <w:rPr>
                              <w:noProof/>
                            </w:rPr>
                            <w:t>1</w:t>
                          </w:r>
                          <w:r>
                            <w:fldChar w:fldCharType="end"/>
                          </w:r>
                          <w:r>
                            <w:t xml:space="preserve"> van </w:t>
                          </w:r>
                          <w:r>
                            <w:fldChar w:fldCharType="begin"/>
                          </w:r>
                          <w:r>
                            <w:instrText>NUMPAGES</w:instrText>
                          </w:r>
                          <w:r>
                            <w:fldChar w:fldCharType="separate"/>
                          </w:r>
                          <w:r w:rsidR="00D72CA6">
                            <w:rPr>
                              <w:noProof/>
                            </w:rPr>
                            <w:t>1</w:t>
                          </w:r>
                          <w:r>
                            <w:fldChar w:fldCharType="end"/>
                          </w:r>
                        </w:p>
                      </w:txbxContent>
                    </wps:txbx>
                    <wps:bodyPr vert="horz" wrap="square" lIns="0" tIns="0" rIns="0" bIns="0" anchor="t" anchorCtr="0"/>
                  </wps:wsp>
                </a:graphicData>
              </a:graphic>
            </wp:anchor>
          </w:drawing>
        </mc:Choice>
        <mc:Fallback>
          <w:pict>
            <v:shape w14:anchorId="6B70C61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6DBB554" w14:textId="2405999B" w:rsidR="00345F81" w:rsidRDefault="00C901BB">
                    <w:pPr>
                      <w:pStyle w:val="Referentiegegevens"/>
                    </w:pPr>
                    <w:r>
                      <w:t xml:space="preserve">Pagina </w:t>
                    </w:r>
                    <w:r>
                      <w:fldChar w:fldCharType="begin"/>
                    </w:r>
                    <w:r>
                      <w:instrText>PAGE</w:instrText>
                    </w:r>
                    <w:r>
                      <w:fldChar w:fldCharType="separate"/>
                    </w:r>
                    <w:r w:rsidR="00D72CA6">
                      <w:rPr>
                        <w:noProof/>
                      </w:rPr>
                      <w:t>1</w:t>
                    </w:r>
                    <w:r>
                      <w:fldChar w:fldCharType="end"/>
                    </w:r>
                    <w:r>
                      <w:t xml:space="preserve"> van </w:t>
                    </w:r>
                    <w:r>
                      <w:fldChar w:fldCharType="begin"/>
                    </w:r>
                    <w:r>
                      <w:instrText>NUMPAGES</w:instrText>
                    </w:r>
                    <w:r>
                      <w:fldChar w:fldCharType="separate"/>
                    </w:r>
                    <w:r w:rsidR="00D72CA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496D763" wp14:editId="69D1C8C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3F07FC0" w14:textId="77777777" w:rsidR="00345F81" w:rsidRDefault="00C901BB">
                          <w:pPr>
                            <w:pStyle w:val="AfzendgegevensKop0"/>
                          </w:pPr>
                          <w:r>
                            <w:t>Ministerie van Infrastructuur en Waterstaat</w:t>
                          </w:r>
                        </w:p>
                        <w:p w14:paraId="4C61C5CF" w14:textId="77777777" w:rsidR="00345F81" w:rsidRDefault="00345F81">
                          <w:pPr>
                            <w:pStyle w:val="WitregelW1"/>
                          </w:pPr>
                        </w:p>
                        <w:p w14:paraId="5DEE86F7" w14:textId="77777777" w:rsidR="00345F81" w:rsidRDefault="00C901BB">
                          <w:pPr>
                            <w:pStyle w:val="Afzendgegevens"/>
                          </w:pPr>
                          <w:r>
                            <w:t>Rijnstraat 8</w:t>
                          </w:r>
                        </w:p>
                        <w:p w14:paraId="22BC99BC" w14:textId="77777777" w:rsidR="00345F81" w:rsidRPr="00C30B5D" w:rsidRDefault="00C901BB">
                          <w:pPr>
                            <w:pStyle w:val="Afzendgegevens"/>
                            <w:rPr>
                              <w:lang w:val="de-DE"/>
                            </w:rPr>
                          </w:pPr>
                          <w:r w:rsidRPr="00C30B5D">
                            <w:rPr>
                              <w:lang w:val="de-DE"/>
                            </w:rPr>
                            <w:t>2515 XP  Den Haag</w:t>
                          </w:r>
                        </w:p>
                        <w:p w14:paraId="38627945" w14:textId="77777777" w:rsidR="00345F81" w:rsidRPr="00C30B5D" w:rsidRDefault="00C901BB">
                          <w:pPr>
                            <w:pStyle w:val="Afzendgegevens"/>
                            <w:rPr>
                              <w:lang w:val="de-DE"/>
                            </w:rPr>
                          </w:pPr>
                          <w:r w:rsidRPr="00C30B5D">
                            <w:rPr>
                              <w:lang w:val="de-DE"/>
                            </w:rPr>
                            <w:t>Postbus 20901</w:t>
                          </w:r>
                        </w:p>
                        <w:p w14:paraId="34D319D8" w14:textId="77777777" w:rsidR="00345F81" w:rsidRPr="00C30B5D" w:rsidRDefault="00C901BB">
                          <w:pPr>
                            <w:pStyle w:val="Afzendgegevens"/>
                            <w:rPr>
                              <w:lang w:val="de-DE"/>
                            </w:rPr>
                          </w:pPr>
                          <w:r w:rsidRPr="00C30B5D">
                            <w:rPr>
                              <w:lang w:val="de-DE"/>
                            </w:rPr>
                            <w:t>2500 EX Den Haag</w:t>
                          </w:r>
                        </w:p>
                        <w:p w14:paraId="21933BC7" w14:textId="77777777" w:rsidR="00345F81" w:rsidRPr="00C30B5D" w:rsidRDefault="00345F81">
                          <w:pPr>
                            <w:pStyle w:val="WitregelW1"/>
                            <w:rPr>
                              <w:lang w:val="de-DE"/>
                            </w:rPr>
                          </w:pPr>
                        </w:p>
                        <w:p w14:paraId="2868FFA3" w14:textId="77777777" w:rsidR="00345F81" w:rsidRPr="00C30B5D" w:rsidRDefault="00C901BB">
                          <w:pPr>
                            <w:pStyle w:val="Afzendgegevens"/>
                            <w:rPr>
                              <w:lang w:val="de-DE"/>
                            </w:rPr>
                          </w:pPr>
                          <w:r w:rsidRPr="00C30B5D">
                            <w:rPr>
                              <w:lang w:val="de-DE"/>
                            </w:rPr>
                            <w:t>T   070-456 0000</w:t>
                          </w:r>
                        </w:p>
                        <w:p w14:paraId="5F23C87C" w14:textId="77777777" w:rsidR="00345F81" w:rsidRDefault="00C901BB">
                          <w:pPr>
                            <w:pStyle w:val="Afzendgegevens"/>
                          </w:pPr>
                          <w:r>
                            <w:t>F   070-456 1111</w:t>
                          </w:r>
                        </w:p>
                        <w:p w14:paraId="7ACF26B1" w14:textId="77777777" w:rsidR="00345F81" w:rsidRPr="00B74B2D" w:rsidRDefault="00345F81" w:rsidP="00B74B2D">
                          <w:pPr>
                            <w:pStyle w:val="WitregelW2"/>
                            <w:spacing w:line="276" w:lineRule="auto"/>
                            <w:rPr>
                              <w:sz w:val="13"/>
                              <w:szCs w:val="13"/>
                            </w:rPr>
                          </w:pPr>
                        </w:p>
                        <w:p w14:paraId="4C7D7AAA" w14:textId="77777777" w:rsidR="00B74B2D" w:rsidRPr="00B74B2D" w:rsidRDefault="00B74B2D" w:rsidP="00B74B2D">
                          <w:pPr>
                            <w:pStyle w:val="Referentiegegevenskop"/>
                            <w:spacing w:line="276" w:lineRule="auto"/>
                          </w:pPr>
                          <w:r w:rsidRPr="00B74B2D">
                            <w:t>Ons kenmerk</w:t>
                          </w:r>
                        </w:p>
                        <w:p w14:paraId="04D7BBEE" w14:textId="77777777" w:rsidR="00B74B2D" w:rsidRPr="00B74B2D" w:rsidRDefault="00B74B2D" w:rsidP="00B74B2D">
                          <w:pPr>
                            <w:pStyle w:val="Referentiegegevens"/>
                            <w:spacing w:line="276" w:lineRule="auto"/>
                          </w:pPr>
                          <w:r w:rsidRPr="00B74B2D">
                            <w:t>IENW/BSK-2024/3</w:t>
                          </w:r>
                          <w:r>
                            <w:t>31464</w:t>
                          </w:r>
                        </w:p>
                        <w:p w14:paraId="27F6DF83" w14:textId="77777777" w:rsidR="00B74B2D" w:rsidRPr="00B74B2D" w:rsidRDefault="00B74B2D" w:rsidP="00B74B2D">
                          <w:pPr>
                            <w:spacing w:line="276" w:lineRule="auto"/>
                            <w:rPr>
                              <w:sz w:val="13"/>
                              <w:szCs w:val="13"/>
                            </w:rPr>
                          </w:pPr>
                        </w:p>
                        <w:p w14:paraId="4A0931A3" w14:textId="4458FCC8" w:rsidR="00B74B2D" w:rsidRPr="00B74B2D" w:rsidRDefault="00B74B2D" w:rsidP="00B74B2D">
                          <w:pPr>
                            <w:spacing w:line="276" w:lineRule="auto"/>
                            <w:rPr>
                              <w:b/>
                              <w:bCs/>
                              <w:sz w:val="13"/>
                              <w:szCs w:val="13"/>
                            </w:rPr>
                          </w:pPr>
                          <w:r w:rsidRPr="00B74B2D">
                            <w:rPr>
                              <w:b/>
                              <w:bCs/>
                              <w:sz w:val="13"/>
                              <w:szCs w:val="13"/>
                            </w:rPr>
                            <w:t>Uw kenmerk</w:t>
                          </w:r>
                        </w:p>
                        <w:p w14:paraId="33768ED0" w14:textId="41CA1FFA" w:rsidR="00B74B2D" w:rsidRPr="00B74B2D" w:rsidRDefault="00B74B2D" w:rsidP="00B74B2D">
                          <w:pPr>
                            <w:spacing w:line="276" w:lineRule="auto"/>
                            <w:rPr>
                              <w:sz w:val="13"/>
                              <w:szCs w:val="13"/>
                            </w:rPr>
                          </w:pPr>
                          <w:r w:rsidRPr="00B74B2D">
                            <w:rPr>
                              <w:sz w:val="13"/>
                              <w:szCs w:val="13"/>
                            </w:rPr>
                            <w:t>2024Z18435</w:t>
                          </w:r>
                        </w:p>
                        <w:p w14:paraId="77EAD4A8" w14:textId="77777777" w:rsidR="00B74B2D" w:rsidRPr="00B74B2D" w:rsidRDefault="00B74B2D" w:rsidP="00B74B2D">
                          <w:pPr>
                            <w:spacing w:line="276" w:lineRule="auto"/>
                            <w:rPr>
                              <w:sz w:val="13"/>
                              <w:szCs w:val="13"/>
                            </w:rPr>
                          </w:pPr>
                        </w:p>
                        <w:p w14:paraId="51E8F1AE" w14:textId="3A4901D3" w:rsidR="00B74B2D" w:rsidRPr="00B74B2D" w:rsidRDefault="00B74B2D" w:rsidP="00B74B2D">
                          <w:pPr>
                            <w:spacing w:line="276" w:lineRule="auto"/>
                            <w:rPr>
                              <w:b/>
                              <w:bCs/>
                              <w:sz w:val="13"/>
                              <w:szCs w:val="13"/>
                            </w:rPr>
                          </w:pPr>
                          <w:r w:rsidRPr="00B74B2D">
                            <w:rPr>
                              <w:b/>
                              <w:bCs/>
                              <w:sz w:val="13"/>
                              <w:szCs w:val="13"/>
                            </w:rPr>
                            <w:t>Bijlage(n)</w:t>
                          </w:r>
                        </w:p>
                        <w:p w14:paraId="7B7F5BF1" w14:textId="5FF73525" w:rsidR="00B74B2D" w:rsidRPr="00B74B2D" w:rsidRDefault="00B74B2D" w:rsidP="00B74B2D">
                          <w:pPr>
                            <w:spacing w:line="276" w:lineRule="auto"/>
                            <w:rPr>
                              <w:sz w:val="13"/>
                              <w:szCs w:val="13"/>
                            </w:rPr>
                          </w:pPr>
                          <w:r w:rsidRPr="00B74B2D">
                            <w:rPr>
                              <w:sz w:val="13"/>
                              <w:szCs w:val="13"/>
                            </w:rPr>
                            <w:t>1</w:t>
                          </w:r>
                        </w:p>
                      </w:txbxContent>
                    </wps:txbx>
                    <wps:bodyPr vert="horz" wrap="square" lIns="0" tIns="0" rIns="0" bIns="0" anchor="t" anchorCtr="0"/>
                  </wps:wsp>
                </a:graphicData>
              </a:graphic>
            </wp:anchor>
          </w:drawing>
        </mc:Choice>
        <mc:Fallback>
          <w:pict>
            <v:shape w14:anchorId="4496D76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3F07FC0" w14:textId="77777777" w:rsidR="00345F81" w:rsidRDefault="00C901BB">
                    <w:pPr>
                      <w:pStyle w:val="AfzendgegevensKop0"/>
                    </w:pPr>
                    <w:r>
                      <w:t>Ministerie van Infrastructuur en Waterstaat</w:t>
                    </w:r>
                  </w:p>
                  <w:p w14:paraId="4C61C5CF" w14:textId="77777777" w:rsidR="00345F81" w:rsidRDefault="00345F81">
                    <w:pPr>
                      <w:pStyle w:val="WitregelW1"/>
                    </w:pPr>
                  </w:p>
                  <w:p w14:paraId="5DEE86F7" w14:textId="77777777" w:rsidR="00345F81" w:rsidRDefault="00C901BB">
                    <w:pPr>
                      <w:pStyle w:val="Afzendgegevens"/>
                    </w:pPr>
                    <w:r>
                      <w:t>Rijnstraat 8</w:t>
                    </w:r>
                  </w:p>
                  <w:p w14:paraId="22BC99BC" w14:textId="77777777" w:rsidR="00345F81" w:rsidRPr="00C30B5D" w:rsidRDefault="00C901BB">
                    <w:pPr>
                      <w:pStyle w:val="Afzendgegevens"/>
                      <w:rPr>
                        <w:lang w:val="de-DE"/>
                      </w:rPr>
                    </w:pPr>
                    <w:r w:rsidRPr="00C30B5D">
                      <w:rPr>
                        <w:lang w:val="de-DE"/>
                      </w:rPr>
                      <w:t>2515 XP  Den Haag</w:t>
                    </w:r>
                  </w:p>
                  <w:p w14:paraId="38627945" w14:textId="77777777" w:rsidR="00345F81" w:rsidRPr="00C30B5D" w:rsidRDefault="00C901BB">
                    <w:pPr>
                      <w:pStyle w:val="Afzendgegevens"/>
                      <w:rPr>
                        <w:lang w:val="de-DE"/>
                      </w:rPr>
                    </w:pPr>
                    <w:r w:rsidRPr="00C30B5D">
                      <w:rPr>
                        <w:lang w:val="de-DE"/>
                      </w:rPr>
                      <w:t>Postbus 20901</w:t>
                    </w:r>
                  </w:p>
                  <w:p w14:paraId="34D319D8" w14:textId="77777777" w:rsidR="00345F81" w:rsidRPr="00C30B5D" w:rsidRDefault="00C901BB">
                    <w:pPr>
                      <w:pStyle w:val="Afzendgegevens"/>
                      <w:rPr>
                        <w:lang w:val="de-DE"/>
                      </w:rPr>
                    </w:pPr>
                    <w:r w:rsidRPr="00C30B5D">
                      <w:rPr>
                        <w:lang w:val="de-DE"/>
                      </w:rPr>
                      <w:t>2500 EX Den Haag</w:t>
                    </w:r>
                  </w:p>
                  <w:p w14:paraId="21933BC7" w14:textId="77777777" w:rsidR="00345F81" w:rsidRPr="00C30B5D" w:rsidRDefault="00345F81">
                    <w:pPr>
                      <w:pStyle w:val="WitregelW1"/>
                      <w:rPr>
                        <w:lang w:val="de-DE"/>
                      </w:rPr>
                    </w:pPr>
                  </w:p>
                  <w:p w14:paraId="2868FFA3" w14:textId="77777777" w:rsidR="00345F81" w:rsidRPr="00C30B5D" w:rsidRDefault="00C901BB">
                    <w:pPr>
                      <w:pStyle w:val="Afzendgegevens"/>
                      <w:rPr>
                        <w:lang w:val="de-DE"/>
                      </w:rPr>
                    </w:pPr>
                    <w:r w:rsidRPr="00C30B5D">
                      <w:rPr>
                        <w:lang w:val="de-DE"/>
                      </w:rPr>
                      <w:t>T   070-456 0000</w:t>
                    </w:r>
                  </w:p>
                  <w:p w14:paraId="5F23C87C" w14:textId="77777777" w:rsidR="00345F81" w:rsidRDefault="00C901BB">
                    <w:pPr>
                      <w:pStyle w:val="Afzendgegevens"/>
                    </w:pPr>
                    <w:r>
                      <w:t>F   070-456 1111</w:t>
                    </w:r>
                  </w:p>
                  <w:p w14:paraId="7ACF26B1" w14:textId="77777777" w:rsidR="00345F81" w:rsidRPr="00B74B2D" w:rsidRDefault="00345F81" w:rsidP="00B74B2D">
                    <w:pPr>
                      <w:pStyle w:val="WitregelW2"/>
                      <w:spacing w:line="276" w:lineRule="auto"/>
                      <w:rPr>
                        <w:sz w:val="13"/>
                        <w:szCs w:val="13"/>
                      </w:rPr>
                    </w:pPr>
                  </w:p>
                  <w:p w14:paraId="4C7D7AAA" w14:textId="77777777" w:rsidR="00B74B2D" w:rsidRPr="00B74B2D" w:rsidRDefault="00B74B2D" w:rsidP="00B74B2D">
                    <w:pPr>
                      <w:pStyle w:val="Referentiegegevenskop"/>
                      <w:spacing w:line="276" w:lineRule="auto"/>
                    </w:pPr>
                    <w:r w:rsidRPr="00B74B2D">
                      <w:t>Ons kenmerk</w:t>
                    </w:r>
                  </w:p>
                  <w:p w14:paraId="04D7BBEE" w14:textId="77777777" w:rsidR="00B74B2D" w:rsidRPr="00B74B2D" w:rsidRDefault="00B74B2D" w:rsidP="00B74B2D">
                    <w:pPr>
                      <w:pStyle w:val="Referentiegegevens"/>
                      <w:spacing w:line="276" w:lineRule="auto"/>
                    </w:pPr>
                    <w:r w:rsidRPr="00B74B2D">
                      <w:t>IENW/BSK-2024/3</w:t>
                    </w:r>
                    <w:r>
                      <w:t>31464</w:t>
                    </w:r>
                  </w:p>
                  <w:p w14:paraId="27F6DF83" w14:textId="77777777" w:rsidR="00B74B2D" w:rsidRPr="00B74B2D" w:rsidRDefault="00B74B2D" w:rsidP="00B74B2D">
                    <w:pPr>
                      <w:spacing w:line="276" w:lineRule="auto"/>
                      <w:rPr>
                        <w:sz w:val="13"/>
                        <w:szCs w:val="13"/>
                      </w:rPr>
                    </w:pPr>
                  </w:p>
                  <w:p w14:paraId="4A0931A3" w14:textId="4458FCC8" w:rsidR="00B74B2D" w:rsidRPr="00B74B2D" w:rsidRDefault="00B74B2D" w:rsidP="00B74B2D">
                    <w:pPr>
                      <w:spacing w:line="276" w:lineRule="auto"/>
                      <w:rPr>
                        <w:b/>
                        <w:bCs/>
                        <w:sz w:val="13"/>
                        <w:szCs w:val="13"/>
                      </w:rPr>
                    </w:pPr>
                    <w:r w:rsidRPr="00B74B2D">
                      <w:rPr>
                        <w:b/>
                        <w:bCs/>
                        <w:sz w:val="13"/>
                        <w:szCs w:val="13"/>
                      </w:rPr>
                      <w:t>Uw kenmerk</w:t>
                    </w:r>
                  </w:p>
                  <w:p w14:paraId="33768ED0" w14:textId="41CA1FFA" w:rsidR="00B74B2D" w:rsidRPr="00B74B2D" w:rsidRDefault="00B74B2D" w:rsidP="00B74B2D">
                    <w:pPr>
                      <w:spacing w:line="276" w:lineRule="auto"/>
                      <w:rPr>
                        <w:sz w:val="13"/>
                        <w:szCs w:val="13"/>
                      </w:rPr>
                    </w:pPr>
                    <w:r w:rsidRPr="00B74B2D">
                      <w:rPr>
                        <w:sz w:val="13"/>
                        <w:szCs w:val="13"/>
                      </w:rPr>
                      <w:t>2024Z18435</w:t>
                    </w:r>
                  </w:p>
                  <w:p w14:paraId="77EAD4A8" w14:textId="77777777" w:rsidR="00B74B2D" w:rsidRPr="00B74B2D" w:rsidRDefault="00B74B2D" w:rsidP="00B74B2D">
                    <w:pPr>
                      <w:spacing w:line="276" w:lineRule="auto"/>
                      <w:rPr>
                        <w:sz w:val="13"/>
                        <w:szCs w:val="13"/>
                      </w:rPr>
                    </w:pPr>
                  </w:p>
                  <w:p w14:paraId="51E8F1AE" w14:textId="3A4901D3" w:rsidR="00B74B2D" w:rsidRPr="00B74B2D" w:rsidRDefault="00B74B2D" w:rsidP="00B74B2D">
                    <w:pPr>
                      <w:spacing w:line="276" w:lineRule="auto"/>
                      <w:rPr>
                        <w:b/>
                        <w:bCs/>
                        <w:sz w:val="13"/>
                        <w:szCs w:val="13"/>
                      </w:rPr>
                    </w:pPr>
                    <w:r w:rsidRPr="00B74B2D">
                      <w:rPr>
                        <w:b/>
                        <w:bCs/>
                        <w:sz w:val="13"/>
                        <w:szCs w:val="13"/>
                      </w:rPr>
                      <w:t>Bijlage(n)</w:t>
                    </w:r>
                  </w:p>
                  <w:p w14:paraId="7B7F5BF1" w14:textId="5FF73525" w:rsidR="00B74B2D" w:rsidRPr="00B74B2D" w:rsidRDefault="00B74B2D" w:rsidP="00B74B2D">
                    <w:pPr>
                      <w:spacing w:line="276" w:lineRule="auto"/>
                      <w:rPr>
                        <w:sz w:val="13"/>
                        <w:szCs w:val="13"/>
                      </w:rPr>
                    </w:pPr>
                    <w:r w:rsidRPr="00B74B2D">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0107600" wp14:editId="028BB39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561FA5" w14:textId="77777777" w:rsidR="00345F81" w:rsidRDefault="00C901BB">
                          <w:pPr>
                            <w:spacing w:line="240" w:lineRule="auto"/>
                          </w:pPr>
                          <w:r>
                            <w:rPr>
                              <w:noProof/>
                              <w:lang w:val="en-GB" w:eastAsia="en-GB"/>
                            </w:rPr>
                            <w:drawing>
                              <wp:inline distT="0" distB="0" distL="0" distR="0" wp14:anchorId="2C1D0F79" wp14:editId="71E75E3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10760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0561FA5" w14:textId="77777777" w:rsidR="00345F81" w:rsidRDefault="00C901BB">
                    <w:pPr>
                      <w:spacing w:line="240" w:lineRule="auto"/>
                    </w:pPr>
                    <w:r>
                      <w:rPr>
                        <w:noProof/>
                        <w:lang w:val="en-GB" w:eastAsia="en-GB"/>
                      </w:rPr>
                      <w:drawing>
                        <wp:inline distT="0" distB="0" distL="0" distR="0" wp14:anchorId="2C1D0F79" wp14:editId="71E75E3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474AC26" wp14:editId="4AFD0BE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9B3C94" w14:textId="77777777" w:rsidR="00345F81" w:rsidRDefault="00C901BB">
                          <w:pPr>
                            <w:spacing w:line="240" w:lineRule="auto"/>
                          </w:pPr>
                          <w:r>
                            <w:rPr>
                              <w:noProof/>
                              <w:lang w:val="en-GB" w:eastAsia="en-GB"/>
                            </w:rPr>
                            <w:drawing>
                              <wp:inline distT="0" distB="0" distL="0" distR="0" wp14:anchorId="5417165D" wp14:editId="14C1BD4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74AC2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09B3C94" w14:textId="77777777" w:rsidR="00345F81" w:rsidRDefault="00C901BB">
                    <w:pPr>
                      <w:spacing w:line="240" w:lineRule="auto"/>
                    </w:pPr>
                    <w:r>
                      <w:rPr>
                        <w:noProof/>
                        <w:lang w:val="en-GB" w:eastAsia="en-GB"/>
                      </w:rPr>
                      <w:drawing>
                        <wp:inline distT="0" distB="0" distL="0" distR="0" wp14:anchorId="5417165D" wp14:editId="14C1BD4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8BF063E" wp14:editId="035F6A7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F94DB55" w14:textId="77777777" w:rsidR="00345F81" w:rsidRDefault="00C901B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8BF063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F94DB55" w14:textId="77777777" w:rsidR="00345F81" w:rsidRDefault="00C901B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E8521D0" wp14:editId="546F11B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36CB65D" w14:textId="77777777" w:rsidR="00345F81" w:rsidRDefault="00C901B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E8521D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36CB65D" w14:textId="77777777" w:rsidR="00345F81" w:rsidRDefault="00C901B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40660C8" wp14:editId="43BBBC5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45F81" w14:paraId="70CE9E1C" w14:textId="77777777">
                            <w:trPr>
                              <w:trHeight w:val="200"/>
                            </w:trPr>
                            <w:tc>
                              <w:tcPr>
                                <w:tcW w:w="1140" w:type="dxa"/>
                              </w:tcPr>
                              <w:p w14:paraId="0C0124B2" w14:textId="77777777" w:rsidR="00345F81" w:rsidRDefault="00345F81"/>
                            </w:tc>
                            <w:tc>
                              <w:tcPr>
                                <w:tcW w:w="5400" w:type="dxa"/>
                              </w:tcPr>
                              <w:p w14:paraId="22E97232" w14:textId="77777777" w:rsidR="00345F81" w:rsidRDefault="00345F81"/>
                            </w:tc>
                          </w:tr>
                          <w:tr w:rsidR="00345F81" w14:paraId="58D39C5D" w14:textId="77777777">
                            <w:trPr>
                              <w:trHeight w:val="240"/>
                            </w:trPr>
                            <w:tc>
                              <w:tcPr>
                                <w:tcW w:w="1140" w:type="dxa"/>
                              </w:tcPr>
                              <w:p w14:paraId="41948FFC" w14:textId="77777777" w:rsidR="00345F81" w:rsidRDefault="00C901BB">
                                <w:r>
                                  <w:t>Datum</w:t>
                                </w:r>
                              </w:p>
                            </w:tc>
                            <w:tc>
                              <w:tcPr>
                                <w:tcW w:w="5400" w:type="dxa"/>
                              </w:tcPr>
                              <w:p w14:paraId="7B647B1A" w14:textId="3A03C67B" w:rsidR="00345F81" w:rsidRDefault="00B74B2D">
                                <w:r>
                                  <w:t>21 november 2024</w:t>
                                </w:r>
                              </w:p>
                            </w:tc>
                          </w:tr>
                          <w:tr w:rsidR="00345F81" w14:paraId="5B83EB82" w14:textId="77777777">
                            <w:trPr>
                              <w:trHeight w:val="240"/>
                            </w:trPr>
                            <w:tc>
                              <w:tcPr>
                                <w:tcW w:w="1140" w:type="dxa"/>
                              </w:tcPr>
                              <w:p w14:paraId="492288CE" w14:textId="77777777" w:rsidR="00345F81" w:rsidRDefault="00C901BB">
                                <w:r>
                                  <w:t>Betreft</w:t>
                                </w:r>
                              </w:p>
                            </w:tc>
                            <w:tc>
                              <w:tcPr>
                                <w:tcW w:w="5400" w:type="dxa"/>
                              </w:tcPr>
                              <w:p w14:paraId="4CE72BB0" w14:textId="7DC815C1" w:rsidR="00345F81" w:rsidRDefault="00C901BB">
                                <w:r>
                                  <w:t>Beantwoording Kamervragen over Lelylijn en Nedersaksenlijn</w:t>
                                </w:r>
                              </w:p>
                            </w:tc>
                          </w:tr>
                          <w:tr w:rsidR="00345F81" w14:paraId="59A74241" w14:textId="77777777">
                            <w:trPr>
                              <w:trHeight w:val="200"/>
                            </w:trPr>
                            <w:tc>
                              <w:tcPr>
                                <w:tcW w:w="1140" w:type="dxa"/>
                              </w:tcPr>
                              <w:p w14:paraId="6EEEBBA1" w14:textId="77777777" w:rsidR="00345F81" w:rsidRDefault="00345F81"/>
                            </w:tc>
                            <w:tc>
                              <w:tcPr>
                                <w:tcW w:w="5400" w:type="dxa"/>
                              </w:tcPr>
                              <w:p w14:paraId="57A114C9" w14:textId="77777777" w:rsidR="00345F81" w:rsidRDefault="00345F81"/>
                            </w:tc>
                          </w:tr>
                        </w:tbl>
                        <w:p w14:paraId="00A58C49" w14:textId="77777777" w:rsidR="00C901BB" w:rsidRDefault="00C901BB"/>
                      </w:txbxContent>
                    </wps:txbx>
                    <wps:bodyPr vert="horz" wrap="square" lIns="0" tIns="0" rIns="0" bIns="0" anchor="t" anchorCtr="0"/>
                  </wps:wsp>
                </a:graphicData>
              </a:graphic>
            </wp:anchor>
          </w:drawing>
        </mc:Choice>
        <mc:Fallback>
          <w:pict>
            <v:shape w14:anchorId="440660C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45F81" w14:paraId="70CE9E1C" w14:textId="77777777">
                      <w:trPr>
                        <w:trHeight w:val="200"/>
                      </w:trPr>
                      <w:tc>
                        <w:tcPr>
                          <w:tcW w:w="1140" w:type="dxa"/>
                        </w:tcPr>
                        <w:p w14:paraId="0C0124B2" w14:textId="77777777" w:rsidR="00345F81" w:rsidRDefault="00345F81"/>
                      </w:tc>
                      <w:tc>
                        <w:tcPr>
                          <w:tcW w:w="5400" w:type="dxa"/>
                        </w:tcPr>
                        <w:p w14:paraId="22E97232" w14:textId="77777777" w:rsidR="00345F81" w:rsidRDefault="00345F81"/>
                      </w:tc>
                    </w:tr>
                    <w:tr w:rsidR="00345F81" w14:paraId="58D39C5D" w14:textId="77777777">
                      <w:trPr>
                        <w:trHeight w:val="240"/>
                      </w:trPr>
                      <w:tc>
                        <w:tcPr>
                          <w:tcW w:w="1140" w:type="dxa"/>
                        </w:tcPr>
                        <w:p w14:paraId="41948FFC" w14:textId="77777777" w:rsidR="00345F81" w:rsidRDefault="00C901BB">
                          <w:r>
                            <w:t>Datum</w:t>
                          </w:r>
                        </w:p>
                      </w:tc>
                      <w:tc>
                        <w:tcPr>
                          <w:tcW w:w="5400" w:type="dxa"/>
                        </w:tcPr>
                        <w:p w14:paraId="7B647B1A" w14:textId="3A03C67B" w:rsidR="00345F81" w:rsidRDefault="00B74B2D">
                          <w:r>
                            <w:t>21 november 2024</w:t>
                          </w:r>
                        </w:p>
                      </w:tc>
                    </w:tr>
                    <w:tr w:rsidR="00345F81" w14:paraId="5B83EB82" w14:textId="77777777">
                      <w:trPr>
                        <w:trHeight w:val="240"/>
                      </w:trPr>
                      <w:tc>
                        <w:tcPr>
                          <w:tcW w:w="1140" w:type="dxa"/>
                        </w:tcPr>
                        <w:p w14:paraId="492288CE" w14:textId="77777777" w:rsidR="00345F81" w:rsidRDefault="00C901BB">
                          <w:r>
                            <w:t>Betreft</w:t>
                          </w:r>
                        </w:p>
                      </w:tc>
                      <w:tc>
                        <w:tcPr>
                          <w:tcW w:w="5400" w:type="dxa"/>
                        </w:tcPr>
                        <w:p w14:paraId="4CE72BB0" w14:textId="7DC815C1" w:rsidR="00345F81" w:rsidRDefault="00C901BB">
                          <w:r>
                            <w:t>Beantwoording Kamervragen over Lelylijn en Nedersaksenlijn</w:t>
                          </w:r>
                        </w:p>
                      </w:tc>
                    </w:tr>
                    <w:tr w:rsidR="00345F81" w14:paraId="59A74241" w14:textId="77777777">
                      <w:trPr>
                        <w:trHeight w:val="200"/>
                      </w:trPr>
                      <w:tc>
                        <w:tcPr>
                          <w:tcW w:w="1140" w:type="dxa"/>
                        </w:tcPr>
                        <w:p w14:paraId="6EEEBBA1" w14:textId="77777777" w:rsidR="00345F81" w:rsidRDefault="00345F81"/>
                      </w:tc>
                      <w:tc>
                        <w:tcPr>
                          <w:tcW w:w="5400" w:type="dxa"/>
                        </w:tcPr>
                        <w:p w14:paraId="57A114C9" w14:textId="77777777" w:rsidR="00345F81" w:rsidRDefault="00345F81"/>
                      </w:tc>
                    </w:tr>
                  </w:tbl>
                  <w:p w14:paraId="00A58C49" w14:textId="77777777" w:rsidR="00C901BB" w:rsidRDefault="00C901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43412DF" wp14:editId="2CC4A54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4C7DA80" w14:textId="77777777" w:rsidR="00C901BB" w:rsidRDefault="00C901BB"/>
                      </w:txbxContent>
                    </wps:txbx>
                    <wps:bodyPr vert="horz" wrap="square" lIns="0" tIns="0" rIns="0" bIns="0" anchor="t" anchorCtr="0"/>
                  </wps:wsp>
                </a:graphicData>
              </a:graphic>
            </wp:anchor>
          </w:drawing>
        </mc:Choice>
        <mc:Fallback>
          <w:pict>
            <v:shape w14:anchorId="143412D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4C7DA80" w14:textId="77777777" w:rsidR="00C901BB" w:rsidRDefault="00C901B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38E22"/>
    <w:multiLevelType w:val="multilevel"/>
    <w:tmpl w:val="16ACFA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43E5529"/>
    <w:multiLevelType w:val="multilevel"/>
    <w:tmpl w:val="5E63F90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BE44F1"/>
    <w:multiLevelType w:val="multilevel"/>
    <w:tmpl w:val="C226529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7A21047"/>
    <w:multiLevelType w:val="multilevel"/>
    <w:tmpl w:val="378F30A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6C6E7C"/>
    <w:multiLevelType w:val="multilevel"/>
    <w:tmpl w:val="59433EE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0F19AA9"/>
    <w:multiLevelType w:val="multilevel"/>
    <w:tmpl w:val="F01F251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2B0394E"/>
    <w:multiLevelType w:val="multilevel"/>
    <w:tmpl w:val="27EDFF6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9EC2323"/>
    <w:multiLevelType w:val="multilevel"/>
    <w:tmpl w:val="91D1622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29272DA"/>
    <w:multiLevelType w:val="multilevel"/>
    <w:tmpl w:val="21DED11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08DF80"/>
    <w:multiLevelType w:val="multilevel"/>
    <w:tmpl w:val="55E98D7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648F22"/>
    <w:multiLevelType w:val="multilevel"/>
    <w:tmpl w:val="508CDD1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7244C8"/>
    <w:multiLevelType w:val="hybridMultilevel"/>
    <w:tmpl w:val="F44489F6"/>
    <w:lvl w:ilvl="0" w:tplc="02B88B9A">
      <w:start w:val="1"/>
      <w:numFmt w:val="decimal"/>
      <w:lvlText w:val="%1."/>
      <w:lvlJc w:val="left"/>
      <w:pPr>
        <w:ind w:left="720" w:hanging="360"/>
      </w:pPr>
    </w:lvl>
    <w:lvl w:ilvl="1" w:tplc="3B00CD1C">
      <w:start w:val="1"/>
      <w:numFmt w:val="lowerLetter"/>
      <w:lvlText w:val="%2."/>
      <w:lvlJc w:val="left"/>
      <w:pPr>
        <w:ind w:left="1440" w:hanging="360"/>
      </w:pPr>
    </w:lvl>
    <w:lvl w:ilvl="2" w:tplc="4BE6311A">
      <w:start w:val="1"/>
      <w:numFmt w:val="lowerRoman"/>
      <w:lvlText w:val="%3."/>
      <w:lvlJc w:val="right"/>
      <w:pPr>
        <w:ind w:left="2160" w:hanging="180"/>
      </w:pPr>
    </w:lvl>
    <w:lvl w:ilvl="3" w:tplc="26FE6218">
      <w:start w:val="1"/>
      <w:numFmt w:val="decimal"/>
      <w:lvlText w:val="%4."/>
      <w:lvlJc w:val="left"/>
      <w:pPr>
        <w:ind w:left="2880" w:hanging="360"/>
      </w:pPr>
    </w:lvl>
    <w:lvl w:ilvl="4" w:tplc="AAB68580">
      <w:start w:val="1"/>
      <w:numFmt w:val="lowerLetter"/>
      <w:lvlText w:val="%5."/>
      <w:lvlJc w:val="left"/>
      <w:pPr>
        <w:ind w:left="3600" w:hanging="360"/>
      </w:pPr>
    </w:lvl>
    <w:lvl w:ilvl="5" w:tplc="E2D81732">
      <w:start w:val="1"/>
      <w:numFmt w:val="lowerRoman"/>
      <w:lvlText w:val="%6."/>
      <w:lvlJc w:val="right"/>
      <w:pPr>
        <w:ind w:left="4320" w:hanging="180"/>
      </w:pPr>
    </w:lvl>
    <w:lvl w:ilvl="6" w:tplc="2D989B7C">
      <w:start w:val="1"/>
      <w:numFmt w:val="decimal"/>
      <w:lvlText w:val="%7."/>
      <w:lvlJc w:val="left"/>
      <w:pPr>
        <w:ind w:left="5040" w:hanging="360"/>
      </w:pPr>
    </w:lvl>
    <w:lvl w:ilvl="7" w:tplc="532892C6">
      <w:start w:val="1"/>
      <w:numFmt w:val="lowerLetter"/>
      <w:lvlText w:val="%8."/>
      <w:lvlJc w:val="left"/>
      <w:pPr>
        <w:ind w:left="5760" w:hanging="360"/>
      </w:pPr>
    </w:lvl>
    <w:lvl w:ilvl="8" w:tplc="61C099E0">
      <w:start w:val="1"/>
      <w:numFmt w:val="lowerRoman"/>
      <w:lvlText w:val="%9."/>
      <w:lvlJc w:val="right"/>
      <w:pPr>
        <w:ind w:left="6480" w:hanging="180"/>
      </w:pPr>
    </w:lvl>
  </w:abstractNum>
  <w:abstractNum w:abstractNumId="12" w15:restartNumberingAfterBreak="0">
    <w:nsid w:val="122ECAE4"/>
    <w:multiLevelType w:val="multilevel"/>
    <w:tmpl w:val="3B0E535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CB3A76"/>
    <w:multiLevelType w:val="multilevel"/>
    <w:tmpl w:val="1F50BC3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E41FBE"/>
    <w:multiLevelType w:val="multilevel"/>
    <w:tmpl w:val="0D42DED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F478DC"/>
    <w:multiLevelType w:val="multilevel"/>
    <w:tmpl w:val="DEB1EB1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1EEA9A"/>
    <w:multiLevelType w:val="multilevel"/>
    <w:tmpl w:val="A4F7A06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49BC0848"/>
    <w:multiLevelType w:val="multilevel"/>
    <w:tmpl w:val="C263C98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14EE7C"/>
    <w:multiLevelType w:val="multilevel"/>
    <w:tmpl w:val="5A922BC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33E501"/>
    <w:multiLevelType w:val="multilevel"/>
    <w:tmpl w:val="5EE0060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2E5013"/>
    <w:multiLevelType w:val="multilevel"/>
    <w:tmpl w:val="AEA520E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4AC7DB"/>
    <w:multiLevelType w:val="multilevel"/>
    <w:tmpl w:val="168F64F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3DA23"/>
    <w:multiLevelType w:val="multilevel"/>
    <w:tmpl w:val="C42AF4E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822DC5"/>
    <w:multiLevelType w:val="multilevel"/>
    <w:tmpl w:val="C2A8BA0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9"/>
  </w:num>
  <w:num w:numId="3">
    <w:abstractNumId w:val="2"/>
  </w:num>
  <w:num w:numId="4">
    <w:abstractNumId w:val="15"/>
  </w:num>
  <w:num w:numId="5">
    <w:abstractNumId w:val="16"/>
  </w:num>
  <w:num w:numId="6">
    <w:abstractNumId w:val="8"/>
  </w:num>
  <w:num w:numId="7">
    <w:abstractNumId w:val="17"/>
  </w:num>
  <w:num w:numId="8">
    <w:abstractNumId w:val="10"/>
  </w:num>
  <w:num w:numId="9">
    <w:abstractNumId w:val="7"/>
  </w:num>
  <w:num w:numId="10">
    <w:abstractNumId w:val="20"/>
  </w:num>
  <w:num w:numId="11">
    <w:abstractNumId w:val="5"/>
  </w:num>
  <w:num w:numId="12">
    <w:abstractNumId w:val="0"/>
  </w:num>
  <w:num w:numId="13">
    <w:abstractNumId w:val="9"/>
  </w:num>
  <w:num w:numId="14">
    <w:abstractNumId w:val="1"/>
  </w:num>
  <w:num w:numId="15">
    <w:abstractNumId w:val="23"/>
  </w:num>
  <w:num w:numId="16">
    <w:abstractNumId w:val="4"/>
  </w:num>
  <w:num w:numId="17">
    <w:abstractNumId w:val="14"/>
  </w:num>
  <w:num w:numId="18">
    <w:abstractNumId w:val="21"/>
  </w:num>
  <w:num w:numId="19">
    <w:abstractNumId w:val="6"/>
  </w:num>
  <w:num w:numId="20">
    <w:abstractNumId w:val="3"/>
  </w:num>
  <w:num w:numId="21">
    <w:abstractNumId w:val="13"/>
  </w:num>
  <w:num w:numId="22">
    <w:abstractNumId w:val="18"/>
  </w:num>
  <w:num w:numId="23">
    <w:abstractNumId w:val="2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81"/>
    <w:rsid w:val="00001A09"/>
    <w:rsid w:val="00023849"/>
    <w:rsid w:val="0017057D"/>
    <w:rsid w:val="00193950"/>
    <w:rsid w:val="001E28C6"/>
    <w:rsid w:val="0021778B"/>
    <w:rsid w:val="00244E5D"/>
    <w:rsid w:val="00251E01"/>
    <w:rsid w:val="002B5DDE"/>
    <w:rsid w:val="002D4480"/>
    <w:rsid w:val="00342815"/>
    <w:rsid w:val="00345F81"/>
    <w:rsid w:val="00350BF5"/>
    <w:rsid w:val="00371D22"/>
    <w:rsid w:val="003B7DC2"/>
    <w:rsid w:val="003E3DB1"/>
    <w:rsid w:val="00481459"/>
    <w:rsid w:val="00487BEA"/>
    <w:rsid w:val="0054352C"/>
    <w:rsid w:val="00625DDA"/>
    <w:rsid w:val="006A3C7C"/>
    <w:rsid w:val="006C644E"/>
    <w:rsid w:val="00731DFA"/>
    <w:rsid w:val="00732F02"/>
    <w:rsid w:val="007A03CF"/>
    <w:rsid w:val="007C7599"/>
    <w:rsid w:val="007E6FC9"/>
    <w:rsid w:val="00844D12"/>
    <w:rsid w:val="0088066E"/>
    <w:rsid w:val="00895FE1"/>
    <w:rsid w:val="008C271F"/>
    <w:rsid w:val="009D22D6"/>
    <w:rsid w:val="009F7845"/>
    <w:rsid w:val="00A37C59"/>
    <w:rsid w:val="00A57708"/>
    <w:rsid w:val="00A90E0B"/>
    <w:rsid w:val="00AE61D8"/>
    <w:rsid w:val="00B443FE"/>
    <w:rsid w:val="00B74B2D"/>
    <w:rsid w:val="00BC1D75"/>
    <w:rsid w:val="00BD4EC1"/>
    <w:rsid w:val="00C170A4"/>
    <w:rsid w:val="00C2234C"/>
    <w:rsid w:val="00C24B0E"/>
    <w:rsid w:val="00C30B5D"/>
    <w:rsid w:val="00C65B64"/>
    <w:rsid w:val="00C83F43"/>
    <w:rsid w:val="00C901BB"/>
    <w:rsid w:val="00CF5CFE"/>
    <w:rsid w:val="00D62D49"/>
    <w:rsid w:val="00D65779"/>
    <w:rsid w:val="00D72CA6"/>
    <w:rsid w:val="00DE717C"/>
    <w:rsid w:val="00E23841"/>
    <w:rsid w:val="00E358BD"/>
    <w:rsid w:val="00E55046"/>
    <w:rsid w:val="00E82A93"/>
    <w:rsid w:val="00F41DCF"/>
    <w:rsid w:val="00F55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6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C30B5D"/>
    <w:pPr>
      <w:spacing w:line="240" w:lineRule="auto"/>
    </w:pPr>
    <w:rPr>
      <w:sz w:val="20"/>
      <w:szCs w:val="20"/>
    </w:rPr>
  </w:style>
  <w:style w:type="character" w:customStyle="1" w:styleId="FootnoteTextChar">
    <w:name w:val="Footnote Text Char"/>
    <w:basedOn w:val="DefaultParagraphFont"/>
    <w:link w:val="FootnoteText"/>
    <w:uiPriority w:val="99"/>
    <w:semiHidden/>
    <w:rsid w:val="00C30B5D"/>
    <w:rPr>
      <w:rFonts w:ascii="Verdana" w:hAnsi="Verdana"/>
      <w:color w:val="000000"/>
    </w:rPr>
  </w:style>
  <w:style w:type="character" w:styleId="FootnoteReference">
    <w:name w:val="footnote reference"/>
    <w:basedOn w:val="DefaultParagraphFont"/>
    <w:uiPriority w:val="99"/>
    <w:semiHidden/>
    <w:unhideWhenUsed/>
    <w:rsid w:val="00C30B5D"/>
    <w:rPr>
      <w:vertAlign w:val="superscript"/>
    </w:rPr>
  </w:style>
  <w:style w:type="table" w:styleId="TableGrid">
    <w:name w:val="Table Grid"/>
    <w:basedOn w:val="TableNormal"/>
    <w:uiPriority w:val="39"/>
    <w:rsid w:val="00C8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5DDA"/>
    <w:rPr>
      <w:sz w:val="16"/>
      <w:szCs w:val="16"/>
    </w:rPr>
  </w:style>
  <w:style w:type="paragraph" w:styleId="CommentText">
    <w:name w:val="annotation text"/>
    <w:basedOn w:val="Normal"/>
    <w:link w:val="CommentTextChar"/>
    <w:uiPriority w:val="99"/>
    <w:unhideWhenUsed/>
    <w:rsid w:val="00625DDA"/>
    <w:pPr>
      <w:spacing w:line="240" w:lineRule="auto"/>
    </w:pPr>
    <w:rPr>
      <w:sz w:val="20"/>
      <w:szCs w:val="20"/>
    </w:rPr>
  </w:style>
  <w:style w:type="character" w:customStyle="1" w:styleId="CommentTextChar">
    <w:name w:val="Comment Text Char"/>
    <w:basedOn w:val="DefaultParagraphFont"/>
    <w:link w:val="CommentText"/>
    <w:uiPriority w:val="99"/>
    <w:rsid w:val="00625DD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25DDA"/>
    <w:rPr>
      <w:b/>
      <w:bCs/>
    </w:rPr>
  </w:style>
  <w:style w:type="character" w:customStyle="1" w:styleId="CommentSubjectChar">
    <w:name w:val="Comment Subject Char"/>
    <w:basedOn w:val="CommentTextChar"/>
    <w:link w:val="CommentSubject"/>
    <w:uiPriority w:val="99"/>
    <w:semiHidden/>
    <w:rsid w:val="00625DDA"/>
    <w:rPr>
      <w:rFonts w:ascii="Verdana" w:hAnsi="Verdana"/>
      <w:b/>
      <w:bCs/>
      <w:color w:val="000000"/>
    </w:rPr>
  </w:style>
  <w:style w:type="paragraph" w:styleId="Revision">
    <w:name w:val="Revision"/>
    <w:hidden/>
    <w:uiPriority w:val="99"/>
    <w:semiHidden/>
    <w:rsid w:val="00001A09"/>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342815"/>
    <w:pPr>
      <w:tabs>
        <w:tab w:val="center" w:pos="4536"/>
        <w:tab w:val="right" w:pos="9072"/>
      </w:tabs>
      <w:spacing w:line="240" w:lineRule="auto"/>
    </w:pPr>
  </w:style>
  <w:style w:type="character" w:customStyle="1" w:styleId="HeaderChar">
    <w:name w:val="Header Char"/>
    <w:basedOn w:val="DefaultParagraphFont"/>
    <w:link w:val="Header"/>
    <w:uiPriority w:val="99"/>
    <w:rsid w:val="00342815"/>
    <w:rPr>
      <w:rFonts w:ascii="Verdana" w:hAnsi="Verdana"/>
      <w:color w:val="000000"/>
      <w:sz w:val="18"/>
      <w:szCs w:val="18"/>
    </w:rPr>
  </w:style>
  <w:style w:type="paragraph" w:styleId="Footer">
    <w:name w:val="footer"/>
    <w:basedOn w:val="Normal"/>
    <w:link w:val="FooterChar"/>
    <w:uiPriority w:val="99"/>
    <w:unhideWhenUsed/>
    <w:rsid w:val="00342815"/>
    <w:pPr>
      <w:tabs>
        <w:tab w:val="center" w:pos="4536"/>
        <w:tab w:val="right" w:pos="9072"/>
      </w:tabs>
      <w:spacing w:line="240" w:lineRule="auto"/>
    </w:pPr>
  </w:style>
  <w:style w:type="character" w:customStyle="1" w:styleId="FooterChar">
    <w:name w:val="Footer Char"/>
    <w:basedOn w:val="DefaultParagraphFont"/>
    <w:link w:val="Footer"/>
    <w:uiPriority w:val="99"/>
    <w:rsid w:val="0034281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6867">
      <w:bodyDiv w:val="1"/>
      <w:marLeft w:val="0"/>
      <w:marRight w:val="0"/>
      <w:marTop w:val="0"/>
      <w:marBottom w:val="0"/>
      <w:divBdr>
        <w:top w:val="none" w:sz="0" w:space="0" w:color="auto"/>
        <w:left w:val="none" w:sz="0" w:space="0" w:color="auto"/>
        <w:bottom w:val="none" w:sz="0" w:space="0" w:color="auto"/>
        <w:right w:val="none" w:sz="0" w:space="0" w:color="auto"/>
      </w:divBdr>
    </w:div>
    <w:div w:id="567423357">
      <w:bodyDiv w:val="1"/>
      <w:marLeft w:val="0"/>
      <w:marRight w:val="0"/>
      <w:marTop w:val="0"/>
      <w:marBottom w:val="0"/>
      <w:divBdr>
        <w:top w:val="none" w:sz="0" w:space="0" w:color="auto"/>
        <w:left w:val="none" w:sz="0" w:space="0" w:color="auto"/>
        <w:bottom w:val="none" w:sz="0" w:space="0" w:color="auto"/>
        <w:right w:val="none" w:sz="0" w:space="0" w:color="auto"/>
      </w:divBdr>
    </w:div>
    <w:div w:id="1174610500">
      <w:bodyDiv w:val="1"/>
      <w:marLeft w:val="0"/>
      <w:marRight w:val="0"/>
      <w:marTop w:val="0"/>
      <w:marBottom w:val="0"/>
      <w:divBdr>
        <w:top w:val="none" w:sz="0" w:space="0" w:color="auto"/>
        <w:left w:val="none" w:sz="0" w:space="0" w:color="auto"/>
        <w:bottom w:val="none" w:sz="0" w:space="0" w:color="auto"/>
        <w:right w:val="none" w:sz="0" w:space="0" w:color="auto"/>
      </w:divBdr>
    </w:div>
    <w:div w:id="1179806615">
      <w:bodyDiv w:val="1"/>
      <w:marLeft w:val="0"/>
      <w:marRight w:val="0"/>
      <w:marTop w:val="0"/>
      <w:marBottom w:val="0"/>
      <w:divBdr>
        <w:top w:val="none" w:sz="0" w:space="0" w:color="auto"/>
        <w:left w:val="none" w:sz="0" w:space="0" w:color="auto"/>
        <w:bottom w:val="none" w:sz="0" w:space="0" w:color="auto"/>
        <w:right w:val="none" w:sz="0" w:space="0" w:color="auto"/>
      </w:divBdr>
    </w:div>
    <w:div w:id="1665350644">
      <w:bodyDiv w:val="1"/>
      <w:marLeft w:val="0"/>
      <w:marRight w:val="0"/>
      <w:marTop w:val="0"/>
      <w:marBottom w:val="0"/>
      <w:divBdr>
        <w:top w:val="none" w:sz="0" w:space="0" w:color="auto"/>
        <w:left w:val="none" w:sz="0" w:space="0" w:color="auto"/>
        <w:bottom w:val="none" w:sz="0" w:space="0" w:color="auto"/>
        <w:right w:val="none" w:sz="0" w:space="0" w:color="auto"/>
      </w:divBdr>
    </w:div>
    <w:div w:id="1790582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2/09/20/bijlage-geactualiseerde-mirt-spelregels" TargetMode="External"/><Relationship Id="rId2" Type="http://schemas.openxmlformats.org/officeDocument/2006/relationships/hyperlink" Target="https://www.collegevanrijksadviseurs.nl/adviezen-publicaties/publicatie/2024/11/13/reflectie-mirt-onderzoek-lelylijn" TargetMode="External"/><Relationship Id="rId1" Type="http://schemas.openxmlformats.org/officeDocument/2006/relationships/hyperlink" Target="https://dvhn.nl/groningen/Rijksadviseur-nu-wel-voor-Lelylijn-29272382.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1670</ap:Words>
  <ap:Characters>9524</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Dijk/Pierik over Lelylijn en Nedersaksenlijn</vt:lpstr>
    </vt:vector>
  </ap:TitlesOfParts>
  <ap:LinksUpToDate>false</ap:LinksUpToDate>
  <ap:CharactersWithSpaces>11172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2024-11-21T13:31:00.0000000Z</dcterms:created>
  <dcterms:modified xsi:type="dcterms:W3CDTF">2024-11-21T13:31:00.0000000Z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Van Dijk/Pierik over Lelylijn en Nedersaksenlijn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 Schimmel</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f5339f15-c483-4670-87f9-f365ba551dce_Enabled">
    <vt:lpwstr>true</vt:lpwstr>
  </property>
  <property fmtid="{D5CDD505-2E9C-101B-9397-08002B2CF9AE}" pid="30" name="MSIP_Label_f5339f15-c483-4670-87f9-f365ba551dce_SetDate">
    <vt:lpwstr>2024-11-18T12:52:10Z</vt:lpwstr>
  </property>
  <property fmtid="{D5CDD505-2E9C-101B-9397-08002B2CF9AE}" pid="31" name="MSIP_Label_f5339f15-c483-4670-87f9-f365ba551dce_Method">
    <vt:lpwstr>Standard</vt:lpwstr>
  </property>
  <property fmtid="{D5CDD505-2E9C-101B-9397-08002B2CF9AE}" pid="32" name="MSIP_Label_f5339f15-c483-4670-87f9-f365ba551dce_Name">
    <vt:lpwstr>FIN-IRF-Dep. V.</vt:lpwstr>
  </property>
  <property fmtid="{D5CDD505-2E9C-101B-9397-08002B2CF9AE}" pid="33" name="MSIP_Label_f5339f15-c483-4670-87f9-f365ba551dce_SiteId">
    <vt:lpwstr>84712536-f524-40a0-913b-5d25ba502732</vt:lpwstr>
  </property>
  <property fmtid="{D5CDD505-2E9C-101B-9397-08002B2CF9AE}" pid="34" name="MSIP_Label_f5339f15-c483-4670-87f9-f365ba551dce_ActionId">
    <vt:lpwstr>28a92c20-108b-4d62-b27c-6bdb6b4c68fb</vt:lpwstr>
  </property>
  <property fmtid="{D5CDD505-2E9C-101B-9397-08002B2CF9AE}" pid="35" name="MSIP_Label_f5339f15-c483-4670-87f9-f365ba551dce_ContentBits">
    <vt:lpwstr>0</vt:lpwstr>
  </property>
</Properties>
</file>