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10FD4" w:rsidTr="00D9561B" w14:paraId="15867BD1" w14:textId="77777777">
        <w:trPr>
          <w:trHeight w:val="1514"/>
        </w:trPr>
        <w:tc>
          <w:tcPr>
            <w:tcW w:w="7522" w:type="dxa"/>
            <w:tcBorders>
              <w:top w:val="nil"/>
              <w:left w:val="nil"/>
              <w:bottom w:val="nil"/>
              <w:right w:val="nil"/>
            </w:tcBorders>
            <w:tcMar>
              <w:left w:w="0" w:type="dxa"/>
              <w:right w:w="0" w:type="dxa"/>
            </w:tcMar>
          </w:tcPr>
          <w:p w:rsidR="00374412" w:rsidP="00D9561B" w:rsidRDefault="00943086" w14:paraId="2665589D" w14:textId="77777777">
            <w:r>
              <w:t>De v</w:t>
            </w:r>
            <w:r w:rsidR="008E3932">
              <w:t>oorzitter van de Tweede Kamer der Staten-Generaal</w:t>
            </w:r>
          </w:p>
          <w:p w:rsidR="00374412" w:rsidP="00D9561B" w:rsidRDefault="00943086" w14:paraId="19053F7A" w14:textId="77777777">
            <w:r>
              <w:t>Postbus 20018</w:t>
            </w:r>
          </w:p>
          <w:p w:rsidR="008E3932" w:rsidP="00D9561B" w:rsidRDefault="00943086" w14:paraId="7960E6E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10FD4" w:rsidTr="00FF66F9" w14:paraId="39F5F6E1" w14:textId="77777777">
        <w:trPr>
          <w:trHeight w:val="289" w:hRule="exact"/>
        </w:trPr>
        <w:tc>
          <w:tcPr>
            <w:tcW w:w="929" w:type="dxa"/>
          </w:tcPr>
          <w:p w:rsidRPr="00434042" w:rsidR="0005404B" w:rsidP="00FF66F9" w:rsidRDefault="00943086" w14:paraId="6348C363" w14:textId="77777777">
            <w:pPr>
              <w:rPr>
                <w:lang w:eastAsia="en-US"/>
              </w:rPr>
            </w:pPr>
            <w:r>
              <w:rPr>
                <w:lang w:eastAsia="en-US"/>
              </w:rPr>
              <w:t>Datum</w:t>
            </w:r>
          </w:p>
        </w:tc>
        <w:tc>
          <w:tcPr>
            <w:tcW w:w="6581" w:type="dxa"/>
          </w:tcPr>
          <w:p w:rsidRPr="00434042" w:rsidR="0005404B" w:rsidP="00FF66F9" w:rsidRDefault="008F60FB" w14:paraId="797C8B39" w14:textId="106053D0">
            <w:pPr>
              <w:rPr>
                <w:lang w:eastAsia="en-US"/>
              </w:rPr>
            </w:pPr>
            <w:r>
              <w:rPr>
                <w:lang w:eastAsia="en-US"/>
              </w:rPr>
              <w:t>20 november 2024</w:t>
            </w:r>
          </w:p>
        </w:tc>
      </w:tr>
      <w:tr w:rsidR="00310FD4" w:rsidTr="00FF66F9" w14:paraId="6F534B89" w14:textId="77777777">
        <w:trPr>
          <w:trHeight w:val="368"/>
        </w:trPr>
        <w:tc>
          <w:tcPr>
            <w:tcW w:w="929" w:type="dxa"/>
          </w:tcPr>
          <w:p w:rsidR="0005404B" w:rsidP="00FF66F9" w:rsidRDefault="00943086" w14:paraId="2C0CE23E" w14:textId="77777777">
            <w:pPr>
              <w:rPr>
                <w:lang w:eastAsia="en-US"/>
              </w:rPr>
            </w:pPr>
            <w:r>
              <w:rPr>
                <w:lang w:eastAsia="en-US"/>
              </w:rPr>
              <w:t>Betreft</w:t>
            </w:r>
          </w:p>
        </w:tc>
        <w:tc>
          <w:tcPr>
            <w:tcW w:w="6581" w:type="dxa"/>
          </w:tcPr>
          <w:p w:rsidR="0005404B" w:rsidP="00FF66F9" w:rsidRDefault="004E4F0E" w14:paraId="05502976" w14:textId="42E3DEC0">
            <w:pPr>
              <w:rPr>
                <w:lang w:eastAsia="en-US"/>
              </w:rPr>
            </w:pPr>
            <w:r>
              <w:rPr>
                <w:lang w:eastAsia="en-US"/>
              </w:rPr>
              <w:t>Beleidsreactie verschillende onderzoeken op het gebied van onderwijs aan nieuwkomers</w:t>
            </w:r>
          </w:p>
        </w:tc>
      </w:tr>
    </w:tbl>
    <w:p w:rsidR="00310FD4" w:rsidRDefault="001C2C36" w14:paraId="6985C56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964CB" w:rsidR="00310FD4" w:rsidTr="00A421A1" w14:paraId="021400C9" w14:textId="77777777">
        <w:tc>
          <w:tcPr>
            <w:tcW w:w="2160" w:type="dxa"/>
          </w:tcPr>
          <w:p w:rsidRPr="00F53C9D" w:rsidR="006205C0" w:rsidP="00686AED" w:rsidRDefault="00943086" w14:paraId="4BF2B2FF" w14:textId="77777777">
            <w:pPr>
              <w:pStyle w:val="Colofonkop"/>
              <w:framePr w:hSpace="0" w:wrap="auto" w:hAnchor="text" w:vAnchor="margin" w:xAlign="left" w:yAlign="inline"/>
            </w:pPr>
            <w:r>
              <w:t>Onderwijspersoneel en Primair Onderwijs</w:t>
            </w:r>
          </w:p>
          <w:p w:rsidR="006205C0" w:rsidP="00A421A1" w:rsidRDefault="00943086" w14:paraId="38C9AB6A" w14:textId="77777777">
            <w:pPr>
              <w:pStyle w:val="Huisstijl-Gegeven"/>
              <w:spacing w:after="0"/>
            </w:pPr>
            <w:r>
              <w:t xml:space="preserve">Rijnstraat 50 </w:t>
            </w:r>
          </w:p>
          <w:p w:rsidR="004425A7" w:rsidP="00E972A2" w:rsidRDefault="00943086" w14:paraId="2BC1E5FD" w14:textId="77777777">
            <w:pPr>
              <w:pStyle w:val="Huisstijl-Gegeven"/>
              <w:spacing w:after="0"/>
            </w:pPr>
            <w:r>
              <w:t>Den Haag</w:t>
            </w:r>
          </w:p>
          <w:p w:rsidR="004425A7" w:rsidP="00E972A2" w:rsidRDefault="00943086" w14:paraId="48A0E4A4" w14:textId="77777777">
            <w:pPr>
              <w:pStyle w:val="Huisstijl-Gegeven"/>
              <w:spacing w:after="0"/>
            </w:pPr>
            <w:r>
              <w:t>Postbus 16375</w:t>
            </w:r>
          </w:p>
          <w:p w:rsidR="004425A7" w:rsidP="00E972A2" w:rsidRDefault="00943086" w14:paraId="5F70373A" w14:textId="77777777">
            <w:pPr>
              <w:pStyle w:val="Huisstijl-Gegeven"/>
              <w:spacing w:after="0"/>
            </w:pPr>
            <w:r>
              <w:t>2500 BJ Den Haag</w:t>
            </w:r>
          </w:p>
          <w:p w:rsidRPr="00E64779" w:rsidR="004425A7" w:rsidP="00E972A2" w:rsidRDefault="00943086" w14:paraId="6F038921" w14:textId="77777777">
            <w:pPr>
              <w:pStyle w:val="Huisstijl-Gegeven"/>
              <w:spacing w:after="90"/>
              <w:rPr>
                <w:lang w:val="en-US"/>
              </w:rPr>
            </w:pPr>
            <w:r w:rsidRPr="00E64779">
              <w:rPr>
                <w:lang w:val="en-US"/>
              </w:rPr>
              <w:t>www.rijksoverheid.nl</w:t>
            </w:r>
          </w:p>
          <w:p w:rsidRPr="00E64779" w:rsidR="006205C0" w:rsidP="00A421A1" w:rsidRDefault="00943086" w14:paraId="75B0A7C1" w14:textId="77777777">
            <w:pPr>
              <w:spacing w:line="180" w:lineRule="exact"/>
              <w:rPr>
                <w:b/>
                <w:sz w:val="13"/>
                <w:szCs w:val="13"/>
                <w:lang w:val="en-US"/>
              </w:rPr>
            </w:pPr>
            <w:r w:rsidRPr="00E64779">
              <w:rPr>
                <w:b/>
                <w:sz w:val="13"/>
                <w:szCs w:val="13"/>
                <w:lang w:val="en-US"/>
              </w:rPr>
              <w:t>Contactpersoon</w:t>
            </w:r>
          </w:p>
          <w:p w:rsidRPr="00E64779" w:rsidR="006205C0" w:rsidP="00A421A1" w:rsidRDefault="006205C0" w14:paraId="4202D78C" w14:textId="6CB75151">
            <w:pPr>
              <w:spacing w:line="180" w:lineRule="exact"/>
              <w:rPr>
                <w:sz w:val="13"/>
                <w:szCs w:val="13"/>
                <w:lang w:val="en-US"/>
              </w:rPr>
            </w:pPr>
          </w:p>
        </w:tc>
      </w:tr>
      <w:tr w:rsidRPr="00A964CB" w:rsidR="00310FD4" w:rsidTr="00A421A1" w14:paraId="3BB6367E" w14:textId="77777777">
        <w:trPr>
          <w:trHeight w:val="200" w:hRule="exact"/>
        </w:trPr>
        <w:tc>
          <w:tcPr>
            <w:tcW w:w="2160" w:type="dxa"/>
          </w:tcPr>
          <w:p w:rsidRPr="00E64779" w:rsidR="006205C0" w:rsidP="00A421A1" w:rsidRDefault="006205C0" w14:paraId="546EDA36" w14:textId="77777777">
            <w:pPr>
              <w:spacing w:after="90" w:line="180" w:lineRule="exact"/>
              <w:rPr>
                <w:sz w:val="13"/>
                <w:szCs w:val="13"/>
                <w:lang w:val="en-US"/>
              </w:rPr>
            </w:pPr>
          </w:p>
        </w:tc>
      </w:tr>
      <w:tr w:rsidR="00310FD4" w:rsidTr="00A421A1" w14:paraId="0606E4D3" w14:textId="77777777">
        <w:trPr>
          <w:trHeight w:val="450"/>
        </w:trPr>
        <w:tc>
          <w:tcPr>
            <w:tcW w:w="2160" w:type="dxa"/>
          </w:tcPr>
          <w:p w:rsidR="00F51A76" w:rsidP="00A421A1" w:rsidRDefault="00943086" w14:paraId="58554754" w14:textId="77777777">
            <w:pPr>
              <w:spacing w:line="180" w:lineRule="exact"/>
              <w:rPr>
                <w:b/>
                <w:sz w:val="13"/>
                <w:szCs w:val="13"/>
              </w:rPr>
            </w:pPr>
            <w:r>
              <w:rPr>
                <w:b/>
                <w:sz w:val="13"/>
                <w:szCs w:val="13"/>
              </w:rPr>
              <w:t>Onze referentie</w:t>
            </w:r>
          </w:p>
          <w:p w:rsidRPr="00FA7882" w:rsidR="006205C0" w:rsidP="00215356" w:rsidRDefault="00A964CB" w14:paraId="5A9E4D43" w14:textId="6F187DEE">
            <w:pPr>
              <w:spacing w:line="180" w:lineRule="exact"/>
              <w:rPr>
                <w:sz w:val="13"/>
                <w:szCs w:val="13"/>
              </w:rPr>
            </w:pPr>
            <w:r>
              <w:rPr>
                <w:sz w:val="13"/>
                <w:szCs w:val="13"/>
              </w:rPr>
              <w:t>49250751</w:t>
            </w:r>
          </w:p>
        </w:tc>
      </w:tr>
      <w:tr w:rsidR="00310FD4" w:rsidTr="00D130C0" w14:paraId="7DE35CD6" w14:textId="77777777">
        <w:trPr>
          <w:trHeight w:val="113"/>
        </w:trPr>
        <w:tc>
          <w:tcPr>
            <w:tcW w:w="2160" w:type="dxa"/>
          </w:tcPr>
          <w:p w:rsidRPr="00C5333A" w:rsidR="006205C0" w:rsidP="00D36088" w:rsidRDefault="00943086" w14:paraId="51853231" w14:textId="77777777">
            <w:pPr>
              <w:tabs>
                <w:tab w:val="center" w:pos="1080"/>
              </w:tabs>
              <w:spacing w:line="180" w:lineRule="exact"/>
              <w:rPr>
                <w:sz w:val="13"/>
                <w:szCs w:val="13"/>
              </w:rPr>
            </w:pPr>
            <w:r>
              <w:rPr>
                <w:b/>
                <w:sz w:val="13"/>
                <w:szCs w:val="13"/>
              </w:rPr>
              <w:t>Bijlagen</w:t>
            </w:r>
          </w:p>
        </w:tc>
      </w:tr>
      <w:tr w:rsidR="00310FD4" w:rsidTr="00D130C0" w14:paraId="7FC23309" w14:textId="77777777">
        <w:trPr>
          <w:trHeight w:val="113"/>
        </w:trPr>
        <w:tc>
          <w:tcPr>
            <w:tcW w:w="2160" w:type="dxa"/>
          </w:tcPr>
          <w:p w:rsidR="006205C0" w:rsidP="00A421A1" w:rsidRDefault="00E64779" w14:paraId="11CBCE58" w14:textId="7B851EE0">
            <w:pPr>
              <w:spacing w:after="90" w:line="180" w:lineRule="exact"/>
              <w:rPr>
                <w:sz w:val="13"/>
              </w:rPr>
            </w:pPr>
            <w:r>
              <w:rPr>
                <w:sz w:val="13"/>
              </w:rPr>
              <w:t xml:space="preserve">Bijlage 1: </w:t>
            </w:r>
            <w:r w:rsidR="005C3CB3">
              <w:rPr>
                <w:sz w:val="13"/>
              </w:rPr>
              <w:t xml:space="preserve">Evaluatie </w:t>
            </w:r>
            <w:r>
              <w:rPr>
                <w:sz w:val="13"/>
              </w:rPr>
              <w:t>Wet Tijdelijke Nieuwkomersvoorzieningen in het onderwijs – nulmeting</w:t>
            </w:r>
          </w:p>
          <w:p w:rsidR="00E64779" w:rsidP="00A421A1" w:rsidRDefault="00E64779" w14:paraId="63D3E6C9" w14:textId="44DB47D3">
            <w:pPr>
              <w:spacing w:after="90" w:line="180" w:lineRule="exact"/>
              <w:rPr>
                <w:sz w:val="13"/>
              </w:rPr>
            </w:pPr>
            <w:r>
              <w:rPr>
                <w:sz w:val="13"/>
              </w:rPr>
              <w:t>Bijlage 2:</w:t>
            </w:r>
            <w:r w:rsidR="00C92A9D">
              <w:rPr>
                <w:sz w:val="13"/>
              </w:rPr>
              <w:t xml:space="preserve"> Monitoronderzoek naar onderwijs aan Oekraïense leerlingen in het po en vo</w:t>
            </w:r>
            <w:r>
              <w:rPr>
                <w:sz w:val="13"/>
              </w:rPr>
              <w:t xml:space="preserve"> </w:t>
            </w:r>
            <w:proofErr w:type="spellStart"/>
            <w:r>
              <w:rPr>
                <w:sz w:val="13"/>
              </w:rPr>
              <w:t>tov</w:t>
            </w:r>
            <w:proofErr w:type="spellEnd"/>
            <w:r>
              <w:rPr>
                <w:sz w:val="13"/>
              </w:rPr>
              <w:t xml:space="preserve"> onderzoek </w:t>
            </w:r>
          </w:p>
          <w:p w:rsidRPr="00D74F66" w:rsidR="00E64779" w:rsidP="00A421A1" w:rsidRDefault="00E64779" w14:paraId="166D722F" w14:textId="4BB614A7">
            <w:pPr>
              <w:spacing w:after="90" w:line="180" w:lineRule="exact"/>
              <w:rPr>
                <w:sz w:val="13"/>
              </w:rPr>
            </w:pPr>
            <w:r>
              <w:rPr>
                <w:sz w:val="13"/>
              </w:rPr>
              <w:t xml:space="preserve">Bijlage 3: </w:t>
            </w:r>
            <w:r w:rsidRPr="004E4F0E" w:rsidR="004E4F0E">
              <w:rPr>
                <w:sz w:val="13"/>
              </w:rPr>
              <w:t xml:space="preserve">Onderzoek </w:t>
            </w:r>
            <w:r w:rsidR="004E4F0E">
              <w:rPr>
                <w:sz w:val="13"/>
              </w:rPr>
              <w:t>g</w:t>
            </w:r>
            <w:r w:rsidRPr="004E4F0E" w:rsidR="004E4F0E">
              <w:rPr>
                <w:sz w:val="13"/>
              </w:rPr>
              <w:t>emeentelijke kosten nieuwkomersonderwijs</w:t>
            </w:r>
          </w:p>
        </w:tc>
      </w:tr>
    </w:tbl>
    <w:p w:rsidR="00215356" w:rsidRDefault="00215356" w14:paraId="582CE8CA" w14:textId="77777777"/>
    <w:p w:rsidR="000C2D00" w:rsidP="00A421A1" w:rsidRDefault="00AE14D7" w14:paraId="132BD457" w14:textId="5E90F831">
      <w:r>
        <w:t>D</w:t>
      </w:r>
      <w:r w:rsidR="000C2D00">
        <w:t xml:space="preserve">e opgave om een </w:t>
      </w:r>
      <w:r w:rsidR="00C47922">
        <w:t>onderwijs</w:t>
      </w:r>
      <w:r w:rsidR="000C2D00">
        <w:t xml:space="preserve">aanbod te realiseren voor </w:t>
      </w:r>
      <w:r w:rsidR="004E17DD">
        <w:t xml:space="preserve">kinderen die nieuw zijn in Nederland </w:t>
      </w:r>
      <w:r>
        <w:t xml:space="preserve">vraagt </w:t>
      </w:r>
      <w:r w:rsidR="000C2D00">
        <w:t>structurele aandacht.</w:t>
      </w:r>
      <w:r w:rsidR="00A964CB">
        <w:t xml:space="preserve"> </w:t>
      </w:r>
      <w:r w:rsidR="005410A6">
        <w:t xml:space="preserve">Wanneer kinderen en jongeren </w:t>
      </w:r>
      <w:r w:rsidR="00447868">
        <w:t>nieuw in Nederland</w:t>
      </w:r>
      <w:r w:rsidR="005410A6">
        <w:t xml:space="preserve"> zijn, hebben we de wettelijke taak om hen zo</w:t>
      </w:r>
      <w:r w:rsidR="00447868">
        <w:t xml:space="preserve"> snel en zo</w:t>
      </w:r>
      <w:r w:rsidR="005410A6">
        <w:t xml:space="preserve"> goed mogelijk onderwijs te bieden. Het onderwijs aan </w:t>
      </w:r>
      <w:r w:rsidR="00447868">
        <w:t xml:space="preserve">deze </w:t>
      </w:r>
      <w:r w:rsidR="00BD7349">
        <w:t>leerlingen</w:t>
      </w:r>
      <w:r w:rsidR="00A964CB">
        <w:t xml:space="preserve"> </w:t>
      </w:r>
      <w:r w:rsidR="005410A6">
        <w:t xml:space="preserve">staat onder druk, waarbij </w:t>
      </w:r>
      <w:r w:rsidR="00BD7349">
        <w:t>scholen</w:t>
      </w:r>
      <w:r w:rsidR="005410A6">
        <w:t xml:space="preserve"> soms tegen grenzen aanlopen van wat</w:t>
      </w:r>
      <w:r w:rsidR="00BD7349">
        <w:t xml:space="preserve"> nog</w:t>
      </w:r>
      <w:r w:rsidR="005410A6">
        <w:t xml:space="preserve"> uitvoerbaar is. </w:t>
      </w:r>
      <w:r w:rsidR="000C2D00">
        <w:t>De afgelopen jaren is specifiek voor deze doelgroep beleid ontwikkeld en geïmplementeerd in nauwe samenwerking met scholen, leraren, leerlingen, ouders, gemeenten en andere betrokkenen. Waar nodig zijn er tijdelijke maatregelen getroffen.</w:t>
      </w:r>
      <w:r w:rsidR="00B737D0">
        <w:t xml:space="preserve"> Met deze brief bied ik uw Kamer drie rapporten aan die onlangs over het nieuwkomersonderwijs</w:t>
      </w:r>
      <w:r w:rsidR="00A143E9">
        <w:t xml:space="preserve"> zijn</w:t>
      </w:r>
      <w:r w:rsidR="007C6AE2">
        <w:t xml:space="preserve"> afgerond.</w:t>
      </w:r>
      <w:r w:rsidR="00B737D0">
        <w:t xml:space="preserve"> </w:t>
      </w:r>
    </w:p>
    <w:p w:rsidR="000C2D00" w:rsidP="00A421A1" w:rsidRDefault="000C2D00" w14:paraId="0DE3495C" w14:textId="77777777"/>
    <w:p w:rsidR="004C0827" w:rsidP="004C0827" w:rsidRDefault="00D653A2" w14:paraId="3BA474F6" w14:textId="6B16BE53">
      <w:r>
        <w:t xml:space="preserve">Sinds oktober 2023 is de tijdelijke Wet tijdelijke nieuwkomersvoorzieningen (hierna: Wet </w:t>
      </w:r>
      <w:proofErr w:type="spellStart"/>
      <w:r>
        <w:t>tnv</w:t>
      </w:r>
      <w:proofErr w:type="spellEnd"/>
      <w:r>
        <w:t>) van kracht. Deze wet wordt sinds de start gemonitord en geëvalueerd en bijgevoegd bij deze brief vindt u de eerste tussenrapportage</w:t>
      </w:r>
      <w:r w:rsidR="000C2D00">
        <w:t xml:space="preserve">. Om meer zicht te krijgen op andere maatregelen </w:t>
      </w:r>
      <w:r w:rsidR="0018357A">
        <w:t>ten behoeve van onderwijs aan nieuwkomers</w:t>
      </w:r>
      <w:r w:rsidR="000C2D00">
        <w:t>, liet ik tevens een tussenevaluatie uitvoeren naar de Wet tijdelijke onderwijsvoorzieningen bij massale toestroom van ontheemden uit Oekraïne</w:t>
      </w:r>
      <w:r w:rsidR="009F2A06">
        <w:t xml:space="preserve"> (hierna: Wet </w:t>
      </w:r>
      <w:proofErr w:type="spellStart"/>
      <w:r w:rsidR="009F2A06">
        <w:t>tov</w:t>
      </w:r>
      <w:proofErr w:type="spellEnd"/>
      <w:r w:rsidR="009F2A06">
        <w:t>)</w:t>
      </w:r>
      <w:r w:rsidR="000C2D00">
        <w:t xml:space="preserve"> en is</w:t>
      </w:r>
      <w:r>
        <w:t xml:space="preserve"> in samenwerking met de VNG</w:t>
      </w:r>
      <w:r w:rsidR="000C2D00">
        <w:t xml:space="preserve"> onderzoek gedaan naar de gemeentelijke kosten van onderwijs aan nieuwkomers.</w:t>
      </w:r>
      <w:r w:rsidR="00177E9D">
        <w:t xml:space="preserve"> </w:t>
      </w:r>
      <w:r>
        <w:t>Ook d</w:t>
      </w:r>
      <w:r w:rsidR="000C2D00">
        <w:t>eze rapporten treft u in de bijlagen aan.</w:t>
      </w:r>
      <w:r w:rsidR="00177E9D">
        <w:t xml:space="preserve"> </w:t>
      </w:r>
      <w:r w:rsidR="000C2D00">
        <w:t>In deze brief schets ik de conclusies uit genoemde rapporten</w:t>
      </w:r>
      <w:r w:rsidR="004E17DD">
        <w:t xml:space="preserve"> en</w:t>
      </w:r>
      <w:r w:rsidR="004C0827">
        <w:t xml:space="preserve"> geef ik mijn reactie</w:t>
      </w:r>
      <w:r w:rsidR="0034143D">
        <w:t xml:space="preserve"> hierop</w:t>
      </w:r>
      <w:r w:rsidR="004E17DD">
        <w:t xml:space="preserve">. </w:t>
      </w:r>
    </w:p>
    <w:p w:rsidR="00820DDA" w:rsidP="00CA35E4" w:rsidRDefault="00820DDA" w14:paraId="18CAC041" w14:textId="77777777"/>
    <w:p w:rsidRPr="009A66E5" w:rsidR="008D50D7" w:rsidP="008D50D7" w:rsidRDefault="008D50D7" w14:paraId="27B4D924" w14:textId="22C29A00">
      <w:pPr>
        <w:pStyle w:val="Lijstalinea"/>
        <w:numPr>
          <w:ilvl w:val="0"/>
          <w:numId w:val="16"/>
        </w:numPr>
        <w:rPr>
          <w:b/>
          <w:bCs/>
        </w:rPr>
      </w:pPr>
      <w:r w:rsidRPr="008D50D7">
        <w:rPr>
          <w:b/>
          <w:bCs/>
        </w:rPr>
        <w:t>Evaluatie Wet tijdelijke nieuwkomersvoorzieningen in het onderwijs</w:t>
      </w:r>
      <w:r w:rsidR="0084710A">
        <w:rPr>
          <w:b/>
          <w:bCs/>
        </w:rPr>
        <w:t xml:space="preserve"> (</w:t>
      </w:r>
      <w:r w:rsidR="001040ED">
        <w:rPr>
          <w:b/>
          <w:bCs/>
        </w:rPr>
        <w:t xml:space="preserve">Bijlage </w:t>
      </w:r>
      <w:r w:rsidR="0084710A">
        <w:rPr>
          <w:b/>
          <w:bCs/>
        </w:rPr>
        <w:t>1)</w:t>
      </w:r>
      <w:r w:rsidRPr="008D50D7">
        <w:rPr>
          <w:b/>
          <w:bCs/>
        </w:rPr>
        <w:t xml:space="preserve"> </w:t>
      </w:r>
    </w:p>
    <w:p w:rsidR="00D653A2" w:rsidP="008D50D7" w:rsidRDefault="00D653A2" w14:paraId="53E72F52" w14:textId="6EF29FE5">
      <w:r>
        <w:t>In</w:t>
      </w:r>
      <w:r w:rsidR="00202E8F">
        <w:t xml:space="preserve"> het Wetgevingsoverleg van 3 juli 2023 </w:t>
      </w:r>
      <w:r>
        <w:t xml:space="preserve">is </w:t>
      </w:r>
      <w:r w:rsidR="000B5286">
        <w:t>toegezegd om</w:t>
      </w:r>
      <w:r>
        <w:t xml:space="preserve"> uw Kamer</w:t>
      </w:r>
      <w:r w:rsidR="000B5286">
        <w:t xml:space="preserve"> elk jaar </w:t>
      </w:r>
      <w:r w:rsidR="00202E8F">
        <w:t>vóór</w:t>
      </w:r>
      <w:r w:rsidR="000B5286">
        <w:t xml:space="preserve"> de </w:t>
      </w:r>
      <w:r w:rsidR="00202E8F">
        <w:t>b</w:t>
      </w:r>
      <w:r w:rsidR="000B5286">
        <w:t>egrotingsbehandeling</w:t>
      </w:r>
      <w:r w:rsidR="00202E8F">
        <w:t xml:space="preserve"> van </w:t>
      </w:r>
      <w:r>
        <w:t>OCW</w:t>
      </w:r>
      <w:r w:rsidR="000B5286">
        <w:t xml:space="preserve"> te info</w:t>
      </w:r>
      <w:r>
        <w:t>r</w:t>
      </w:r>
      <w:r w:rsidR="000B5286">
        <w:t>meren over de kwantitatieve en kwalitatieve data ten aanzien van tijdelijke nieuwkomersvoorzieningen</w:t>
      </w:r>
      <w:r w:rsidR="004C5B4D">
        <w:rPr>
          <w:rStyle w:val="Voetnootmarkering"/>
        </w:rPr>
        <w:footnoteReference w:id="1"/>
      </w:r>
      <w:r w:rsidR="000B5286">
        <w:t>.</w:t>
      </w:r>
      <w:r w:rsidR="00A964CB">
        <w:t xml:space="preserve"> </w:t>
      </w:r>
      <w:r w:rsidR="00202E8F">
        <w:t xml:space="preserve">Tijdelijke nieuwkomersvoorzieningen zijn scholen waar, omdat het onderwijs anders echt </w:t>
      </w:r>
      <w:r w:rsidR="00202E8F">
        <w:lastRenderedPageBreak/>
        <w:t xml:space="preserve">niet georganiseerd kan worden, lokaal mag worden afgeweken van voorschriften die gelden met betrekking tot de bevoegdheid van personeel, de onderwijsinhoud en onderwijstijd. </w:t>
      </w:r>
    </w:p>
    <w:p w:rsidR="00D653A2" w:rsidP="008D50D7" w:rsidRDefault="00D653A2" w14:paraId="7B6E8EE7" w14:textId="77777777"/>
    <w:p w:rsidR="00D653A2" w:rsidP="00D653A2" w:rsidRDefault="00565654" w14:paraId="2E588A8E" w14:textId="53238D82">
      <w:r>
        <w:t xml:space="preserve">In deze eerste meting is zicht verkregen op de startsituatie van de Wet </w:t>
      </w:r>
      <w:r w:rsidR="0002672C">
        <w:t>tijdelijke nieuwkomersvoorzieningen in het onderwijs</w:t>
      </w:r>
      <w:r w:rsidR="00DC5BC4">
        <w:t>.</w:t>
      </w:r>
      <w:r>
        <w:t xml:space="preserve"> Bij aanvang van de Wet </w:t>
      </w:r>
      <w:proofErr w:type="spellStart"/>
      <w:r>
        <w:t>tnv</w:t>
      </w:r>
      <w:proofErr w:type="spellEnd"/>
      <w:r>
        <w:t xml:space="preserve"> </w:t>
      </w:r>
      <w:r w:rsidR="00DC5BC4">
        <w:t xml:space="preserve">(oktober 2023) </w:t>
      </w:r>
      <w:r>
        <w:t>waren de wachtlijsten</w:t>
      </w:r>
      <w:r w:rsidR="00DC5BC4">
        <w:t xml:space="preserve"> voor nieuwkomersvoorzieningen</w:t>
      </w:r>
      <w:r>
        <w:t xml:space="preserve"> </w:t>
      </w:r>
      <w:r w:rsidR="00D653A2">
        <w:t xml:space="preserve">in het onderwijs </w:t>
      </w:r>
      <w:r>
        <w:t>groot.</w:t>
      </w:r>
      <w:r w:rsidR="00DC5BC4">
        <w:t xml:space="preserve"> Dat wil zeggen dat er </w:t>
      </w:r>
      <w:r w:rsidR="00D653A2">
        <w:t>veel leerlingen</w:t>
      </w:r>
      <w:r w:rsidR="00DC5BC4">
        <w:t xml:space="preserve"> waren die geen onderwijs konden krijgen vanwege beperkte capaciteit.</w:t>
      </w:r>
      <w:r w:rsidR="004C5B4D">
        <w:t xml:space="preserve"> </w:t>
      </w:r>
      <w:r w:rsidR="00447868">
        <w:t>Als er in een gemeente meer nieuwkomers worden opgevangen, betekent dit ook dat er meer leraren nodig zijn.</w:t>
      </w:r>
      <w:r w:rsidR="004C5B4D">
        <w:t xml:space="preserve"> Het lerarentekort is een breder probleem, </w:t>
      </w:r>
      <w:r w:rsidR="008E731D">
        <w:t xml:space="preserve">en het is dan ook niet </w:t>
      </w:r>
      <w:r w:rsidR="00E16C4C">
        <w:t xml:space="preserve">vreemd </w:t>
      </w:r>
      <w:r w:rsidR="008E731D">
        <w:t xml:space="preserve">dat </w:t>
      </w:r>
      <w:r w:rsidR="009475C1">
        <w:t>dit</w:t>
      </w:r>
      <w:r w:rsidR="004C5B4D">
        <w:t xml:space="preserve"> ook </w:t>
      </w:r>
      <w:r w:rsidR="00447868">
        <w:t>doorwerkt in het onderwijs aan nieuwkomers</w:t>
      </w:r>
      <w:r w:rsidR="004C5B4D">
        <w:t>.</w:t>
      </w:r>
      <w:r>
        <w:t xml:space="preserve"> Met</w:t>
      </w:r>
      <w:r w:rsidR="008E731D">
        <w:t xml:space="preserve"> de</w:t>
      </w:r>
      <w:r>
        <w:t xml:space="preserve"> invoering van de Wet </w:t>
      </w:r>
      <w:proofErr w:type="spellStart"/>
      <w:r w:rsidR="004B356B">
        <w:t>tnv</w:t>
      </w:r>
      <w:proofErr w:type="spellEnd"/>
      <w:r w:rsidR="004B356B">
        <w:t xml:space="preserve"> </w:t>
      </w:r>
      <w:r>
        <w:t xml:space="preserve">zouden scholen toch een onderwijsaanbod kunnen realiseren voor nieuwkomersleerlingen die op een wachtlijst stonden. </w:t>
      </w:r>
      <w:r w:rsidR="00D653A2">
        <w:t xml:space="preserve">Het onderzoek laat zien dat er nog steeds sprake is van wachtlijsten voor leerplichtige nieuwkomers, zowel in het primair onderwijs als in het voortgezet onderwijs. De wachtlijsten in het voortgezet onderwijs zijn groter dan in het primair onderwijs. Er zijn echter een stuk minder </w:t>
      </w:r>
      <w:proofErr w:type="spellStart"/>
      <w:r w:rsidR="00D653A2">
        <w:t>tnv’s</w:t>
      </w:r>
      <w:proofErr w:type="spellEnd"/>
      <w:r w:rsidR="00D653A2">
        <w:t xml:space="preserve"> opgericht dan men gezien de wachtlijsten zou verwachten. In de periode van oktober 2023 tot juli 2024 zijn er 5 </w:t>
      </w:r>
      <w:proofErr w:type="spellStart"/>
      <w:r w:rsidR="00D653A2">
        <w:t>tnv’s</w:t>
      </w:r>
      <w:proofErr w:type="spellEnd"/>
      <w:r w:rsidR="00D653A2">
        <w:t xml:space="preserve"> gestart, waarvan 4 gericht op het voortgezet onderwijs. Een tekort aan personeel en onderwijshuisvesting speelt hierin een rol. In 20% van de gemeenten die hebben deelgenomen aan het onderzoek is of wordt gesproken over het mogelijk oprichten van een </w:t>
      </w:r>
      <w:proofErr w:type="spellStart"/>
      <w:r w:rsidR="00D653A2">
        <w:t>tnv</w:t>
      </w:r>
      <w:proofErr w:type="spellEnd"/>
      <w:r w:rsidR="00D653A2">
        <w:t>.</w:t>
      </w:r>
    </w:p>
    <w:p w:rsidR="00D653A2" w:rsidP="008D50D7" w:rsidRDefault="00D653A2" w14:paraId="63D8027C" w14:textId="77777777"/>
    <w:p w:rsidR="00526050" w:rsidP="008D50D7" w:rsidRDefault="009625B6" w14:paraId="1D063957" w14:textId="46AB6E0E">
      <w:r>
        <w:t>De Wet</w:t>
      </w:r>
      <w:r w:rsidR="005C7585">
        <w:t xml:space="preserve"> </w:t>
      </w:r>
      <w:proofErr w:type="spellStart"/>
      <w:r w:rsidR="00565654">
        <w:t>tnv</w:t>
      </w:r>
      <w:proofErr w:type="spellEnd"/>
      <w:r w:rsidR="00565654">
        <w:t xml:space="preserve"> </w:t>
      </w:r>
      <w:r w:rsidR="005C7585">
        <w:t xml:space="preserve">regelt </w:t>
      </w:r>
      <w:r w:rsidR="00202E8F">
        <w:t xml:space="preserve">daarnaast </w:t>
      </w:r>
      <w:r w:rsidR="00B737D0">
        <w:t>een</w:t>
      </w:r>
      <w:r w:rsidR="005C7585">
        <w:t xml:space="preserve"> overlegplicht tussen gemeenten en schoolbesturen en de mogelijkheid om een </w:t>
      </w:r>
      <w:proofErr w:type="spellStart"/>
      <w:r w:rsidR="005C7585">
        <w:t>tnv</w:t>
      </w:r>
      <w:proofErr w:type="spellEnd"/>
      <w:r w:rsidR="005C7585">
        <w:t xml:space="preserve"> op te richten.</w:t>
      </w:r>
      <w:r w:rsidR="00B77CF6">
        <w:t xml:space="preserve"> </w:t>
      </w:r>
      <w:r w:rsidR="009A66E5">
        <w:t>Op</w:t>
      </w:r>
      <w:r w:rsidR="00B737D0">
        <w:t xml:space="preserve"> het</w:t>
      </w:r>
      <w:r w:rsidR="009A66E5">
        <w:t xml:space="preserve"> gebied van de overlegplicht laat het onderzoek zien dat veel </w:t>
      </w:r>
      <w:r w:rsidR="00B77CF6">
        <w:t>gemeenten en schoolbesturen al overleg voeren rondom</w:t>
      </w:r>
      <w:r w:rsidR="009A66E5">
        <w:t xml:space="preserve"> de organisatie van</w:t>
      </w:r>
      <w:r w:rsidR="00D653A2">
        <w:t xml:space="preserve"> het</w:t>
      </w:r>
      <w:r w:rsidR="009A66E5">
        <w:t xml:space="preserve"> nieuwkomers</w:t>
      </w:r>
      <w:r w:rsidR="00B737D0">
        <w:t>onderwijs</w:t>
      </w:r>
      <w:r w:rsidR="009A66E5">
        <w:t xml:space="preserve">. </w:t>
      </w:r>
      <w:r w:rsidRPr="009A66E5" w:rsidR="009A66E5">
        <w:t xml:space="preserve">Van de responderende gemeenten is 85% op de hoogte van de overlegplicht. Omdat we vermoeden dat gemeenten die actief zijn rondom nieuwkomersonderwijs vaker hebben </w:t>
      </w:r>
      <w:r w:rsidR="00202E8F">
        <w:t>geantwoord op de vragenlijst</w:t>
      </w:r>
      <w:r w:rsidRPr="009A66E5" w:rsidR="009A66E5">
        <w:t>, kan het zijn dat dit percentage lager is voor alle gemeenten in Nederland. Schoolbesturen zijn minder vaak op de hoogte</w:t>
      </w:r>
      <w:r w:rsidR="00D653A2">
        <w:t xml:space="preserve"> van deze wettelijke verplichting</w:t>
      </w:r>
      <w:r w:rsidR="009A66E5">
        <w:t>.</w:t>
      </w:r>
      <w:r w:rsidRPr="009A66E5" w:rsidR="009A66E5">
        <w:t xml:space="preserve"> </w:t>
      </w:r>
      <w:r w:rsidR="00D653A2">
        <w:t>Bovendien schrijft d</w:t>
      </w:r>
      <w:r w:rsidR="00631341">
        <w:t xml:space="preserve">e Wet </w:t>
      </w:r>
      <w:proofErr w:type="spellStart"/>
      <w:r w:rsidR="00631341">
        <w:t>tnv</w:t>
      </w:r>
      <w:proofErr w:type="spellEnd"/>
      <w:r w:rsidR="00631341">
        <w:t xml:space="preserve"> </w:t>
      </w:r>
      <w:r w:rsidRPr="009A66E5" w:rsidR="009A66E5">
        <w:t xml:space="preserve">schrijft voor dat gemeenten met </w:t>
      </w:r>
      <w:r w:rsidR="00D653A2">
        <w:t>á</w:t>
      </w:r>
      <w:r w:rsidRPr="009A66E5" w:rsidR="009A66E5">
        <w:t xml:space="preserve">lle schoolbesturen in de gemeente overleg </w:t>
      </w:r>
      <w:r w:rsidR="00631341">
        <w:t>voeren</w:t>
      </w:r>
      <w:r w:rsidRPr="009A66E5" w:rsidR="009A66E5">
        <w:t>. Dat gebeurt in de meerderheid van de gevallen nog niet: schoolbesturen die geen nieuwkomersvoorziening hebben, zijn minder vaak betrokken bij het overleg.</w:t>
      </w:r>
      <w:r w:rsidR="00F51C92">
        <w:t xml:space="preserve"> </w:t>
      </w:r>
    </w:p>
    <w:p w:rsidR="00870BA1" w:rsidP="008D50D7" w:rsidRDefault="00870BA1" w14:paraId="6D6296F2" w14:textId="406B0F40"/>
    <w:p w:rsidR="00C92A9D" w:rsidP="008D50D7" w:rsidRDefault="00177E9D" w14:paraId="72C29C90" w14:textId="3827F57A">
      <w:r>
        <w:t>In het volgende rapport</w:t>
      </w:r>
      <w:r w:rsidR="00B77CF6">
        <w:t xml:space="preserve"> (najaar 2025)</w:t>
      </w:r>
      <w:r>
        <w:t xml:space="preserve"> wordt aandacht besteed aan ervaring met de oprichting en uitvoering van de </w:t>
      </w:r>
      <w:proofErr w:type="spellStart"/>
      <w:r>
        <w:t>tnv’s</w:t>
      </w:r>
      <w:proofErr w:type="spellEnd"/>
      <w:r>
        <w:t xml:space="preserve"> en worden de bevindingen uit deze nulmeting getoetst. </w:t>
      </w:r>
      <w:r w:rsidR="00526050">
        <w:t xml:space="preserve">Aangezien dit de nulmeting is en het eerste tussenrapport (van in totaal 3 rapporten) wacht ik de bevindingen en resultaten af van de volgende rapportages voor eventuele acties.  </w:t>
      </w:r>
    </w:p>
    <w:p w:rsidR="00E04F2C" w:rsidP="008D50D7" w:rsidRDefault="00E04F2C" w14:paraId="5FCD6353" w14:textId="77777777"/>
    <w:p w:rsidRPr="002146D7" w:rsidR="009F2A06" w:rsidP="008D50D7" w:rsidRDefault="00133AD6" w14:paraId="7F36FA49" w14:textId="31505503">
      <w:pPr>
        <w:pStyle w:val="Lijstalinea"/>
        <w:numPr>
          <w:ilvl w:val="0"/>
          <w:numId w:val="16"/>
        </w:numPr>
        <w:rPr>
          <w:b/>
          <w:bCs/>
        </w:rPr>
      </w:pPr>
      <w:r>
        <w:rPr>
          <w:b/>
          <w:bCs/>
        </w:rPr>
        <w:t xml:space="preserve"> Evaluatie Wet tijdelijke onderwijsvoorziening bij massale toes</w:t>
      </w:r>
      <w:r w:rsidR="004F1D71">
        <w:rPr>
          <w:b/>
          <w:bCs/>
        </w:rPr>
        <w:t>t</w:t>
      </w:r>
      <w:r>
        <w:rPr>
          <w:b/>
          <w:bCs/>
        </w:rPr>
        <w:t>room van ontheemden</w:t>
      </w:r>
      <w:r w:rsidR="001040ED">
        <w:rPr>
          <w:b/>
          <w:bCs/>
        </w:rPr>
        <w:t xml:space="preserve"> </w:t>
      </w:r>
      <w:r w:rsidRPr="00C92A9D" w:rsidR="00C92A9D">
        <w:rPr>
          <w:b/>
          <w:bCs/>
        </w:rPr>
        <w:t>(</w:t>
      </w:r>
      <w:r w:rsidR="001040ED">
        <w:rPr>
          <w:b/>
          <w:bCs/>
        </w:rPr>
        <w:t xml:space="preserve">Bijlage </w:t>
      </w:r>
      <w:r w:rsidR="00C92A9D">
        <w:rPr>
          <w:b/>
          <w:bCs/>
        </w:rPr>
        <w:t>2</w:t>
      </w:r>
      <w:r w:rsidRPr="00C92A9D" w:rsidR="00C92A9D">
        <w:rPr>
          <w:b/>
          <w:bCs/>
        </w:rPr>
        <w:t>)</w:t>
      </w:r>
    </w:p>
    <w:p w:rsidR="00C92A9D" w:rsidP="008D50D7" w:rsidRDefault="00D653A2" w14:paraId="1DE2DB64" w14:textId="3C98BD55">
      <w:r>
        <w:t>Bijgevoegd vindt u ook</w:t>
      </w:r>
      <w:r w:rsidRPr="00C92A9D" w:rsidR="00C92A9D">
        <w:t xml:space="preserve"> het tweede </w:t>
      </w:r>
      <w:r w:rsidR="008E4458">
        <w:t>tussen</w:t>
      </w:r>
      <w:r w:rsidRPr="00C92A9D" w:rsidR="00C92A9D">
        <w:t xml:space="preserve">rapport over de situatie rondom Oekraïense kinderen </w:t>
      </w:r>
      <w:r w:rsidR="001040ED">
        <w:t xml:space="preserve">en jongeren </w:t>
      </w:r>
      <w:r w:rsidRPr="00C92A9D" w:rsidR="00C92A9D">
        <w:t>in het primair en voortgezet onderwijs</w:t>
      </w:r>
      <w:r w:rsidR="001040ED">
        <w:t xml:space="preserve"> (hierna: po en vo)</w:t>
      </w:r>
      <w:r w:rsidR="00C92A9D">
        <w:t xml:space="preserve">. </w:t>
      </w:r>
      <w:r w:rsidR="00202E8F">
        <w:t>Dit onderzoek is</w:t>
      </w:r>
      <w:r w:rsidRPr="00C92A9D" w:rsidR="00C92A9D">
        <w:t xml:space="preserve"> een evaluatie van de Wet tijdelijke onderwijsvoorzieningen bij de massale toestroom van ontheemden, waardoor schoolbesturen een tijdelijke onderwijsvoorziening (</w:t>
      </w:r>
      <w:r w:rsidR="00246E3C">
        <w:t xml:space="preserve">hierna: </w:t>
      </w:r>
      <w:proofErr w:type="spellStart"/>
      <w:r w:rsidRPr="00C92A9D" w:rsidR="00C92A9D">
        <w:t>tov</w:t>
      </w:r>
      <w:proofErr w:type="spellEnd"/>
      <w:r w:rsidRPr="00C92A9D" w:rsidR="00C92A9D">
        <w:t xml:space="preserve">) konden inrichten om de Oekraïense </w:t>
      </w:r>
      <w:r w:rsidR="001040ED">
        <w:t xml:space="preserve">leerlingen </w:t>
      </w:r>
      <w:r w:rsidRPr="00C92A9D" w:rsidR="00C92A9D">
        <w:t>les te geven</w:t>
      </w:r>
      <w:r w:rsidR="00CF3C4B">
        <w:t>.</w:t>
      </w:r>
      <w:r w:rsidR="006C43EE">
        <w:t xml:space="preserve"> Deze wet was van </w:t>
      </w:r>
      <w:r w:rsidR="00AC02E5">
        <w:t>juli</w:t>
      </w:r>
      <w:r w:rsidR="006C43EE">
        <w:t xml:space="preserve"> 2022 tot</w:t>
      </w:r>
      <w:r w:rsidR="00AC02E5">
        <w:t xml:space="preserve"> </w:t>
      </w:r>
      <w:r w:rsidR="006C43EE">
        <w:t>augustus 2024 van kracht.</w:t>
      </w:r>
      <w:r w:rsidR="008E4458">
        <w:t xml:space="preserve"> </w:t>
      </w:r>
      <w:r>
        <w:t>Er is nu onderzoek gedaan naar</w:t>
      </w:r>
      <w:r w:rsidRPr="00C92A9D" w:rsidR="00C92A9D">
        <w:t xml:space="preserve"> de uitfasering van de </w:t>
      </w:r>
      <w:proofErr w:type="spellStart"/>
      <w:r w:rsidRPr="00C92A9D" w:rsidR="00C92A9D">
        <w:lastRenderedPageBreak/>
        <w:t>tov</w:t>
      </w:r>
      <w:r w:rsidR="00B737D0">
        <w:t>’</w:t>
      </w:r>
      <w:r w:rsidRPr="00C92A9D" w:rsidR="00C92A9D">
        <w:t>s</w:t>
      </w:r>
      <w:proofErr w:type="spellEnd"/>
      <w:r w:rsidRPr="00C92A9D" w:rsidR="00C92A9D">
        <w:t>, de doorstroom van leerlingen naar het regulier onderwijs</w:t>
      </w:r>
      <w:r>
        <w:t xml:space="preserve"> en</w:t>
      </w:r>
      <w:r w:rsidR="001040ED">
        <w:t xml:space="preserve"> </w:t>
      </w:r>
      <w:r w:rsidRPr="00C92A9D" w:rsidR="00C92A9D">
        <w:t>de toegankelijkheid van het</w:t>
      </w:r>
      <w:r>
        <w:t xml:space="preserve"> reguliere</w:t>
      </w:r>
      <w:r w:rsidRPr="00C92A9D" w:rsidR="00C92A9D">
        <w:t xml:space="preserve"> onderwijs.</w:t>
      </w:r>
    </w:p>
    <w:p w:rsidR="0084710A" w:rsidP="008D50D7" w:rsidRDefault="0084710A" w14:paraId="7B6F54D1" w14:textId="77777777"/>
    <w:p w:rsidR="0084710A" w:rsidP="008D50D7" w:rsidRDefault="00246E3C" w14:paraId="2154A0F2" w14:textId="69FC20BA">
      <w:r>
        <w:t xml:space="preserve">Het onderzoek laat </w:t>
      </w:r>
      <w:r w:rsidR="00EC7E53">
        <w:t xml:space="preserve">zien </w:t>
      </w:r>
      <w:r w:rsidR="004F6A10">
        <w:t>dat de</w:t>
      </w:r>
      <w:r w:rsidR="00D653A2">
        <w:t xml:space="preserve"> schoolbesturen met behulp van de</w:t>
      </w:r>
      <w:r w:rsidR="004F6A10">
        <w:t xml:space="preserve"> </w:t>
      </w:r>
      <w:proofErr w:type="spellStart"/>
      <w:r w:rsidR="004F6A10">
        <w:t>tov</w:t>
      </w:r>
      <w:r w:rsidR="00B737D0">
        <w:t>’</w:t>
      </w:r>
      <w:r w:rsidR="004F6A10">
        <w:t>s</w:t>
      </w:r>
      <w:proofErr w:type="spellEnd"/>
      <w:r w:rsidR="004F6A10">
        <w:t xml:space="preserve"> </w:t>
      </w:r>
      <w:r w:rsidR="001040ED">
        <w:t xml:space="preserve">inderdaad de onderwijscapaciteit hebben kunnen opschalen. Als bijeffect wordt ook genoemd dat een aantal voormalige </w:t>
      </w:r>
      <w:proofErr w:type="spellStart"/>
      <w:r w:rsidR="001040ED">
        <w:t>tov</w:t>
      </w:r>
      <w:r w:rsidR="00B737D0">
        <w:t>’</w:t>
      </w:r>
      <w:r w:rsidR="006B0BD2">
        <w:t>s</w:t>
      </w:r>
      <w:proofErr w:type="spellEnd"/>
      <w:r w:rsidR="001040ED">
        <w:t xml:space="preserve"> </w:t>
      </w:r>
      <w:proofErr w:type="spellStart"/>
      <w:r w:rsidR="001040ED">
        <w:t>doorontwikkelen</w:t>
      </w:r>
      <w:proofErr w:type="spellEnd"/>
      <w:r w:rsidR="001040ED">
        <w:t xml:space="preserve"> naar een reguliere vorm van (nieuwkomers)onderwijs</w:t>
      </w:r>
      <w:r w:rsidR="004F6A10">
        <w:t xml:space="preserve">. </w:t>
      </w:r>
      <w:r>
        <w:t>Steeds meer</w:t>
      </w:r>
      <w:r w:rsidRPr="00246E3C">
        <w:t xml:space="preserve"> Oekraïense leerlingen </w:t>
      </w:r>
      <w:r>
        <w:t>stromen door</w:t>
      </w:r>
      <w:r w:rsidRPr="00246E3C">
        <w:t xml:space="preserve"> naar regulier onderwijs, </w:t>
      </w:r>
      <w:r w:rsidR="001040ED">
        <w:t xml:space="preserve">waarbij de doorstroom sneller verloopt voor leerlingen in </w:t>
      </w:r>
      <w:r w:rsidR="00B737D0">
        <w:t>d</w:t>
      </w:r>
      <w:r w:rsidR="001040ED">
        <w:t>e po-leeftijd</w:t>
      </w:r>
      <w:r w:rsidRPr="00246E3C">
        <w:t xml:space="preserve">. In het vo </w:t>
      </w:r>
      <w:r w:rsidR="001040ED">
        <w:t xml:space="preserve">geven schoolbesturen aan dat </w:t>
      </w:r>
      <w:r w:rsidRPr="00246E3C">
        <w:t xml:space="preserve">veel Oekraïense leerlingen </w:t>
      </w:r>
      <w:r w:rsidR="001040ED">
        <w:t>langer les in de Nederlandse taal nodig hebbe</w:t>
      </w:r>
      <w:r w:rsidR="006B0BD2">
        <w:t>n</w:t>
      </w:r>
      <w:r w:rsidRPr="00246E3C">
        <w:t>.</w:t>
      </w:r>
      <w:r w:rsidR="009804C0">
        <w:t xml:space="preserve"> Dit komt omdat ze vaak nog een taalachterstand hebben en na de doorstroom nog bijscholing nodig hebben. </w:t>
      </w:r>
      <w:r w:rsidRPr="00246E3C">
        <w:t>Veel betrokkenen zijn bezorgd over doorstroom ‘onder niveau’: de onderwijsplek is passend bij het beheersingsniveau van de Nederlandse taal, maar sluit niet</w:t>
      </w:r>
      <w:r w:rsidR="001040ED">
        <w:t xml:space="preserve"> altijd voldoende</w:t>
      </w:r>
      <w:r w:rsidRPr="00246E3C">
        <w:t xml:space="preserve"> aan bij de cognitieve mogelijkheden van de leerling. </w:t>
      </w:r>
    </w:p>
    <w:p w:rsidR="00D25A0D" w:rsidP="008D50D7" w:rsidRDefault="00D25A0D" w14:paraId="567879DC" w14:textId="77777777"/>
    <w:p w:rsidRPr="008D50D7" w:rsidR="004F6A10" w:rsidP="008D50D7" w:rsidRDefault="00372261" w14:paraId="1DC629B3" w14:textId="43097683">
      <w:r>
        <w:t xml:space="preserve">In het eindrapport van 2025 wordt een totaalbeeld gegeven over de geleerde lessen met betrekking tot de </w:t>
      </w:r>
      <w:proofErr w:type="spellStart"/>
      <w:r>
        <w:t>tov</w:t>
      </w:r>
      <w:r w:rsidR="00B737D0">
        <w:t>’</w:t>
      </w:r>
      <w:r>
        <w:t>s</w:t>
      </w:r>
      <w:proofErr w:type="spellEnd"/>
      <w:r>
        <w:t xml:space="preserve">, de </w:t>
      </w:r>
      <w:r w:rsidR="00B737D0">
        <w:t>wet</w:t>
      </w:r>
      <w:r>
        <w:t xml:space="preserve"> en </w:t>
      </w:r>
      <w:r w:rsidR="001040ED">
        <w:t xml:space="preserve">het onderwijs aan </w:t>
      </w:r>
      <w:r>
        <w:t xml:space="preserve">Oekraïense leerlingen. </w:t>
      </w:r>
      <w:r w:rsidR="001040ED">
        <w:t xml:space="preserve">Er zal ook aandacht worden besteed aan </w:t>
      </w:r>
      <w:r>
        <w:t>de uiteindelijke positie in het onderwijs en samenleving</w:t>
      </w:r>
      <w:r w:rsidR="00B737D0">
        <w:t>,</w:t>
      </w:r>
      <w:r>
        <w:t xml:space="preserve"> en het welzijn van Oekraïense leerlingen.</w:t>
      </w:r>
      <w:r w:rsidR="0053001C">
        <w:t xml:space="preserve"> Een breder</w:t>
      </w:r>
      <w:r w:rsidR="00384A04">
        <w:t>e</w:t>
      </w:r>
      <w:r w:rsidR="0053001C">
        <w:t xml:space="preserve"> inhoudelijke beleidsreactie op het onderzoek volgt </w:t>
      </w:r>
      <w:r w:rsidR="00926A08">
        <w:t>na het eindrapport.</w:t>
      </w:r>
      <w:r w:rsidR="0053001C">
        <w:t xml:space="preserve"> </w:t>
      </w:r>
    </w:p>
    <w:p w:rsidR="007851C4" w:rsidP="00CA35E4" w:rsidRDefault="007851C4" w14:paraId="353E42D9" w14:textId="617F6042"/>
    <w:p w:rsidR="00FF6919" w:rsidP="00FF6919" w:rsidRDefault="0060235C" w14:paraId="21A13099" w14:textId="31CF3AA3">
      <w:r>
        <w:rPr>
          <w:b/>
          <w:bCs/>
        </w:rPr>
        <w:t xml:space="preserve">3. </w:t>
      </w:r>
      <w:r w:rsidRPr="00B124E2" w:rsidR="004E4F0E">
        <w:rPr>
          <w:b/>
          <w:bCs/>
        </w:rPr>
        <w:t xml:space="preserve">Onderzoek </w:t>
      </w:r>
      <w:r>
        <w:rPr>
          <w:b/>
          <w:bCs/>
        </w:rPr>
        <w:t>g</w:t>
      </w:r>
      <w:r w:rsidRPr="00B124E2" w:rsidR="004E4F0E">
        <w:rPr>
          <w:b/>
          <w:bCs/>
        </w:rPr>
        <w:t>emeentelijke kosten nieuwkomersonderwijs</w:t>
      </w:r>
      <w:r w:rsidRPr="00B124E2" w:rsidR="00F42533">
        <w:rPr>
          <w:b/>
          <w:bCs/>
        </w:rPr>
        <w:t xml:space="preserve"> (bijlage 3)</w:t>
      </w:r>
    </w:p>
    <w:p w:rsidR="004E4F0E" w:rsidP="00FF6919" w:rsidRDefault="004E4F0E" w14:paraId="68ADB952" w14:textId="4ADAA4AD">
      <w:r>
        <w:t>Schoolbesturen organiseren onderwijs aan nieuwkomers, maar staan daarin niet alleen. Er ligt ook een verantwoordelijkheid bij de gemeente</w:t>
      </w:r>
      <w:r w:rsidR="004E17DD">
        <w:t xml:space="preserve">, bijvoorbeeld voor onderwijshuisvesting en de </w:t>
      </w:r>
      <w:r w:rsidR="00D653A2">
        <w:t xml:space="preserve">eerder genoemde </w:t>
      </w:r>
      <w:r w:rsidR="004E17DD">
        <w:t>jaarlijkse overlegplicht</w:t>
      </w:r>
      <w:r>
        <w:t xml:space="preserve">. Om de kosten die </w:t>
      </w:r>
      <w:r w:rsidR="00B11251">
        <w:t>gemeenten</w:t>
      </w:r>
      <w:r>
        <w:t xml:space="preserve"> maken voor het uitvoeren van hun wettelijke taken in beeld te krijgen, heb ik met de VNG een onderzoek laten uitvoeren. In het onderzoek zijn de activiteiten van gemeenten</w:t>
      </w:r>
      <w:r w:rsidR="00B11251">
        <w:t xml:space="preserve"> voor nieuwkomersonderwijs</w:t>
      </w:r>
      <w:r>
        <w:t xml:space="preserve"> in kaart gebracht en is een uitvraag gedaan naar de kosten voor de verschillende taken. Op basis daarvan zijn de landelijke kosten</w:t>
      </w:r>
      <w:r w:rsidR="009804C0">
        <w:t xml:space="preserve"> (de kosten van alle gemeenten bij elkaar)</w:t>
      </w:r>
      <w:r>
        <w:t xml:space="preserve"> en de gemiddelde kosten per leerling geschat. </w:t>
      </w:r>
    </w:p>
    <w:p w:rsidR="004E4F0E" w:rsidP="004E4F0E" w:rsidRDefault="004E4F0E" w14:paraId="6BAB7F70" w14:textId="77777777"/>
    <w:p w:rsidR="009F2A06" w:rsidP="004E4F0E" w:rsidRDefault="004E4F0E" w14:paraId="49B1F559" w14:textId="63AEB94A">
      <w:r>
        <w:t>Uit het onderzoek volgt dat er een verschil zit tussen de</w:t>
      </w:r>
      <w:r w:rsidR="00B11251">
        <w:t xml:space="preserve"> door gemeenten</w:t>
      </w:r>
      <w:r>
        <w:t xml:space="preserve"> gemaakte kosten en de middelen die </w:t>
      </w:r>
      <w:r w:rsidR="00B11251">
        <w:t xml:space="preserve">zij </w:t>
      </w:r>
      <w:r>
        <w:t>specifiek voor nieuwkomersonderwijs</w:t>
      </w:r>
      <w:r w:rsidR="00357F85">
        <w:t xml:space="preserve"> </w:t>
      </w:r>
      <w:r w:rsidR="00B11251">
        <w:t>ontvangen</w:t>
      </w:r>
      <w:r>
        <w:t>. Dat verschil fluctueert, maar was in 2023 hoger dan in 2022 en 2019. Daarbij geldt dat gemeenten naast specifieke middelen hun taken voor nieuwkomersonderwijs ook kunnen financieren met generieke middelen, zoals de uitkering uit het gemeentefonds</w:t>
      </w:r>
      <w:r w:rsidR="00202E8F">
        <w:t xml:space="preserve"> voor bijvoorbeeld onderwijshuisvesting</w:t>
      </w:r>
      <w:r>
        <w:t xml:space="preserve">. Zulke middelen zijn in het onderzoek buiten beschouwing gelaten. </w:t>
      </w:r>
      <w:r w:rsidR="001F2575">
        <w:t xml:space="preserve">Bovendien bestaan er grote verschillen in de kosten voor nieuwkomersonderwijs tussen gemeenten. </w:t>
      </w:r>
      <w:r>
        <w:t>Het is daarom niet mogelijk om te concluderen dat sprake is van een tekort.</w:t>
      </w:r>
      <w:r w:rsidR="00FF6919">
        <w:t xml:space="preserve"> </w:t>
      </w:r>
      <w:r w:rsidR="00DF0AEE">
        <w:t xml:space="preserve">De </w:t>
      </w:r>
      <w:r w:rsidR="00FF6919">
        <w:t xml:space="preserve">VNG stelt dat </w:t>
      </w:r>
      <w:r w:rsidRPr="00DF0AEE" w:rsidR="00DF0AEE">
        <w:t>gemeente</w:t>
      </w:r>
      <w:r w:rsidR="00FF6919">
        <w:t>n</w:t>
      </w:r>
      <w:r w:rsidRPr="00DF0AEE" w:rsidR="00DF0AEE">
        <w:t xml:space="preserve"> voor de keuze</w:t>
      </w:r>
      <w:r w:rsidR="00FF6919">
        <w:t xml:space="preserve"> staan</w:t>
      </w:r>
      <w:r w:rsidRPr="00DF0AEE" w:rsidR="00DF0AEE">
        <w:t xml:space="preserve"> welke prioriteiten ze vanuit het gemeentefonds moeten betalen en welke prioriteit het organiseren van nieuwkomersonderwijs is. </w:t>
      </w:r>
    </w:p>
    <w:p w:rsidR="009F2A06" w:rsidP="004E4F0E" w:rsidRDefault="009F2A06" w14:paraId="3C9B11DC" w14:textId="77777777"/>
    <w:p w:rsidR="007851C4" w:rsidP="004E4F0E" w:rsidRDefault="004E4F0E" w14:paraId="30975261" w14:textId="435F6FDD">
      <w:r>
        <w:t xml:space="preserve">Ik zie dat </w:t>
      </w:r>
      <w:r w:rsidR="00FF6919">
        <w:t xml:space="preserve">gemeenten voor een uitdaging staan en dat bijvoorbeeld </w:t>
      </w:r>
      <w:r>
        <w:t xml:space="preserve">het organiseren van </w:t>
      </w:r>
      <w:r w:rsidR="00B737D0">
        <w:t xml:space="preserve">onderwijshuisvesting voor </w:t>
      </w:r>
      <w:r>
        <w:t>nieuwkomersonderwijs knelpunten met zich mee</w:t>
      </w:r>
      <w:r w:rsidR="00B737D0">
        <w:t xml:space="preserve"> kan brengen</w:t>
      </w:r>
      <w:r>
        <w:t xml:space="preserve">, bijvoorbeeld vanwege de onvoorspelbaarheid van nieuwe groepen </w:t>
      </w:r>
      <w:r w:rsidR="00B737D0">
        <w:t>nieuwkomers</w:t>
      </w:r>
      <w:r>
        <w:t>. Ik neem dit signaal serieus. Op dit moment werk ik aan een toekomstvisie op het nieuwkomersonderwijs. Daarin is ook aandacht voor de regionale samenwerking</w:t>
      </w:r>
      <w:r w:rsidR="00B737D0">
        <w:t>.</w:t>
      </w:r>
      <w:r>
        <w:t xml:space="preserve"> Tegelijkertijd wil ik de oproep doen aan gemeenten </w:t>
      </w:r>
      <w:r>
        <w:lastRenderedPageBreak/>
        <w:t xml:space="preserve">om </w:t>
      </w:r>
      <w:r w:rsidR="004E17DD">
        <w:t xml:space="preserve">elkaar </w:t>
      </w:r>
      <w:r>
        <w:t xml:space="preserve">onderling zo goed mogelijk </w:t>
      </w:r>
      <w:r w:rsidR="004E17DD">
        <w:t>te ondersteunen</w:t>
      </w:r>
      <w:r>
        <w:t xml:space="preserve">, bijvoorbeeld </w:t>
      </w:r>
      <w:r w:rsidR="00202E8F">
        <w:t>wanneer</w:t>
      </w:r>
      <w:r>
        <w:t xml:space="preserve"> een gemeente nieuwkomersonderwijs organiseert voor kinderen uit de omliggende gemeenten. </w:t>
      </w:r>
    </w:p>
    <w:p w:rsidR="004A5F72" w:rsidP="004E4F0E" w:rsidRDefault="004A5F72" w14:paraId="55ECF29D" w14:textId="77777777"/>
    <w:p w:rsidR="004E17DD" w:rsidP="004A5F72" w:rsidRDefault="004E17DD" w14:paraId="779EBF18" w14:textId="75959D07">
      <w:r>
        <w:rPr>
          <w:b/>
          <w:bCs/>
        </w:rPr>
        <w:t>Tot slot</w:t>
      </w:r>
    </w:p>
    <w:p w:rsidR="00693936" w:rsidP="00E81E52" w:rsidRDefault="004E17DD" w14:paraId="12978BAD" w14:textId="57E0CBFF">
      <w:r>
        <w:t xml:space="preserve">Zoals ik uw Kamer eerder heb gemeld </w:t>
      </w:r>
      <w:r w:rsidR="00B11251">
        <w:t xml:space="preserve">werk ik aan </w:t>
      </w:r>
      <w:r w:rsidR="009F2A06">
        <w:t xml:space="preserve">een toekomstverkenning om te komen tot structurele verbeteringen in het stelsel voor onderwijs aan nieuwkomers. </w:t>
      </w:r>
      <w:r>
        <w:t xml:space="preserve">Ik heb eerder toegezegd om uw Kamer later dit jaar te informeren over </w:t>
      </w:r>
      <w:r w:rsidR="009F2A06">
        <w:t xml:space="preserve">de </w:t>
      </w:r>
      <w:r w:rsidR="00FF6919">
        <w:t xml:space="preserve">voortgang </w:t>
      </w:r>
      <w:r w:rsidR="009F2A06">
        <w:t>van de toekomstverkenning</w:t>
      </w:r>
      <w:r w:rsidR="0063297D">
        <w:t xml:space="preserve"> en de voorstellen voor verbetering. </w:t>
      </w:r>
      <w:r w:rsidR="00693936">
        <w:t xml:space="preserve">Er zijn </w:t>
      </w:r>
      <w:r w:rsidR="00BD7349">
        <w:t xml:space="preserve">in de tussentijd </w:t>
      </w:r>
      <w:r w:rsidR="00693936">
        <w:t>veel gesprekken gevoerd met ouders, leerlingen en betrokkenen bij het nieuwkomersonderwijs. Samen met de experts in het onderwijs zoek</w:t>
      </w:r>
      <w:r w:rsidR="00BD7349">
        <w:t xml:space="preserve"> ik</w:t>
      </w:r>
      <w:r w:rsidR="00693936">
        <w:t xml:space="preserve"> naar de beste weg om</w:t>
      </w:r>
      <w:r w:rsidR="008E731D">
        <w:t xml:space="preserve"> die structurele verbeteringen door te kunnen voeren.</w:t>
      </w:r>
      <w:r w:rsidR="00693936">
        <w:t xml:space="preserve"> </w:t>
      </w:r>
      <w:r w:rsidR="008E731D">
        <w:t>We hebben daarbij met een context te maken waarin dat niet altijd eenvoudig</w:t>
      </w:r>
      <w:r w:rsidR="00DE15EE">
        <w:t xml:space="preserve"> is</w:t>
      </w:r>
      <w:r w:rsidR="00BD7349">
        <w:t xml:space="preserve">: scholen staan ook nu al voor een </w:t>
      </w:r>
      <w:r w:rsidR="00E16C4C">
        <w:t xml:space="preserve">behoorlijke </w:t>
      </w:r>
      <w:r w:rsidR="00BD7349">
        <w:t>uitdaging.</w:t>
      </w:r>
      <w:r w:rsidR="00693936">
        <w:t xml:space="preserve"> Het uitwerken van de toekomstverkenning vergt </w:t>
      </w:r>
      <w:r w:rsidR="008E731D">
        <w:t xml:space="preserve">dan ook </w:t>
      </w:r>
      <w:r w:rsidR="00693936">
        <w:t>meer tijd en mijn brief hierover zal daarom niet in december 2024 volgen, maar in de eerste helft van 2025.</w:t>
      </w:r>
      <w:r w:rsidDel="0067504B" w:rsidR="0067504B">
        <w:t xml:space="preserve"> </w:t>
      </w:r>
    </w:p>
    <w:p w:rsidR="00693936" w:rsidP="004A5F72" w:rsidRDefault="00693936" w14:paraId="354AA5F3" w14:textId="77777777"/>
    <w:p w:rsidR="004E4F0E" w:rsidP="00CA35E4" w:rsidRDefault="004E4F0E" w14:paraId="2A766124" w14:textId="456EB674"/>
    <w:p w:rsidR="001229F2" w:rsidP="00CA35E4" w:rsidRDefault="001229F2" w14:paraId="42973DC9" w14:textId="77777777"/>
    <w:p w:rsidR="00820DDA" w:rsidP="00CA35E4" w:rsidRDefault="00943086" w14:paraId="38401B05" w14:textId="77777777">
      <w:r>
        <w:t xml:space="preserve">De staatssecretaris </w:t>
      </w:r>
      <w:r w:rsidR="00535573">
        <w:t xml:space="preserve">van Onderwijs, </w:t>
      </w:r>
      <w:r>
        <w:t>Cultuur en</w:t>
      </w:r>
      <w:r w:rsidR="00535573">
        <w:t xml:space="preserve"> Wetenschap</w:t>
      </w:r>
      <w:r>
        <w:t>,</w:t>
      </w:r>
    </w:p>
    <w:p w:rsidR="00745AE0" w:rsidP="003A7160" w:rsidRDefault="00745AE0" w14:paraId="0E59691C" w14:textId="77777777"/>
    <w:p w:rsidR="00745AE0" w:rsidP="003A7160" w:rsidRDefault="00745AE0" w14:paraId="172205EE" w14:textId="77777777"/>
    <w:p w:rsidR="00745AE0" w:rsidP="003A7160" w:rsidRDefault="00745AE0" w14:paraId="0F4A3C21" w14:textId="77777777"/>
    <w:p w:rsidR="00745AE0" w:rsidP="003A7160" w:rsidRDefault="00745AE0" w14:paraId="2DF16819" w14:textId="77777777"/>
    <w:p w:rsidR="00C7013F" w:rsidP="003A7160" w:rsidRDefault="00943086" w14:paraId="595B4194" w14:textId="6C3C2D92">
      <w:r>
        <w:t>Mariëlle Paul</w:t>
      </w:r>
    </w:p>
    <w:p w:rsidR="00184B30" w:rsidP="00A60B58" w:rsidRDefault="00184B30" w14:paraId="1CEFA8BA" w14:textId="77777777"/>
    <w:p w:rsidR="00184B30" w:rsidP="00A60B58" w:rsidRDefault="00184B30" w14:paraId="3128B8DE" w14:textId="77777777"/>
    <w:p w:rsidRPr="00820DDA" w:rsidR="00820DDA" w:rsidP="00215964" w:rsidRDefault="00820DDA" w14:paraId="0248F990"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0DD8" w14:textId="77777777" w:rsidR="00DC691C" w:rsidRDefault="00943086">
      <w:r>
        <w:separator/>
      </w:r>
    </w:p>
    <w:p w14:paraId="7B13DA74" w14:textId="77777777" w:rsidR="00DC691C" w:rsidRDefault="00DC691C"/>
  </w:endnote>
  <w:endnote w:type="continuationSeparator" w:id="0">
    <w:p w14:paraId="64B12E52" w14:textId="77777777" w:rsidR="00DC691C" w:rsidRDefault="00943086">
      <w:r>
        <w:continuationSeparator/>
      </w:r>
    </w:p>
    <w:p w14:paraId="7C4AFC2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993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10FD4" w14:paraId="2E732A30" w14:textId="77777777" w:rsidTr="004C7E1D">
      <w:trPr>
        <w:trHeight w:hRule="exact" w:val="357"/>
      </w:trPr>
      <w:tc>
        <w:tcPr>
          <w:tcW w:w="7603" w:type="dxa"/>
          <w:shd w:val="clear" w:color="auto" w:fill="auto"/>
        </w:tcPr>
        <w:p w14:paraId="38D7668A" w14:textId="77777777" w:rsidR="002F71BB" w:rsidRPr="004C7E1D" w:rsidRDefault="002F71BB" w:rsidP="004C7E1D">
          <w:pPr>
            <w:spacing w:line="180" w:lineRule="exact"/>
            <w:rPr>
              <w:sz w:val="13"/>
              <w:szCs w:val="13"/>
            </w:rPr>
          </w:pPr>
        </w:p>
      </w:tc>
      <w:tc>
        <w:tcPr>
          <w:tcW w:w="2172" w:type="dxa"/>
          <w:shd w:val="clear" w:color="auto" w:fill="auto"/>
        </w:tcPr>
        <w:p w14:paraId="3A857F58" w14:textId="48CD4991" w:rsidR="002F71BB" w:rsidRPr="004C7E1D" w:rsidRDefault="0094308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B2A5C">
            <w:rPr>
              <w:szCs w:val="13"/>
            </w:rPr>
            <w:t>4</w:t>
          </w:r>
          <w:r w:rsidRPr="004C7E1D">
            <w:rPr>
              <w:szCs w:val="13"/>
            </w:rPr>
            <w:fldChar w:fldCharType="end"/>
          </w:r>
        </w:p>
      </w:tc>
    </w:tr>
  </w:tbl>
  <w:p w14:paraId="1326376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10FD4" w14:paraId="16275960" w14:textId="77777777" w:rsidTr="004C7E1D">
      <w:trPr>
        <w:trHeight w:hRule="exact" w:val="357"/>
      </w:trPr>
      <w:tc>
        <w:tcPr>
          <w:tcW w:w="7709" w:type="dxa"/>
          <w:shd w:val="clear" w:color="auto" w:fill="auto"/>
        </w:tcPr>
        <w:p w14:paraId="1D9B025D" w14:textId="77777777" w:rsidR="00D17084" w:rsidRPr="004C7E1D" w:rsidRDefault="00D17084" w:rsidP="004C7E1D">
          <w:pPr>
            <w:spacing w:line="180" w:lineRule="exact"/>
            <w:rPr>
              <w:sz w:val="13"/>
              <w:szCs w:val="13"/>
            </w:rPr>
          </w:pPr>
        </w:p>
      </w:tc>
      <w:tc>
        <w:tcPr>
          <w:tcW w:w="2060" w:type="dxa"/>
          <w:shd w:val="clear" w:color="auto" w:fill="auto"/>
        </w:tcPr>
        <w:p w14:paraId="5EB66401" w14:textId="4B60C4D8" w:rsidR="00D17084" w:rsidRPr="004C7E1D" w:rsidRDefault="0094308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B2A5C">
            <w:rPr>
              <w:szCs w:val="13"/>
            </w:rPr>
            <w:t>4</w:t>
          </w:r>
          <w:r w:rsidRPr="004C7E1D">
            <w:rPr>
              <w:szCs w:val="13"/>
            </w:rPr>
            <w:fldChar w:fldCharType="end"/>
          </w:r>
        </w:p>
      </w:tc>
    </w:tr>
  </w:tbl>
  <w:p w14:paraId="7E9C77A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C5C8" w14:textId="77777777" w:rsidR="00DC691C" w:rsidRDefault="00943086">
      <w:r>
        <w:separator/>
      </w:r>
    </w:p>
    <w:p w14:paraId="00A2538B" w14:textId="77777777" w:rsidR="00DC691C" w:rsidRDefault="00DC691C"/>
  </w:footnote>
  <w:footnote w:type="continuationSeparator" w:id="0">
    <w:p w14:paraId="3266CC2D" w14:textId="77777777" w:rsidR="00DC691C" w:rsidRDefault="00943086">
      <w:r>
        <w:continuationSeparator/>
      </w:r>
    </w:p>
    <w:p w14:paraId="2CB3B1F1" w14:textId="77777777" w:rsidR="00DC691C" w:rsidRDefault="00DC691C"/>
  </w:footnote>
  <w:footnote w:id="1">
    <w:p w14:paraId="4C271C47" w14:textId="7B493060" w:rsidR="004C5B4D" w:rsidRDefault="004C5B4D">
      <w:pPr>
        <w:pStyle w:val="Voetnoottekst"/>
      </w:pPr>
      <w:r>
        <w:rPr>
          <w:rStyle w:val="Voetnootmarkering"/>
        </w:rPr>
        <w:footnoteRef/>
      </w:r>
      <w:r>
        <w:t xml:space="preserve"> TZ202307-015</w:t>
      </w:r>
      <w:r w:rsidR="00447868">
        <w:t>:</w:t>
      </w:r>
      <w:r>
        <w:t xml:space="preserve"> De Tweede Kamer zal jaarlijks rondom de Begrotingsbehandeling op de hoogte worden gehouden van de monitoring van het aantal leerlingen dat gebruik maakt van de tijdelijke nieuwkomersvoorziening.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10FD4" w14:paraId="165A7721" w14:textId="77777777" w:rsidTr="006D2D53">
      <w:trPr>
        <w:trHeight w:hRule="exact" w:val="400"/>
      </w:trPr>
      <w:tc>
        <w:tcPr>
          <w:tcW w:w="7518" w:type="dxa"/>
          <w:shd w:val="clear" w:color="auto" w:fill="auto"/>
        </w:tcPr>
        <w:p w14:paraId="318A0123" w14:textId="77777777" w:rsidR="00527BD4" w:rsidRPr="00275984" w:rsidRDefault="00527BD4" w:rsidP="00BF4427">
          <w:pPr>
            <w:pStyle w:val="Huisstijl-Rubricering"/>
          </w:pPr>
        </w:p>
      </w:tc>
    </w:tr>
  </w:tbl>
  <w:p w14:paraId="2798F78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10FD4" w14:paraId="43150BA2" w14:textId="77777777" w:rsidTr="003B528D">
      <w:tc>
        <w:tcPr>
          <w:tcW w:w="2160" w:type="dxa"/>
          <w:shd w:val="clear" w:color="auto" w:fill="auto"/>
        </w:tcPr>
        <w:p w14:paraId="325D5F12" w14:textId="77777777" w:rsidR="002F71BB" w:rsidRPr="000407BB" w:rsidRDefault="00943086" w:rsidP="005D283A">
          <w:pPr>
            <w:pStyle w:val="Colofonkop"/>
            <w:framePr w:hSpace="0" w:wrap="auto" w:vAnchor="margin" w:hAnchor="text" w:xAlign="left" w:yAlign="inline"/>
          </w:pPr>
          <w:r>
            <w:t>Onze referentie</w:t>
          </w:r>
        </w:p>
      </w:tc>
    </w:tr>
    <w:tr w:rsidR="00310FD4" w14:paraId="62568E80" w14:textId="77777777" w:rsidTr="002F71BB">
      <w:trPr>
        <w:trHeight w:val="259"/>
      </w:trPr>
      <w:tc>
        <w:tcPr>
          <w:tcW w:w="2160" w:type="dxa"/>
          <w:shd w:val="clear" w:color="auto" w:fill="auto"/>
        </w:tcPr>
        <w:p w14:paraId="196C1461" w14:textId="2E832234" w:rsidR="00E35CF4" w:rsidRPr="005D283A" w:rsidRDefault="00A964CB" w:rsidP="0049501A">
          <w:pPr>
            <w:spacing w:line="180" w:lineRule="exact"/>
            <w:rPr>
              <w:sz w:val="13"/>
              <w:szCs w:val="13"/>
            </w:rPr>
          </w:pPr>
          <w:r>
            <w:rPr>
              <w:sz w:val="13"/>
              <w:szCs w:val="13"/>
            </w:rPr>
            <w:t>49250751</w:t>
          </w:r>
        </w:p>
      </w:tc>
    </w:tr>
  </w:tbl>
  <w:p w14:paraId="2DA5A65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10FD4" w14:paraId="312F530E" w14:textId="77777777" w:rsidTr="001377D4">
      <w:trPr>
        <w:trHeight w:val="2636"/>
      </w:trPr>
      <w:tc>
        <w:tcPr>
          <w:tcW w:w="737" w:type="dxa"/>
          <w:shd w:val="clear" w:color="auto" w:fill="auto"/>
        </w:tcPr>
        <w:p w14:paraId="689CDC8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4C5BAC7" w14:textId="77777777" w:rsidR="00704845" w:rsidRDefault="00943086" w:rsidP="0047126E">
          <w:pPr>
            <w:framePr w:w="3873" w:h="2625" w:hRule="exact" w:wrap="around" w:vAnchor="page" w:hAnchor="page" w:x="6323" w:y="1"/>
          </w:pPr>
          <w:r>
            <w:rPr>
              <w:noProof/>
              <w:lang w:val="en-US" w:eastAsia="en-US"/>
            </w:rPr>
            <w:drawing>
              <wp:inline distT="0" distB="0" distL="0" distR="0" wp14:anchorId="5330C55A" wp14:editId="110FF57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09B4EEB" w14:textId="77777777" w:rsidR="00483ECA" w:rsidRDefault="00483ECA" w:rsidP="00D037A9"/>
      </w:tc>
    </w:tr>
  </w:tbl>
  <w:p w14:paraId="7F92171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10FD4" w14:paraId="770E291C" w14:textId="77777777" w:rsidTr="0008539E">
      <w:trPr>
        <w:trHeight w:hRule="exact" w:val="572"/>
      </w:trPr>
      <w:tc>
        <w:tcPr>
          <w:tcW w:w="7520" w:type="dxa"/>
          <w:shd w:val="clear" w:color="auto" w:fill="auto"/>
        </w:tcPr>
        <w:p w14:paraId="228C2FB0" w14:textId="77777777" w:rsidR="00527BD4" w:rsidRPr="00963440" w:rsidRDefault="00943086" w:rsidP="00210BA3">
          <w:pPr>
            <w:pStyle w:val="Huisstijl-Adres"/>
            <w:spacing w:after="0"/>
          </w:pPr>
          <w:r w:rsidRPr="009E3B07">
            <w:t>&gt;Retouradres </w:t>
          </w:r>
          <w:r>
            <w:t>Postbus 16375 2500 BJ Den Haag</w:t>
          </w:r>
          <w:r w:rsidRPr="009E3B07">
            <w:t xml:space="preserve"> </w:t>
          </w:r>
        </w:p>
      </w:tc>
    </w:tr>
    <w:tr w:rsidR="00310FD4" w14:paraId="7F49DC50" w14:textId="77777777" w:rsidTr="00E776C6">
      <w:trPr>
        <w:cantSplit/>
        <w:trHeight w:hRule="exact" w:val="238"/>
      </w:trPr>
      <w:tc>
        <w:tcPr>
          <w:tcW w:w="7520" w:type="dxa"/>
          <w:shd w:val="clear" w:color="auto" w:fill="auto"/>
        </w:tcPr>
        <w:p w14:paraId="754BFD85" w14:textId="77777777" w:rsidR="00093ABC" w:rsidRPr="00963440" w:rsidRDefault="00093ABC" w:rsidP="00963440"/>
      </w:tc>
    </w:tr>
    <w:tr w:rsidR="00310FD4" w14:paraId="41C44E3F" w14:textId="77777777" w:rsidTr="00E776C6">
      <w:trPr>
        <w:cantSplit/>
        <w:trHeight w:hRule="exact" w:val="1520"/>
      </w:trPr>
      <w:tc>
        <w:tcPr>
          <w:tcW w:w="7520" w:type="dxa"/>
          <w:shd w:val="clear" w:color="auto" w:fill="auto"/>
        </w:tcPr>
        <w:p w14:paraId="4F95D2C9" w14:textId="77777777" w:rsidR="00A604D3" w:rsidRPr="00963440" w:rsidRDefault="00A604D3" w:rsidP="00963440"/>
      </w:tc>
    </w:tr>
    <w:tr w:rsidR="00310FD4" w14:paraId="063C56FE" w14:textId="77777777" w:rsidTr="00E776C6">
      <w:trPr>
        <w:trHeight w:hRule="exact" w:val="1077"/>
      </w:trPr>
      <w:tc>
        <w:tcPr>
          <w:tcW w:w="7520" w:type="dxa"/>
          <w:shd w:val="clear" w:color="auto" w:fill="auto"/>
        </w:tcPr>
        <w:p w14:paraId="22FAAFF0" w14:textId="77777777" w:rsidR="00892BA5" w:rsidRPr="00035E67" w:rsidRDefault="00892BA5" w:rsidP="00892BA5">
          <w:pPr>
            <w:tabs>
              <w:tab w:val="left" w:pos="740"/>
            </w:tabs>
            <w:autoSpaceDE w:val="0"/>
            <w:autoSpaceDN w:val="0"/>
            <w:adjustRightInd w:val="0"/>
            <w:rPr>
              <w:rFonts w:cs="Verdana"/>
              <w:szCs w:val="18"/>
            </w:rPr>
          </w:pPr>
        </w:p>
      </w:tc>
    </w:tr>
  </w:tbl>
  <w:p w14:paraId="53E208B7" w14:textId="77777777" w:rsidR="006F273B" w:rsidRDefault="006F273B" w:rsidP="00BC4AE3">
    <w:pPr>
      <w:pStyle w:val="Koptekst"/>
    </w:pPr>
  </w:p>
  <w:p w14:paraId="21754866" w14:textId="77777777" w:rsidR="00153BD0" w:rsidRDefault="00153BD0" w:rsidP="00BC4AE3">
    <w:pPr>
      <w:pStyle w:val="Koptekst"/>
    </w:pPr>
  </w:p>
  <w:p w14:paraId="2B672475" w14:textId="77777777" w:rsidR="0044605E" w:rsidRDefault="0044605E" w:rsidP="00BC4AE3">
    <w:pPr>
      <w:pStyle w:val="Koptekst"/>
    </w:pPr>
  </w:p>
  <w:p w14:paraId="2EEE6735" w14:textId="77777777" w:rsidR="0044605E" w:rsidRDefault="0044605E" w:rsidP="00BC4AE3">
    <w:pPr>
      <w:pStyle w:val="Koptekst"/>
    </w:pPr>
  </w:p>
  <w:p w14:paraId="0AFA39C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55166A"/>
    <w:multiLevelType w:val="hybridMultilevel"/>
    <w:tmpl w:val="2A4061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F0CC7F60">
      <w:start w:val="1"/>
      <w:numFmt w:val="bullet"/>
      <w:pStyle w:val="Lijstopsomteken"/>
      <w:lvlText w:val="•"/>
      <w:lvlJc w:val="left"/>
      <w:pPr>
        <w:tabs>
          <w:tab w:val="num" w:pos="227"/>
        </w:tabs>
        <w:ind w:left="227" w:hanging="227"/>
      </w:pPr>
      <w:rPr>
        <w:rFonts w:ascii="Verdana" w:hAnsi="Verdana" w:hint="default"/>
        <w:sz w:val="18"/>
        <w:szCs w:val="18"/>
      </w:rPr>
    </w:lvl>
    <w:lvl w:ilvl="1" w:tplc="1AF20B34" w:tentative="1">
      <w:start w:val="1"/>
      <w:numFmt w:val="bullet"/>
      <w:lvlText w:val="o"/>
      <w:lvlJc w:val="left"/>
      <w:pPr>
        <w:tabs>
          <w:tab w:val="num" w:pos="1440"/>
        </w:tabs>
        <w:ind w:left="1440" w:hanging="360"/>
      </w:pPr>
      <w:rPr>
        <w:rFonts w:ascii="Courier New" w:hAnsi="Courier New" w:cs="Courier New" w:hint="default"/>
      </w:rPr>
    </w:lvl>
    <w:lvl w:ilvl="2" w:tplc="104692BC" w:tentative="1">
      <w:start w:val="1"/>
      <w:numFmt w:val="bullet"/>
      <w:lvlText w:val=""/>
      <w:lvlJc w:val="left"/>
      <w:pPr>
        <w:tabs>
          <w:tab w:val="num" w:pos="2160"/>
        </w:tabs>
        <w:ind w:left="2160" w:hanging="360"/>
      </w:pPr>
      <w:rPr>
        <w:rFonts w:ascii="Wingdings" w:hAnsi="Wingdings" w:hint="default"/>
      </w:rPr>
    </w:lvl>
    <w:lvl w:ilvl="3" w:tplc="E30A7BE8" w:tentative="1">
      <w:start w:val="1"/>
      <w:numFmt w:val="bullet"/>
      <w:lvlText w:val=""/>
      <w:lvlJc w:val="left"/>
      <w:pPr>
        <w:tabs>
          <w:tab w:val="num" w:pos="2880"/>
        </w:tabs>
        <w:ind w:left="2880" w:hanging="360"/>
      </w:pPr>
      <w:rPr>
        <w:rFonts w:ascii="Symbol" w:hAnsi="Symbol" w:hint="default"/>
      </w:rPr>
    </w:lvl>
    <w:lvl w:ilvl="4" w:tplc="EBE2E6B8" w:tentative="1">
      <w:start w:val="1"/>
      <w:numFmt w:val="bullet"/>
      <w:lvlText w:val="o"/>
      <w:lvlJc w:val="left"/>
      <w:pPr>
        <w:tabs>
          <w:tab w:val="num" w:pos="3600"/>
        </w:tabs>
        <w:ind w:left="3600" w:hanging="360"/>
      </w:pPr>
      <w:rPr>
        <w:rFonts w:ascii="Courier New" w:hAnsi="Courier New" w:cs="Courier New" w:hint="default"/>
      </w:rPr>
    </w:lvl>
    <w:lvl w:ilvl="5" w:tplc="E4423A3C" w:tentative="1">
      <w:start w:val="1"/>
      <w:numFmt w:val="bullet"/>
      <w:lvlText w:val=""/>
      <w:lvlJc w:val="left"/>
      <w:pPr>
        <w:tabs>
          <w:tab w:val="num" w:pos="4320"/>
        </w:tabs>
        <w:ind w:left="4320" w:hanging="360"/>
      </w:pPr>
      <w:rPr>
        <w:rFonts w:ascii="Wingdings" w:hAnsi="Wingdings" w:hint="default"/>
      </w:rPr>
    </w:lvl>
    <w:lvl w:ilvl="6" w:tplc="9A066BBE" w:tentative="1">
      <w:start w:val="1"/>
      <w:numFmt w:val="bullet"/>
      <w:lvlText w:val=""/>
      <w:lvlJc w:val="left"/>
      <w:pPr>
        <w:tabs>
          <w:tab w:val="num" w:pos="5040"/>
        </w:tabs>
        <w:ind w:left="5040" w:hanging="360"/>
      </w:pPr>
      <w:rPr>
        <w:rFonts w:ascii="Symbol" w:hAnsi="Symbol" w:hint="default"/>
      </w:rPr>
    </w:lvl>
    <w:lvl w:ilvl="7" w:tplc="DA48A0EE" w:tentative="1">
      <w:start w:val="1"/>
      <w:numFmt w:val="bullet"/>
      <w:lvlText w:val="o"/>
      <w:lvlJc w:val="left"/>
      <w:pPr>
        <w:tabs>
          <w:tab w:val="num" w:pos="5760"/>
        </w:tabs>
        <w:ind w:left="5760" w:hanging="360"/>
      </w:pPr>
      <w:rPr>
        <w:rFonts w:ascii="Courier New" w:hAnsi="Courier New" w:cs="Courier New" w:hint="default"/>
      </w:rPr>
    </w:lvl>
    <w:lvl w:ilvl="8" w:tplc="435EF2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61422B4">
      <w:start w:val="1"/>
      <w:numFmt w:val="bullet"/>
      <w:pStyle w:val="Lijstopsomteken2"/>
      <w:lvlText w:val="–"/>
      <w:lvlJc w:val="left"/>
      <w:pPr>
        <w:tabs>
          <w:tab w:val="num" w:pos="227"/>
        </w:tabs>
        <w:ind w:left="227" w:firstLine="0"/>
      </w:pPr>
      <w:rPr>
        <w:rFonts w:ascii="Verdana" w:hAnsi="Verdana" w:hint="default"/>
      </w:rPr>
    </w:lvl>
    <w:lvl w:ilvl="1" w:tplc="D796575A" w:tentative="1">
      <w:start w:val="1"/>
      <w:numFmt w:val="bullet"/>
      <w:lvlText w:val="o"/>
      <w:lvlJc w:val="left"/>
      <w:pPr>
        <w:tabs>
          <w:tab w:val="num" w:pos="1440"/>
        </w:tabs>
        <w:ind w:left="1440" w:hanging="360"/>
      </w:pPr>
      <w:rPr>
        <w:rFonts w:ascii="Courier New" w:hAnsi="Courier New" w:cs="Courier New" w:hint="default"/>
      </w:rPr>
    </w:lvl>
    <w:lvl w:ilvl="2" w:tplc="812CF7F0" w:tentative="1">
      <w:start w:val="1"/>
      <w:numFmt w:val="bullet"/>
      <w:lvlText w:val=""/>
      <w:lvlJc w:val="left"/>
      <w:pPr>
        <w:tabs>
          <w:tab w:val="num" w:pos="2160"/>
        </w:tabs>
        <w:ind w:left="2160" w:hanging="360"/>
      </w:pPr>
      <w:rPr>
        <w:rFonts w:ascii="Wingdings" w:hAnsi="Wingdings" w:hint="default"/>
      </w:rPr>
    </w:lvl>
    <w:lvl w:ilvl="3" w:tplc="6DAE11F8" w:tentative="1">
      <w:start w:val="1"/>
      <w:numFmt w:val="bullet"/>
      <w:lvlText w:val=""/>
      <w:lvlJc w:val="left"/>
      <w:pPr>
        <w:tabs>
          <w:tab w:val="num" w:pos="2880"/>
        </w:tabs>
        <w:ind w:left="2880" w:hanging="360"/>
      </w:pPr>
      <w:rPr>
        <w:rFonts w:ascii="Symbol" w:hAnsi="Symbol" w:hint="default"/>
      </w:rPr>
    </w:lvl>
    <w:lvl w:ilvl="4" w:tplc="BED45B3E" w:tentative="1">
      <w:start w:val="1"/>
      <w:numFmt w:val="bullet"/>
      <w:lvlText w:val="o"/>
      <w:lvlJc w:val="left"/>
      <w:pPr>
        <w:tabs>
          <w:tab w:val="num" w:pos="3600"/>
        </w:tabs>
        <w:ind w:left="3600" w:hanging="360"/>
      </w:pPr>
      <w:rPr>
        <w:rFonts w:ascii="Courier New" w:hAnsi="Courier New" w:cs="Courier New" w:hint="default"/>
      </w:rPr>
    </w:lvl>
    <w:lvl w:ilvl="5" w:tplc="EC9CC12C" w:tentative="1">
      <w:start w:val="1"/>
      <w:numFmt w:val="bullet"/>
      <w:lvlText w:val=""/>
      <w:lvlJc w:val="left"/>
      <w:pPr>
        <w:tabs>
          <w:tab w:val="num" w:pos="4320"/>
        </w:tabs>
        <w:ind w:left="4320" w:hanging="360"/>
      </w:pPr>
      <w:rPr>
        <w:rFonts w:ascii="Wingdings" w:hAnsi="Wingdings" w:hint="default"/>
      </w:rPr>
    </w:lvl>
    <w:lvl w:ilvl="6" w:tplc="3496C7FA" w:tentative="1">
      <w:start w:val="1"/>
      <w:numFmt w:val="bullet"/>
      <w:lvlText w:val=""/>
      <w:lvlJc w:val="left"/>
      <w:pPr>
        <w:tabs>
          <w:tab w:val="num" w:pos="5040"/>
        </w:tabs>
        <w:ind w:left="5040" w:hanging="360"/>
      </w:pPr>
      <w:rPr>
        <w:rFonts w:ascii="Symbol" w:hAnsi="Symbol" w:hint="default"/>
      </w:rPr>
    </w:lvl>
    <w:lvl w:ilvl="7" w:tplc="6E4A8C28" w:tentative="1">
      <w:start w:val="1"/>
      <w:numFmt w:val="bullet"/>
      <w:lvlText w:val="o"/>
      <w:lvlJc w:val="left"/>
      <w:pPr>
        <w:tabs>
          <w:tab w:val="num" w:pos="5760"/>
        </w:tabs>
        <w:ind w:left="5760" w:hanging="360"/>
      </w:pPr>
      <w:rPr>
        <w:rFonts w:ascii="Courier New" w:hAnsi="Courier New" w:cs="Courier New" w:hint="default"/>
      </w:rPr>
    </w:lvl>
    <w:lvl w:ilvl="8" w:tplc="7CEE43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B5545"/>
    <w:multiLevelType w:val="hybridMultilevel"/>
    <w:tmpl w:val="E2F09E7A"/>
    <w:lvl w:ilvl="0" w:tplc="5AC8216A">
      <w:start w:val="1"/>
      <w:numFmt w:val="decimal"/>
      <w:lvlText w:val="%1."/>
      <w:lvlJc w:val="left"/>
      <w:pPr>
        <w:ind w:left="1020" w:hanging="360"/>
      </w:pPr>
    </w:lvl>
    <w:lvl w:ilvl="1" w:tplc="553A128C">
      <w:start w:val="1"/>
      <w:numFmt w:val="decimal"/>
      <w:lvlText w:val="%2."/>
      <w:lvlJc w:val="left"/>
      <w:pPr>
        <w:ind w:left="1020" w:hanging="360"/>
      </w:pPr>
    </w:lvl>
    <w:lvl w:ilvl="2" w:tplc="DA661548">
      <w:start w:val="1"/>
      <w:numFmt w:val="decimal"/>
      <w:lvlText w:val="%3."/>
      <w:lvlJc w:val="left"/>
      <w:pPr>
        <w:ind w:left="1020" w:hanging="360"/>
      </w:pPr>
    </w:lvl>
    <w:lvl w:ilvl="3" w:tplc="EA8A44E4">
      <w:start w:val="1"/>
      <w:numFmt w:val="decimal"/>
      <w:lvlText w:val="%4."/>
      <w:lvlJc w:val="left"/>
      <w:pPr>
        <w:ind w:left="1020" w:hanging="360"/>
      </w:pPr>
    </w:lvl>
    <w:lvl w:ilvl="4" w:tplc="6CF430B2">
      <w:start w:val="1"/>
      <w:numFmt w:val="decimal"/>
      <w:lvlText w:val="%5."/>
      <w:lvlJc w:val="left"/>
      <w:pPr>
        <w:ind w:left="1020" w:hanging="360"/>
      </w:pPr>
    </w:lvl>
    <w:lvl w:ilvl="5" w:tplc="8F5C1E46">
      <w:start w:val="1"/>
      <w:numFmt w:val="decimal"/>
      <w:lvlText w:val="%6."/>
      <w:lvlJc w:val="left"/>
      <w:pPr>
        <w:ind w:left="1020" w:hanging="360"/>
      </w:pPr>
    </w:lvl>
    <w:lvl w:ilvl="6" w:tplc="C4686F14">
      <w:start w:val="1"/>
      <w:numFmt w:val="decimal"/>
      <w:lvlText w:val="%7."/>
      <w:lvlJc w:val="left"/>
      <w:pPr>
        <w:ind w:left="1020" w:hanging="360"/>
      </w:pPr>
    </w:lvl>
    <w:lvl w:ilvl="7" w:tplc="EFDC6628">
      <w:start w:val="1"/>
      <w:numFmt w:val="decimal"/>
      <w:lvlText w:val="%8."/>
      <w:lvlJc w:val="left"/>
      <w:pPr>
        <w:ind w:left="1020" w:hanging="360"/>
      </w:pPr>
    </w:lvl>
    <w:lvl w:ilvl="8" w:tplc="A87E7AF0">
      <w:start w:val="1"/>
      <w:numFmt w:val="decimal"/>
      <w:lvlText w:val="%9."/>
      <w:lvlJc w:val="left"/>
      <w:pPr>
        <w:ind w:left="1020" w:hanging="360"/>
      </w:pPr>
    </w:lvl>
  </w:abstractNum>
  <w:abstractNum w:abstractNumId="15" w15:restartNumberingAfterBreak="0">
    <w:nsid w:val="49411441"/>
    <w:multiLevelType w:val="hybridMultilevel"/>
    <w:tmpl w:val="3198E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4448C"/>
    <w:multiLevelType w:val="hybridMultilevel"/>
    <w:tmpl w:val="3198E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8781137">
    <w:abstractNumId w:val="11"/>
  </w:num>
  <w:num w:numId="2" w16cid:durableId="1071152624">
    <w:abstractNumId w:val="7"/>
  </w:num>
  <w:num w:numId="3" w16cid:durableId="1264266649">
    <w:abstractNumId w:val="6"/>
  </w:num>
  <w:num w:numId="4" w16cid:durableId="207575452">
    <w:abstractNumId w:val="5"/>
  </w:num>
  <w:num w:numId="5" w16cid:durableId="1504127079">
    <w:abstractNumId w:val="4"/>
  </w:num>
  <w:num w:numId="6" w16cid:durableId="1661343979">
    <w:abstractNumId w:val="8"/>
  </w:num>
  <w:num w:numId="7" w16cid:durableId="866676292">
    <w:abstractNumId w:val="3"/>
  </w:num>
  <w:num w:numId="8" w16cid:durableId="1736706784">
    <w:abstractNumId w:val="2"/>
  </w:num>
  <w:num w:numId="9" w16cid:durableId="1736508819">
    <w:abstractNumId w:val="1"/>
  </w:num>
  <w:num w:numId="10" w16cid:durableId="2040157931">
    <w:abstractNumId w:val="0"/>
  </w:num>
  <w:num w:numId="11" w16cid:durableId="1861427840">
    <w:abstractNumId w:val="10"/>
  </w:num>
  <w:num w:numId="12" w16cid:durableId="1656372983">
    <w:abstractNumId w:val="12"/>
  </w:num>
  <w:num w:numId="13" w16cid:durableId="1877082806">
    <w:abstractNumId w:val="16"/>
  </w:num>
  <w:num w:numId="14" w16cid:durableId="1264071097">
    <w:abstractNumId w:val="13"/>
  </w:num>
  <w:num w:numId="15" w16cid:durableId="1620066602">
    <w:abstractNumId w:val="17"/>
  </w:num>
  <w:num w:numId="16" w16cid:durableId="107706086">
    <w:abstractNumId w:val="9"/>
  </w:num>
  <w:num w:numId="17" w16cid:durableId="924266320">
    <w:abstractNumId w:val="15"/>
  </w:num>
  <w:num w:numId="18" w16cid:durableId="17353503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2672C"/>
    <w:rsid w:val="00033CDD"/>
    <w:rsid w:val="00034A84"/>
    <w:rsid w:val="00034D28"/>
    <w:rsid w:val="00035E67"/>
    <w:rsid w:val="000366F3"/>
    <w:rsid w:val="000407BB"/>
    <w:rsid w:val="0005404B"/>
    <w:rsid w:val="0005447D"/>
    <w:rsid w:val="000546DE"/>
    <w:rsid w:val="000559B0"/>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5286"/>
    <w:rsid w:val="000B7281"/>
    <w:rsid w:val="000B7FAB"/>
    <w:rsid w:val="000C1BA1"/>
    <w:rsid w:val="000C2D00"/>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0ED"/>
    <w:rsid w:val="00104B4D"/>
    <w:rsid w:val="00105677"/>
    <w:rsid w:val="001177B4"/>
    <w:rsid w:val="001229F2"/>
    <w:rsid w:val="00122CF9"/>
    <w:rsid w:val="00123704"/>
    <w:rsid w:val="001270C7"/>
    <w:rsid w:val="00132540"/>
    <w:rsid w:val="00133AD6"/>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77E9D"/>
    <w:rsid w:val="0018193C"/>
    <w:rsid w:val="00181BE4"/>
    <w:rsid w:val="0018357A"/>
    <w:rsid w:val="0018496F"/>
    <w:rsid w:val="00184B30"/>
    <w:rsid w:val="00185576"/>
    <w:rsid w:val="00185951"/>
    <w:rsid w:val="00194A00"/>
    <w:rsid w:val="00196B8B"/>
    <w:rsid w:val="001A0BFA"/>
    <w:rsid w:val="001A1608"/>
    <w:rsid w:val="001A2BEA"/>
    <w:rsid w:val="001A325F"/>
    <w:rsid w:val="001A4638"/>
    <w:rsid w:val="001A6D93"/>
    <w:rsid w:val="001B2BBA"/>
    <w:rsid w:val="001B35FA"/>
    <w:rsid w:val="001C006F"/>
    <w:rsid w:val="001C2C36"/>
    <w:rsid w:val="001C32EC"/>
    <w:rsid w:val="001C38BD"/>
    <w:rsid w:val="001C4D5A"/>
    <w:rsid w:val="001E0256"/>
    <w:rsid w:val="001E34C6"/>
    <w:rsid w:val="001E5581"/>
    <w:rsid w:val="001F2575"/>
    <w:rsid w:val="001F3C70"/>
    <w:rsid w:val="00200D88"/>
    <w:rsid w:val="00201C09"/>
    <w:rsid w:val="00201F68"/>
    <w:rsid w:val="00202E8F"/>
    <w:rsid w:val="00210BA3"/>
    <w:rsid w:val="00212F2A"/>
    <w:rsid w:val="002146D7"/>
    <w:rsid w:val="00214F2B"/>
    <w:rsid w:val="00215356"/>
    <w:rsid w:val="00215964"/>
    <w:rsid w:val="00215D8B"/>
    <w:rsid w:val="00217880"/>
    <w:rsid w:val="00222D66"/>
    <w:rsid w:val="0022441A"/>
    <w:rsid w:val="00224A8A"/>
    <w:rsid w:val="002309A8"/>
    <w:rsid w:val="00236CFE"/>
    <w:rsid w:val="002428E3"/>
    <w:rsid w:val="0024430A"/>
    <w:rsid w:val="00245FF7"/>
    <w:rsid w:val="00246E3C"/>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55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0FD4"/>
    <w:rsid w:val="003115A6"/>
    <w:rsid w:val="00312597"/>
    <w:rsid w:val="00322836"/>
    <w:rsid w:val="00334154"/>
    <w:rsid w:val="003341D0"/>
    <w:rsid w:val="003372C4"/>
    <w:rsid w:val="0034143D"/>
    <w:rsid w:val="00341FA0"/>
    <w:rsid w:val="00342374"/>
    <w:rsid w:val="00344F3D"/>
    <w:rsid w:val="00345299"/>
    <w:rsid w:val="00351A8D"/>
    <w:rsid w:val="003526BB"/>
    <w:rsid w:val="00352BCF"/>
    <w:rsid w:val="00353932"/>
    <w:rsid w:val="0035464B"/>
    <w:rsid w:val="00356D2B"/>
    <w:rsid w:val="00357F85"/>
    <w:rsid w:val="00361A56"/>
    <w:rsid w:val="0036252A"/>
    <w:rsid w:val="00364D9D"/>
    <w:rsid w:val="00371048"/>
    <w:rsid w:val="00372261"/>
    <w:rsid w:val="003724CE"/>
    <w:rsid w:val="0037396C"/>
    <w:rsid w:val="0037421D"/>
    <w:rsid w:val="00374412"/>
    <w:rsid w:val="00376093"/>
    <w:rsid w:val="0037715E"/>
    <w:rsid w:val="00383DA1"/>
    <w:rsid w:val="00384A04"/>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47868"/>
    <w:rsid w:val="0045023C"/>
    <w:rsid w:val="00451A5B"/>
    <w:rsid w:val="00452BCD"/>
    <w:rsid w:val="00452CEA"/>
    <w:rsid w:val="00463A63"/>
    <w:rsid w:val="004641F6"/>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5F72"/>
    <w:rsid w:val="004A670A"/>
    <w:rsid w:val="004B117A"/>
    <w:rsid w:val="004B356B"/>
    <w:rsid w:val="004B5465"/>
    <w:rsid w:val="004B6487"/>
    <w:rsid w:val="004B70F0"/>
    <w:rsid w:val="004C0035"/>
    <w:rsid w:val="004C0827"/>
    <w:rsid w:val="004C1299"/>
    <w:rsid w:val="004C5B4D"/>
    <w:rsid w:val="004C7E1D"/>
    <w:rsid w:val="004D004D"/>
    <w:rsid w:val="004D065C"/>
    <w:rsid w:val="004D33FE"/>
    <w:rsid w:val="004D39A8"/>
    <w:rsid w:val="004D4703"/>
    <w:rsid w:val="004D505E"/>
    <w:rsid w:val="004D67E8"/>
    <w:rsid w:val="004D72CA"/>
    <w:rsid w:val="004E17DD"/>
    <w:rsid w:val="004E2242"/>
    <w:rsid w:val="004E4F0E"/>
    <w:rsid w:val="004F0F6D"/>
    <w:rsid w:val="004F1D71"/>
    <w:rsid w:val="004F2483"/>
    <w:rsid w:val="004F42FF"/>
    <w:rsid w:val="004F44C2"/>
    <w:rsid w:val="004F6A10"/>
    <w:rsid w:val="00505262"/>
    <w:rsid w:val="005107B1"/>
    <w:rsid w:val="00516022"/>
    <w:rsid w:val="00521CEE"/>
    <w:rsid w:val="00526050"/>
    <w:rsid w:val="00527BD4"/>
    <w:rsid w:val="0053001C"/>
    <w:rsid w:val="00533061"/>
    <w:rsid w:val="00533FA1"/>
    <w:rsid w:val="00534C77"/>
    <w:rsid w:val="00535573"/>
    <w:rsid w:val="005403C8"/>
    <w:rsid w:val="005410A6"/>
    <w:rsid w:val="00541AD9"/>
    <w:rsid w:val="005429DC"/>
    <w:rsid w:val="00546196"/>
    <w:rsid w:val="005565F9"/>
    <w:rsid w:val="005639D2"/>
    <w:rsid w:val="00565654"/>
    <w:rsid w:val="00565739"/>
    <w:rsid w:val="00573041"/>
    <w:rsid w:val="00575B80"/>
    <w:rsid w:val="00576CD6"/>
    <w:rsid w:val="00577559"/>
    <w:rsid w:val="005819CE"/>
    <w:rsid w:val="0058298D"/>
    <w:rsid w:val="00590595"/>
    <w:rsid w:val="00593C2B"/>
    <w:rsid w:val="00595231"/>
    <w:rsid w:val="00595CBB"/>
    <w:rsid w:val="00596166"/>
    <w:rsid w:val="00597F64"/>
    <w:rsid w:val="005A0B03"/>
    <w:rsid w:val="005A1AF5"/>
    <w:rsid w:val="005A207F"/>
    <w:rsid w:val="005A20AA"/>
    <w:rsid w:val="005A2F35"/>
    <w:rsid w:val="005A7512"/>
    <w:rsid w:val="005B3441"/>
    <w:rsid w:val="005B463E"/>
    <w:rsid w:val="005B4FAC"/>
    <w:rsid w:val="005B5D8B"/>
    <w:rsid w:val="005C34E1"/>
    <w:rsid w:val="005C3CB3"/>
    <w:rsid w:val="005C3FE0"/>
    <w:rsid w:val="005C4C82"/>
    <w:rsid w:val="005C740C"/>
    <w:rsid w:val="005C7585"/>
    <w:rsid w:val="005D283A"/>
    <w:rsid w:val="005D625B"/>
    <w:rsid w:val="005E3322"/>
    <w:rsid w:val="005E436C"/>
    <w:rsid w:val="005E64E2"/>
    <w:rsid w:val="005E6924"/>
    <w:rsid w:val="005F50EE"/>
    <w:rsid w:val="005F62D3"/>
    <w:rsid w:val="005F6D11"/>
    <w:rsid w:val="00600CF0"/>
    <w:rsid w:val="0060235C"/>
    <w:rsid w:val="006048F4"/>
    <w:rsid w:val="0060660A"/>
    <w:rsid w:val="00610A24"/>
    <w:rsid w:val="00613B1D"/>
    <w:rsid w:val="00613EE6"/>
    <w:rsid w:val="00617311"/>
    <w:rsid w:val="00617A44"/>
    <w:rsid w:val="006202B6"/>
    <w:rsid w:val="006205C0"/>
    <w:rsid w:val="00623CB2"/>
    <w:rsid w:val="00625CD0"/>
    <w:rsid w:val="0062627D"/>
    <w:rsid w:val="00627432"/>
    <w:rsid w:val="00631341"/>
    <w:rsid w:val="0063297D"/>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04B"/>
    <w:rsid w:val="00682E02"/>
    <w:rsid w:val="00685545"/>
    <w:rsid w:val="006864B3"/>
    <w:rsid w:val="00686AED"/>
    <w:rsid w:val="00692BA9"/>
    <w:rsid w:val="00692C30"/>
    <w:rsid w:val="00692D64"/>
    <w:rsid w:val="00693936"/>
    <w:rsid w:val="006947E0"/>
    <w:rsid w:val="006A10F8"/>
    <w:rsid w:val="006A2100"/>
    <w:rsid w:val="006B0BD2"/>
    <w:rsid w:val="006B0BF3"/>
    <w:rsid w:val="006B1521"/>
    <w:rsid w:val="006B2A77"/>
    <w:rsid w:val="006B421D"/>
    <w:rsid w:val="006B775E"/>
    <w:rsid w:val="006B7B87"/>
    <w:rsid w:val="006B7BC7"/>
    <w:rsid w:val="006C0013"/>
    <w:rsid w:val="006C2093"/>
    <w:rsid w:val="006C2278"/>
    <w:rsid w:val="006C2535"/>
    <w:rsid w:val="006C311B"/>
    <w:rsid w:val="006C43EE"/>
    <w:rsid w:val="006C441E"/>
    <w:rsid w:val="006C4B90"/>
    <w:rsid w:val="006C54E0"/>
    <w:rsid w:val="006D1016"/>
    <w:rsid w:val="006D17F2"/>
    <w:rsid w:val="006D2D53"/>
    <w:rsid w:val="006D7987"/>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DD2"/>
    <w:rsid w:val="00767FEF"/>
    <w:rsid w:val="007709EF"/>
    <w:rsid w:val="00783559"/>
    <w:rsid w:val="007846ED"/>
    <w:rsid w:val="007851C4"/>
    <w:rsid w:val="00785C3B"/>
    <w:rsid w:val="00797AA5"/>
    <w:rsid w:val="007A26BD"/>
    <w:rsid w:val="007A4105"/>
    <w:rsid w:val="007A4F0E"/>
    <w:rsid w:val="007A514C"/>
    <w:rsid w:val="007B0D8E"/>
    <w:rsid w:val="007B0E82"/>
    <w:rsid w:val="007B4503"/>
    <w:rsid w:val="007C03C9"/>
    <w:rsid w:val="007C16D8"/>
    <w:rsid w:val="007C406E"/>
    <w:rsid w:val="007C5183"/>
    <w:rsid w:val="007C6AE2"/>
    <w:rsid w:val="007C7573"/>
    <w:rsid w:val="007D2354"/>
    <w:rsid w:val="007E14E4"/>
    <w:rsid w:val="007E2B20"/>
    <w:rsid w:val="007F5331"/>
    <w:rsid w:val="007F6226"/>
    <w:rsid w:val="00800CCA"/>
    <w:rsid w:val="008020F2"/>
    <w:rsid w:val="00805C30"/>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D89"/>
    <w:rsid w:val="0084255A"/>
    <w:rsid w:val="00842CD8"/>
    <w:rsid w:val="008431FA"/>
    <w:rsid w:val="0084710A"/>
    <w:rsid w:val="008547BA"/>
    <w:rsid w:val="008553C7"/>
    <w:rsid w:val="00857FEB"/>
    <w:rsid w:val="008601AF"/>
    <w:rsid w:val="00870BA1"/>
    <w:rsid w:val="00872271"/>
    <w:rsid w:val="008731F6"/>
    <w:rsid w:val="00874982"/>
    <w:rsid w:val="008762B6"/>
    <w:rsid w:val="00883137"/>
    <w:rsid w:val="00892BA5"/>
    <w:rsid w:val="008A08AC"/>
    <w:rsid w:val="008A1F5D"/>
    <w:rsid w:val="008A28F5"/>
    <w:rsid w:val="008B0E6F"/>
    <w:rsid w:val="008B1198"/>
    <w:rsid w:val="008B2349"/>
    <w:rsid w:val="008B2A5C"/>
    <w:rsid w:val="008B3471"/>
    <w:rsid w:val="008B3929"/>
    <w:rsid w:val="008B3BAB"/>
    <w:rsid w:val="008B4125"/>
    <w:rsid w:val="008B4CB3"/>
    <w:rsid w:val="008B567B"/>
    <w:rsid w:val="008B7B24"/>
    <w:rsid w:val="008C356D"/>
    <w:rsid w:val="008D1583"/>
    <w:rsid w:val="008D50D7"/>
    <w:rsid w:val="008E0B3F"/>
    <w:rsid w:val="008E1341"/>
    <w:rsid w:val="008E3932"/>
    <w:rsid w:val="008E4458"/>
    <w:rsid w:val="008E49AD"/>
    <w:rsid w:val="008E698E"/>
    <w:rsid w:val="008E731D"/>
    <w:rsid w:val="008F123F"/>
    <w:rsid w:val="008F2584"/>
    <w:rsid w:val="008F3246"/>
    <w:rsid w:val="008F3C1B"/>
    <w:rsid w:val="008F508C"/>
    <w:rsid w:val="008F60FB"/>
    <w:rsid w:val="0090271B"/>
    <w:rsid w:val="00910642"/>
    <w:rsid w:val="00910DDF"/>
    <w:rsid w:val="00921861"/>
    <w:rsid w:val="00924639"/>
    <w:rsid w:val="0092611E"/>
    <w:rsid w:val="00926A08"/>
    <w:rsid w:val="00926F1F"/>
    <w:rsid w:val="00926F4B"/>
    <w:rsid w:val="00930B13"/>
    <w:rsid w:val="009311C8"/>
    <w:rsid w:val="0093199F"/>
    <w:rsid w:val="00933376"/>
    <w:rsid w:val="00933A2F"/>
    <w:rsid w:val="0094000D"/>
    <w:rsid w:val="00940206"/>
    <w:rsid w:val="00941B16"/>
    <w:rsid w:val="00943086"/>
    <w:rsid w:val="00946703"/>
    <w:rsid w:val="009475C1"/>
    <w:rsid w:val="009528B2"/>
    <w:rsid w:val="009607C4"/>
    <w:rsid w:val="009625B6"/>
    <w:rsid w:val="00962F2A"/>
    <w:rsid w:val="00963440"/>
    <w:rsid w:val="009716D8"/>
    <w:rsid w:val="009718F9"/>
    <w:rsid w:val="009724E4"/>
    <w:rsid w:val="00972FB9"/>
    <w:rsid w:val="00975112"/>
    <w:rsid w:val="009804C0"/>
    <w:rsid w:val="009812EB"/>
    <w:rsid w:val="00981768"/>
    <w:rsid w:val="009838BB"/>
    <w:rsid w:val="00983E8F"/>
    <w:rsid w:val="00992338"/>
    <w:rsid w:val="00994FDA"/>
    <w:rsid w:val="00997D15"/>
    <w:rsid w:val="009A31BF"/>
    <w:rsid w:val="009A3B71"/>
    <w:rsid w:val="009A5914"/>
    <w:rsid w:val="009A61BC"/>
    <w:rsid w:val="009A66E5"/>
    <w:rsid w:val="009B0138"/>
    <w:rsid w:val="009B0FE9"/>
    <w:rsid w:val="009B173A"/>
    <w:rsid w:val="009B5846"/>
    <w:rsid w:val="009B601B"/>
    <w:rsid w:val="009C3F20"/>
    <w:rsid w:val="009C64FB"/>
    <w:rsid w:val="009C7CA1"/>
    <w:rsid w:val="009D043D"/>
    <w:rsid w:val="009D716F"/>
    <w:rsid w:val="009E3B07"/>
    <w:rsid w:val="009F2A06"/>
    <w:rsid w:val="009F3259"/>
    <w:rsid w:val="009F4D02"/>
    <w:rsid w:val="009F541F"/>
    <w:rsid w:val="00A056DE"/>
    <w:rsid w:val="00A0678A"/>
    <w:rsid w:val="00A1289E"/>
    <w:rsid w:val="00A128AD"/>
    <w:rsid w:val="00A143E9"/>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6A7A"/>
    <w:rsid w:val="00A67AC7"/>
    <w:rsid w:val="00A715F8"/>
    <w:rsid w:val="00A741BA"/>
    <w:rsid w:val="00A773CC"/>
    <w:rsid w:val="00A77F6F"/>
    <w:rsid w:val="00A80579"/>
    <w:rsid w:val="00A831FD"/>
    <w:rsid w:val="00A83352"/>
    <w:rsid w:val="00A850A2"/>
    <w:rsid w:val="00A91FA3"/>
    <w:rsid w:val="00A927D3"/>
    <w:rsid w:val="00A9429A"/>
    <w:rsid w:val="00A964CB"/>
    <w:rsid w:val="00AA70B0"/>
    <w:rsid w:val="00AA7FC9"/>
    <w:rsid w:val="00AB237D"/>
    <w:rsid w:val="00AB50E6"/>
    <w:rsid w:val="00AB571B"/>
    <w:rsid w:val="00AB5933"/>
    <w:rsid w:val="00AC02E5"/>
    <w:rsid w:val="00AD34B3"/>
    <w:rsid w:val="00AD5B44"/>
    <w:rsid w:val="00AD7608"/>
    <w:rsid w:val="00AE013D"/>
    <w:rsid w:val="00AE11B7"/>
    <w:rsid w:val="00AE14D7"/>
    <w:rsid w:val="00AE18BA"/>
    <w:rsid w:val="00AE7130"/>
    <w:rsid w:val="00AE7F68"/>
    <w:rsid w:val="00AF2321"/>
    <w:rsid w:val="00AF52F6"/>
    <w:rsid w:val="00AF7237"/>
    <w:rsid w:val="00B0043A"/>
    <w:rsid w:val="00B00D75"/>
    <w:rsid w:val="00B0690C"/>
    <w:rsid w:val="00B070CB"/>
    <w:rsid w:val="00B11251"/>
    <w:rsid w:val="00B12456"/>
    <w:rsid w:val="00B124E2"/>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6023"/>
    <w:rsid w:val="00B50571"/>
    <w:rsid w:val="00B531DD"/>
    <w:rsid w:val="00B55014"/>
    <w:rsid w:val="00B62232"/>
    <w:rsid w:val="00B626DD"/>
    <w:rsid w:val="00B70BF3"/>
    <w:rsid w:val="00B70D24"/>
    <w:rsid w:val="00B70E51"/>
    <w:rsid w:val="00B71DC2"/>
    <w:rsid w:val="00B737D0"/>
    <w:rsid w:val="00B77CF6"/>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349"/>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922"/>
    <w:rsid w:val="00C47F04"/>
    <w:rsid w:val="00C50E87"/>
    <w:rsid w:val="00C5258E"/>
    <w:rsid w:val="00C5333A"/>
    <w:rsid w:val="00C53BD7"/>
    <w:rsid w:val="00C55923"/>
    <w:rsid w:val="00C619A7"/>
    <w:rsid w:val="00C62467"/>
    <w:rsid w:val="00C64E34"/>
    <w:rsid w:val="00C6545E"/>
    <w:rsid w:val="00C7013F"/>
    <w:rsid w:val="00C7097A"/>
    <w:rsid w:val="00C736E8"/>
    <w:rsid w:val="00C73D5F"/>
    <w:rsid w:val="00C858FE"/>
    <w:rsid w:val="00C92A9D"/>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3C4B"/>
    <w:rsid w:val="00D0140D"/>
    <w:rsid w:val="00D01C92"/>
    <w:rsid w:val="00D030AB"/>
    <w:rsid w:val="00D037A9"/>
    <w:rsid w:val="00D0609E"/>
    <w:rsid w:val="00D078E1"/>
    <w:rsid w:val="00D100E9"/>
    <w:rsid w:val="00D14733"/>
    <w:rsid w:val="00D17084"/>
    <w:rsid w:val="00D1791D"/>
    <w:rsid w:val="00D21E4B"/>
    <w:rsid w:val="00D22588"/>
    <w:rsid w:val="00D22689"/>
    <w:rsid w:val="00D23522"/>
    <w:rsid w:val="00D25A0D"/>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53A2"/>
    <w:rsid w:val="00D66074"/>
    <w:rsid w:val="00D66192"/>
    <w:rsid w:val="00D74F66"/>
    <w:rsid w:val="00D75B3F"/>
    <w:rsid w:val="00D77870"/>
    <w:rsid w:val="00D80977"/>
    <w:rsid w:val="00D80CCE"/>
    <w:rsid w:val="00D849AF"/>
    <w:rsid w:val="00D86CC6"/>
    <w:rsid w:val="00D86EEA"/>
    <w:rsid w:val="00D87D03"/>
    <w:rsid w:val="00D90B27"/>
    <w:rsid w:val="00D93170"/>
    <w:rsid w:val="00D9561B"/>
    <w:rsid w:val="00D95C88"/>
    <w:rsid w:val="00D97B2E"/>
    <w:rsid w:val="00DA0E94"/>
    <w:rsid w:val="00DA1BA1"/>
    <w:rsid w:val="00DA241E"/>
    <w:rsid w:val="00DA51B5"/>
    <w:rsid w:val="00DB36FE"/>
    <w:rsid w:val="00DB38E3"/>
    <w:rsid w:val="00DB533A"/>
    <w:rsid w:val="00DB6307"/>
    <w:rsid w:val="00DC18F3"/>
    <w:rsid w:val="00DC2443"/>
    <w:rsid w:val="00DC5BC4"/>
    <w:rsid w:val="00DC691C"/>
    <w:rsid w:val="00DD1DCD"/>
    <w:rsid w:val="00DD338F"/>
    <w:rsid w:val="00DD3404"/>
    <w:rsid w:val="00DD3C0A"/>
    <w:rsid w:val="00DD66F2"/>
    <w:rsid w:val="00DE15EE"/>
    <w:rsid w:val="00DE1EB5"/>
    <w:rsid w:val="00DE3FE0"/>
    <w:rsid w:val="00DE578A"/>
    <w:rsid w:val="00DF0AEE"/>
    <w:rsid w:val="00DF2583"/>
    <w:rsid w:val="00DF3E62"/>
    <w:rsid w:val="00DF4D7F"/>
    <w:rsid w:val="00DF4E80"/>
    <w:rsid w:val="00DF54D9"/>
    <w:rsid w:val="00DF63F3"/>
    <w:rsid w:val="00DF7283"/>
    <w:rsid w:val="00E01A59"/>
    <w:rsid w:val="00E04F2C"/>
    <w:rsid w:val="00E0622C"/>
    <w:rsid w:val="00E0675E"/>
    <w:rsid w:val="00E10DC6"/>
    <w:rsid w:val="00E11F8E"/>
    <w:rsid w:val="00E13D95"/>
    <w:rsid w:val="00E14AA3"/>
    <w:rsid w:val="00E15881"/>
    <w:rsid w:val="00E16A8F"/>
    <w:rsid w:val="00E16C4C"/>
    <w:rsid w:val="00E17CA2"/>
    <w:rsid w:val="00E20C25"/>
    <w:rsid w:val="00E21DE3"/>
    <w:rsid w:val="00E233D5"/>
    <w:rsid w:val="00E307D1"/>
    <w:rsid w:val="00E35710"/>
    <w:rsid w:val="00E35CF4"/>
    <w:rsid w:val="00E3731D"/>
    <w:rsid w:val="00E37811"/>
    <w:rsid w:val="00E468E4"/>
    <w:rsid w:val="00E512E0"/>
    <w:rsid w:val="00E51469"/>
    <w:rsid w:val="00E54114"/>
    <w:rsid w:val="00E62709"/>
    <w:rsid w:val="00E634E3"/>
    <w:rsid w:val="00E64779"/>
    <w:rsid w:val="00E717C4"/>
    <w:rsid w:val="00E74D10"/>
    <w:rsid w:val="00E776C6"/>
    <w:rsid w:val="00E77F89"/>
    <w:rsid w:val="00E80E71"/>
    <w:rsid w:val="00E81589"/>
    <w:rsid w:val="00E81E52"/>
    <w:rsid w:val="00E850D3"/>
    <w:rsid w:val="00E853D6"/>
    <w:rsid w:val="00E8544F"/>
    <w:rsid w:val="00E876B9"/>
    <w:rsid w:val="00E91B40"/>
    <w:rsid w:val="00E91F7C"/>
    <w:rsid w:val="00E94D82"/>
    <w:rsid w:val="00E972A2"/>
    <w:rsid w:val="00EA5BA2"/>
    <w:rsid w:val="00EB5DBF"/>
    <w:rsid w:val="00EB73E0"/>
    <w:rsid w:val="00EC0DFF"/>
    <w:rsid w:val="00EC237D"/>
    <w:rsid w:val="00EC25AB"/>
    <w:rsid w:val="00EC25B9"/>
    <w:rsid w:val="00EC2927"/>
    <w:rsid w:val="00EC4D0E"/>
    <w:rsid w:val="00EC4E2B"/>
    <w:rsid w:val="00EC7E53"/>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1DFE"/>
    <w:rsid w:val="00F42533"/>
    <w:rsid w:val="00F45A25"/>
    <w:rsid w:val="00F50F86"/>
    <w:rsid w:val="00F51A76"/>
    <w:rsid w:val="00F51C92"/>
    <w:rsid w:val="00F53862"/>
    <w:rsid w:val="00F53C9D"/>
    <w:rsid w:val="00F53F91"/>
    <w:rsid w:val="00F54B9F"/>
    <w:rsid w:val="00F5508E"/>
    <w:rsid w:val="00F61569"/>
    <w:rsid w:val="00F61A72"/>
    <w:rsid w:val="00F62B67"/>
    <w:rsid w:val="00F66F13"/>
    <w:rsid w:val="00F7145D"/>
    <w:rsid w:val="00F71B5E"/>
    <w:rsid w:val="00F74073"/>
    <w:rsid w:val="00F75603"/>
    <w:rsid w:val="00F77BE5"/>
    <w:rsid w:val="00F845B4"/>
    <w:rsid w:val="00F8713B"/>
    <w:rsid w:val="00F904FB"/>
    <w:rsid w:val="00F92793"/>
    <w:rsid w:val="00F93F9E"/>
    <w:rsid w:val="00F950BC"/>
    <w:rsid w:val="00FA2CD7"/>
    <w:rsid w:val="00FA5AD5"/>
    <w:rsid w:val="00FA7882"/>
    <w:rsid w:val="00FA7903"/>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691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16C1C"/>
  <w15:docId w15:val="{AAC9A53A-BCA5-4CDC-A541-85B7E9FA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rsid w:val="00E64779"/>
    <w:rPr>
      <w:sz w:val="16"/>
      <w:szCs w:val="16"/>
    </w:rPr>
  </w:style>
  <w:style w:type="paragraph" w:styleId="Tekstopmerking">
    <w:name w:val="annotation text"/>
    <w:basedOn w:val="Standaard"/>
    <w:link w:val="TekstopmerkingChar"/>
    <w:uiPriority w:val="99"/>
    <w:rsid w:val="00E64779"/>
    <w:pPr>
      <w:spacing w:line="240" w:lineRule="auto"/>
    </w:pPr>
    <w:rPr>
      <w:sz w:val="20"/>
      <w:szCs w:val="20"/>
    </w:rPr>
  </w:style>
  <w:style w:type="character" w:customStyle="1" w:styleId="TekstopmerkingChar">
    <w:name w:val="Tekst opmerking Char"/>
    <w:basedOn w:val="Standaardalinea-lettertype"/>
    <w:link w:val="Tekstopmerking"/>
    <w:uiPriority w:val="99"/>
    <w:rsid w:val="00E64779"/>
    <w:rPr>
      <w:rFonts w:ascii="Verdana" w:hAnsi="Verdana"/>
      <w:lang w:val="nl-NL" w:eastAsia="nl-NL"/>
    </w:rPr>
  </w:style>
  <w:style w:type="paragraph" w:styleId="Onderwerpvanopmerking">
    <w:name w:val="annotation subject"/>
    <w:basedOn w:val="Tekstopmerking"/>
    <w:next w:val="Tekstopmerking"/>
    <w:link w:val="OnderwerpvanopmerkingChar"/>
    <w:rsid w:val="00E64779"/>
    <w:rPr>
      <w:b/>
      <w:bCs/>
    </w:rPr>
  </w:style>
  <w:style w:type="character" w:customStyle="1" w:styleId="OnderwerpvanopmerkingChar">
    <w:name w:val="Onderwerp van opmerking Char"/>
    <w:basedOn w:val="TekstopmerkingChar"/>
    <w:link w:val="Onderwerpvanopmerking"/>
    <w:rsid w:val="00E64779"/>
    <w:rPr>
      <w:rFonts w:ascii="Verdana" w:hAnsi="Verdana"/>
      <w:b/>
      <w:bCs/>
      <w:lang w:val="nl-NL" w:eastAsia="nl-NL"/>
    </w:rPr>
  </w:style>
  <w:style w:type="paragraph" w:styleId="Lijstalinea">
    <w:name w:val="List Paragraph"/>
    <w:basedOn w:val="Standaard"/>
    <w:uiPriority w:val="34"/>
    <w:qFormat/>
    <w:rsid w:val="00E64779"/>
    <w:pPr>
      <w:ind w:left="720"/>
      <w:contextualSpacing/>
    </w:pPr>
  </w:style>
  <w:style w:type="paragraph" w:styleId="Revisie">
    <w:name w:val="Revision"/>
    <w:hidden/>
    <w:uiPriority w:val="99"/>
    <w:semiHidden/>
    <w:rsid w:val="004E4F0E"/>
    <w:rPr>
      <w:rFonts w:ascii="Verdana" w:hAnsi="Verdana"/>
      <w:sz w:val="18"/>
      <w:szCs w:val="24"/>
      <w:lang w:val="nl-NL" w:eastAsia="nl-NL"/>
    </w:rPr>
  </w:style>
  <w:style w:type="character" w:styleId="Voetnootmarkering">
    <w:name w:val="footnote reference"/>
    <w:basedOn w:val="Standaardalinea-lettertype"/>
    <w:rsid w:val="000B5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1526</ap:Words>
  <ap:Characters>8918</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2024-11-08T14:15:00.0000000Z</lastPrinted>
  <dcterms:created xsi:type="dcterms:W3CDTF">2024-11-20T15:00:00.0000000Z</dcterms:created>
  <dcterms:modified xsi:type="dcterms:W3CDTF">2024-11-20T15:00:00.0000000Z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O202SEL</vt:lpwstr>
  </property>
  <property fmtid="{D5CDD505-2E9C-101B-9397-08002B2CF9AE}" pid="3" name="Author">
    <vt:lpwstr>O202SEL</vt:lpwstr>
  </property>
  <property fmtid="{D5CDD505-2E9C-101B-9397-08002B2CF9AE}" pid="4" name="cs_objectid">
    <vt:lpwstr>49125534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Onderzoeken onderwijs aan nieuwkomers </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O202SEL</vt:lpwstr>
  </property>
</Properties>
</file>