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936F0" w:rsidTr="002F65E7" w14:paraId="254856B6" w14:textId="77777777">
        <w:tc>
          <w:tcPr>
            <w:tcW w:w="9062" w:type="dxa"/>
            <w:gridSpan w:val="2"/>
          </w:tcPr>
          <w:p w:rsidRPr="001936F0" w:rsidR="001936F0" w:rsidP="002F65E7" w:rsidRDefault="001936F0" w14:paraId="3CDA7F09" w14:textId="451A1C5C">
            <w:pPr>
              <w:pStyle w:val="Geenafstand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36F0">
              <w:rPr>
                <w:rFonts w:ascii="Verdana" w:hAnsi="Verdana"/>
                <w:b/>
                <w:bCs/>
                <w:sz w:val="18"/>
                <w:szCs w:val="18"/>
              </w:rPr>
              <w:t>Maatregel:</w:t>
            </w:r>
            <w:r w:rsidR="005919B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76580" w:rsidR="005919B5">
              <w:rPr>
                <w:rFonts w:ascii="Verdana" w:hAnsi="Verdana"/>
                <w:b/>
                <w:bCs/>
                <w:sz w:val="18"/>
                <w:szCs w:val="18"/>
              </w:rPr>
              <w:t>Nationaal Versterkingsplan van Microchip-talent</w:t>
            </w:r>
          </w:p>
        </w:tc>
      </w:tr>
      <w:tr w:rsidR="001936F0" w:rsidTr="002F65E7" w14:paraId="0C35B2FB" w14:textId="77777777">
        <w:tc>
          <w:tcPr>
            <w:tcW w:w="2689" w:type="dxa"/>
          </w:tcPr>
          <w:p w:rsidRPr="001936F0" w:rsidR="001936F0" w:rsidP="002F65E7" w:rsidRDefault="001936F0" w14:paraId="633340CF" w14:textId="7777777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1936F0">
              <w:rPr>
                <w:rFonts w:ascii="Verdana" w:hAnsi="Verdana"/>
                <w:sz w:val="18"/>
                <w:szCs w:val="18"/>
              </w:rPr>
              <w:t>1. Doel(en)</w:t>
            </w:r>
          </w:p>
        </w:tc>
        <w:tc>
          <w:tcPr>
            <w:tcW w:w="6373" w:type="dxa"/>
          </w:tcPr>
          <w:p w:rsidRPr="00670F9A" w:rsidR="001936F0" w:rsidP="001936F0" w:rsidRDefault="009B3ADB" w14:paraId="7E9EF0DA" w14:textId="0B757727">
            <w:pPr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B3ADB">
              <w:rPr>
                <w:rFonts w:ascii="Verdana" w:hAnsi="Verdana"/>
                <w:sz w:val="18"/>
                <w:szCs w:val="18"/>
              </w:rPr>
              <w:t xml:space="preserve">De microchipindustrie is een van de belangrijkste pijlers van het huidige en het toekomstige verdienvermogen van Nederland. </w:t>
            </w:r>
            <w:r w:rsidRPr="00670F9A" w:rsidR="00670F9A">
              <w:rPr>
                <w:rFonts w:ascii="Verdana" w:hAnsi="Verdana"/>
                <w:sz w:val="18"/>
                <w:szCs w:val="18"/>
              </w:rPr>
              <w:t>Het doel van dit versterkingsplan is om te zorgen voor een groei van technici voor de microchipindustrie. Voor deze sector wordt op korte termijn - tot en met 2030 - een groeiende talentvraag verwacht van 38.000 extra technisch opgeleide mensen.</w:t>
            </w:r>
          </w:p>
          <w:p w:rsidRPr="001936F0" w:rsidR="00670F9A" w:rsidP="001936F0" w:rsidRDefault="00670F9A" w14:paraId="7B0F1215" w14:textId="2B6F7ED3">
            <w:pPr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1936F0" w:rsidTr="002F65E7" w14:paraId="4B2B169B" w14:textId="77777777">
        <w:tc>
          <w:tcPr>
            <w:tcW w:w="2689" w:type="dxa"/>
          </w:tcPr>
          <w:p w:rsidRPr="001936F0" w:rsidR="001936F0" w:rsidP="002F65E7" w:rsidRDefault="001936F0" w14:paraId="03200AB3" w14:textId="7777777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1936F0">
              <w:rPr>
                <w:rFonts w:ascii="Verdana" w:hAnsi="Verdana"/>
                <w:sz w:val="18"/>
                <w:szCs w:val="18"/>
              </w:rPr>
              <w:t>2. Beleidsinstrument(en)</w:t>
            </w:r>
          </w:p>
        </w:tc>
        <w:tc>
          <w:tcPr>
            <w:tcW w:w="6373" w:type="dxa"/>
          </w:tcPr>
          <w:p w:rsidRPr="00A41541" w:rsidR="00A41541" w:rsidP="002F65E7" w:rsidRDefault="006C0FE7" w14:paraId="5AFA0F99" w14:textId="093ABD64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A41541">
              <w:rPr>
                <w:rFonts w:ascii="Verdana" w:hAnsi="Verdana"/>
                <w:sz w:val="18"/>
                <w:szCs w:val="18"/>
              </w:rPr>
              <w:t xml:space="preserve">De middelen worden aan de regio’s Brainport, Delft, Twente en het Noorden toegekend via een maatwerksubsidie door RVO. </w:t>
            </w:r>
            <w:r w:rsidR="00A41541">
              <w:rPr>
                <w:rFonts w:ascii="Verdana" w:hAnsi="Verdana"/>
                <w:sz w:val="18"/>
                <w:szCs w:val="18"/>
              </w:rPr>
              <w:t xml:space="preserve">De vier regio’s hebben plannen ingediend die zijn beoordeeld door de regiegroep onder leiding van speciaal gezant, </w:t>
            </w:r>
            <w:r w:rsidRPr="00BA3F60" w:rsidR="00A41541">
              <w:rPr>
                <w:rFonts w:ascii="Verdana" w:hAnsi="Verdana"/>
                <w:sz w:val="18"/>
                <w:szCs w:val="18"/>
              </w:rPr>
              <w:t>Hans de Jong</w:t>
            </w:r>
            <w:r w:rsidR="00A41541">
              <w:rPr>
                <w:rFonts w:ascii="Verdana" w:hAnsi="Verdana"/>
                <w:sz w:val="18"/>
                <w:szCs w:val="18"/>
              </w:rPr>
              <w:t>. Met input vanuit vertegenwoordigers vanuit het onderwijs en bedrijfsleven.</w:t>
            </w:r>
            <w:r w:rsidR="006114E4">
              <w:rPr>
                <w:rFonts w:ascii="Verdana" w:hAnsi="Verdana"/>
                <w:sz w:val="18"/>
                <w:szCs w:val="18"/>
              </w:rPr>
              <w:t xml:space="preserve"> De studiefinancieringsmiddelen worden aan de reguliere SF-instrumenten op de OCW-begroting toegevoegd.</w:t>
            </w:r>
          </w:p>
          <w:p w:rsidRPr="001936F0" w:rsidR="006C0FE7" w:rsidP="002F65E7" w:rsidRDefault="006C0FE7" w14:paraId="6BC04BDC" w14:textId="0006368E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</w:tc>
      </w:tr>
      <w:tr w:rsidR="001936F0" w:rsidTr="002F65E7" w14:paraId="4EB02525" w14:textId="77777777">
        <w:trPr>
          <w:trHeight w:val="1692"/>
        </w:trPr>
        <w:tc>
          <w:tcPr>
            <w:tcW w:w="2689" w:type="dxa"/>
          </w:tcPr>
          <w:p w:rsidRPr="001936F0" w:rsidR="001936F0" w:rsidP="002F65E7" w:rsidRDefault="001936F0" w14:paraId="4F0F1080" w14:textId="77777777">
            <w:pPr>
              <w:pStyle w:val="Geenafstand"/>
              <w:ind w:left="731" w:hanging="709"/>
              <w:rPr>
                <w:rFonts w:ascii="Verdana" w:hAnsi="Verdana"/>
                <w:sz w:val="18"/>
                <w:szCs w:val="18"/>
              </w:rPr>
            </w:pPr>
            <w:r w:rsidRPr="001936F0">
              <w:rPr>
                <w:rFonts w:ascii="Verdana" w:hAnsi="Verdana"/>
                <w:sz w:val="18"/>
                <w:szCs w:val="18"/>
              </w:rPr>
              <w:t xml:space="preserve">3. </w:t>
            </w:r>
            <w:r w:rsidRPr="001936F0">
              <w:rPr>
                <w:rFonts w:ascii="Verdana" w:hAnsi="Verdana"/>
                <w:sz w:val="18"/>
                <w:szCs w:val="18"/>
              </w:rPr>
              <w:tab/>
              <w:t>A. Financiële gevolgen voor het Rijk</w:t>
            </w:r>
          </w:p>
        </w:tc>
        <w:tc>
          <w:tcPr>
            <w:tcW w:w="6373" w:type="dxa"/>
          </w:tcPr>
          <w:p w:rsidR="000F25A2" w:rsidP="002F65E7" w:rsidRDefault="000F25A2" w14:paraId="5E234625" w14:textId="4BEF4BD9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D12648">
              <w:rPr>
                <w:rFonts w:ascii="Verdana" w:hAnsi="Verdana"/>
                <w:sz w:val="18"/>
                <w:szCs w:val="18"/>
              </w:rPr>
              <w:t xml:space="preserve">anuit de Rijksoverheid </w:t>
            </w: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D12648">
              <w:rPr>
                <w:rFonts w:ascii="Verdana" w:hAnsi="Verdana"/>
                <w:sz w:val="18"/>
                <w:szCs w:val="18"/>
              </w:rPr>
              <w:t>incidenteel € 450 miljoen tot en met 2030 en vanaf 2031 structureel € 80 miljoen per jaar beschikbaar.</w:t>
            </w:r>
          </w:p>
          <w:p w:rsidR="001936F0" w:rsidP="00D345A9" w:rsidRDefault="001936F0" w14:paraId="69046CB7" w14:textId="77777777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D345A9" w:rsidR="00D345A9" w:rsidP="00D345A9" w:rsidRDefault="00D345A9" w14:paraId="3653AF88" w14:textId="77777777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</w:pPr>
            <w:r w:rsidRPr="00D345A9"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  <w:t>De volgende bedragen zijn van de AP overgeheveld naar de departementale begrotingen.</w:t>
            </w:r>
          </w:p>
          <w:p w:rsidRPr="00D345A9" w:rsidR="00D345A9" w:rsidP="00D345A9" w:rsidRDefault="00D345A9" w14:paraId="4381C03C" w14:textId="77777777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</w:pPr>
          </w:p>
          <w:tbl>
            <w:tblPr>
              <w:tblStyle w:val="Tabelraster"/>
              <w:tblW w:w="5665" w:type="dxa"/>
              <w:tblLook w:val="04A0" w:firstRow="1" w:lastRow="0" w:firstColumn="1" w:lastColumn="0" w:noHBand="0" w:noVBand="1"/>
            </w:tblPr>
            <w:tblGrid>
              <w:gridCol w:w="2689"/>
              <w:gridCol w:w="992"/>
              <w:gridCol w:w="992"/>
              <w:gridCol w:w="992"/>
            </w:tblGrid>
            <w:tr w:rsidRPr="00D345A9" w:rsidR="00D345A9" w:rsidTr="00D345A9" w14:paraId="7B1D49D2" w14:textId="77777777">
              <w:trPr>
                <w:trHeight w:val="255"/>
              </w:trPr>
              <w:tc>
                <w:tcPr>
                  <w:tcW w:w="2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63B890BE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In € x 1.000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3A95A5C9" w14:textId="77777777">
                  <w:pPr>
                    <w:pStyle w:val="Geenafstand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1A05E4EA" w14:textId="77777777">
                  <w:pPr>
                    <w:pStyle w:val="Geenafstand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6F2BB720" w14:textId="77777777">
                  <w:pPr>
                    <w:pStyle w:val="Geenafstand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2027</w:t>
                  </w:r>
                </w:p>
              </w:tc>
            </w:tr>
            <w:tr w:rsidRPr="00D345A9" w:rsidR="00D345A9" w:rsidTr="00D345A9" w14:paraId="2979D31A" w14:textId="77777777">
              <w:trPr>
                <w:trHeight w:val="255"/>
              </w:trPr>
              <w:tc>
                <w:tcPr>
                  <w:tcW w:w="2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2DA5FF97" w14:textId="77777777">
                  <w:pPr>
                    <w:pStyle w:val="Geenafstand"/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Opvragen AP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544B18E6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30.698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60070F9C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43.135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09EECEA2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8.659</w:t>
                  </w:r>
                </w:p>
              </w:tc>
            </w:tr>
            <w:tr w:rsidRPr="00D345A9" w:rsidR="00D345A9" w:rsidTr="00D345A9" w14:paraId="1BFF2E50" w14:textId="77777777">
              <w:trPr>
                <w:trHeight w:val="255"/>
              </w:trPr>
              <w:tc>
                <w:tcPr>
                  <w:tcW w:w="2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41A45367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Activiteiten (EZ)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582070C8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30.398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6F9384BE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42.235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09584FEF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8.659</w:t>
                  </w:r>
                </w:p>
              </w:tc>
            </w:tr>
            <w:tr w:rsidRPr="00D345A9" w:rsidR="00D345A9" w:rsidTr="00D345A9" w14:paraId="68A55684" w14:textId="77777777">
              <w:trPr>
                <w:trHeight w:val="255"/>
              </w:trPr>
              <w:tc>
                <w:tcPr>
                  <w:tcW w:w="2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27A0662A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Bekostiging (OCW)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4F7C2E73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6A0EDFC5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57AB7B48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 </w:t>
                  </w:r>
                </w:p>
              </w:tc>
            </w:tr>
            <w:tr w:rsidRPr="00D345A9" w:rsidR="00D345A9" w:rsidTr="00D345A9" w14:paraId="1A7557AF" w14:textId="77777777">
              <w:trPr>
                <w:trHeight w:val="255"/>
              </w:trPr>
              <w:tc>
                <w:tcPr>
                  <w:tcW w:w="2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29F4EC3B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Studiefinanciering (OCW)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34176AF3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016ECC1D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900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1299343A" w14:textId="77777777">
                  <w:pPr>
                    <w:pStyle w:val="Geenafstand"/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i/>
                      <w:iCs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 </w:t>
                  </w:r>
                </w:p>
              </w:tc>
            </w:tr>
            <w:tr w:rsidRPr="00D345A9" w:rsidR="00D345A9" w:rsidTr="00D345A9" w14:paraId="7280DCDA" w14:textId="77777777">
              <w:trPr>
                <w:trHeight w:val="255"/>
              </w:trPr>
              <w:tc>
                <w:tcPr>
                  <w:tcW w:w="26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22B1A5E9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Restant AP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1436A8DC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302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0FF8CD83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12.565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hideMark/>
                </w:tcPr>
                <w:p w:rsidRPr="00D345A9" w:rsidR="00D345A9" w:rsidP="00D345A9" w:rsidRDefault="00D345A9" w14:paraId="56F0E4A8" w14:textId="77777777">
                  <w:pPr>
                    <w:pStyle w:val="Geenafstand"/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</w:pPr>
                  <w:r w:rsidRPr="00D345A9">
                    <w:rPr>
                      <w:rFonts w:ascii="Verdana" w:hAnsi="Verdana"/>
                      <w:color w:val="000000"/>
                      <w:sz w:val="18"/>
                      <w:szCs w:val="18"/>
                      <w:bdr w:val="none" w:color="auto" w:sz="0" w:space="0" w:frame="1"/>
                    </w:rPr>
                    <w:t>63.841</w:t>
                  </w:r>
                </w:p>
              </w:tc>
            </w:tr>
          </w:tbl>
          <w:p w:rsidRPr="00D345A9" w:rsidR="00D345A9" w:rsidP="00D345A9" w:rsidRDefault="00D345A9" w14:paraId="54A59B38" w14:textId="77777777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</w:pPr>
          </w:p>
          <w:p w:rsidRPr="001936F0" w:rsidR="00D345A9" w:rsidP="00D345A9" w:rsidRDefault="00D345A9" w14:paraId="7B7B9280" w14:textId="6D14CD73">
            <w:pPr>
              <w:pStyle w:val="Geenafstand"/>
              <w:rPr>
                <w:rFonts w:ascii="Verdana" w:hAnsi="Verdana"/>
                <w:color w:val="000000"/>
                <w:sz w:val="18"/>
                <w:szCs w:val="18"/>
                <w:bdr w:val="none" w:color="auto" w:sz="0" w:space="0" w:frame="1"/>
              </w:rPr>
            </w:pPr>
          </w:p>
        </w:tc>
      </w:tr>
      <w:tr w:rsidR="001936F0" w:rsidTr="002F65E7" w14:paraId="380605FA" w14:textId="77777777">
        <w:tc>
          <w:tcPr>
            <w:tcW w:w="2689" w:type="dxa"/>
          </w:tcPr>
          <w:p w:rsidRPr="001936F0" w:rsidR="001936F0" w:rsidP="002F65E7" w:rsidRDefault="001936F0" w14:paraId="568DE4F7" w14:textId="77777777">
            <w:pPr>
              <w:pStyle w:val="Geenafstand"/>
              <w:ind w:left="731" w:hanging="731"/>
              <w:rPr>
                <w:rFonts w:ascii="Verdana" w:hAnsi="Verdana"/>
                <w:sz w:val="18"/>
                <w:szCs w:val="18"/>
              </w:rPr>
            </w:pPr>
            <w:r w:rsidRPr="001936F0">
              <w:rPr>
                <w:rFonts w:ascii="Verdana" w:hAnsi="Verdana"/>
                <w:sz w:val="18"/>
                <w:szCs w:val="18"/>
              </w:rPr>
              <w:tab/>
              <w:t>B. Financiële gevolgen voor maatschappelijke sectoren</w:t>
            </w:r>
          </w:p>
        </w:tc>
        <w:tc>
          <w:tcPr>
            <w:tcW w:w="6373" w:type="dxa"/>
          </w:tcPr>
          <w:p w:rsidRPr="00407EA0" w:rsidR="00407EA0" w:rsidP="00407EA0" w:rsidRDefault="00407EA0" w14:paraId="4A9D168A" w14:textId="11844EF5">
            <w:pPr>
              <w:rPr>
                <w:rFonts w:ascii="Verdana" w:hAnsi="Verdana"/>
                <w:sz w:val="18"/>
                <w:szCs w:val="18"/>
              </w:rPr>
            </w:pPr>
            <w:r w:rsidRPr="00407EA0">
              <w:rPr>
                <w:rFonts w:ascii="Verdana" w:hAnsi="Verdana"/>
                <w:sz w:val="18"/>
                <w:szCs w:val="18"/>
              </w:rPr>
              <w:t xml:space="preserve">De tekorten </w:t>
            </w:r>
            <w:r>
              <w:rPr>
                <w:rFonts w:ascii="Verdana" w:hAnsi="Verdana"/>
                <w:sz w:val="18"/>
                <w:szCs w:val="18"/>
              </w:rPr>
              <w:t>aan talent in de microchip</w:t>
            </w:r>
            <w:r w:rsidRPr="00407EA0">
              <w:rPr>
                <w:rFonts w:ascii="Verdana" w:hAnsi="Verdana"/>
                <w:sz w:val="18"/>
                <w:szCs w:val="18"/>
              </w:rPr>
              <w:t xml:space="preserve"> sector zijn groot en de ambities zijn </w:t>
            </w:r>
            <w:r>
              <w:rPr>
                <w:rFonts w:ascii="Verdana" w:hAnsi="Verdana"/>
                <w:sz w:val="18"/>
                <w:szCs w:val="18"/>
              </w:rPr>
              <w:t>fors</w:t>
            </w:r>
            <w:r w:rsidRPr="00407EA0">
              <w:rPr>
                <w:rFonts w:ascii="Verdana" w:hAnsi="Verdana"/>
                <w:sz w:val="18"/>
                <w:szCs w:val="18"/>
              </w:rPr>
              <w:t>. Dit plan stelt bedrijven in de microchipindustrie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65687">
              <w:rPr>
                <w:rFonts w:ascii="Verdana" w:hAnsi="Verdana"/>
                <w:sz w:val="18"/>
                <w:szCs w:val="18"/>
              </w:rPr>
              <w:t xml:space="preserve">in staat om </w:t>
            </w:r>
            <w:r w:rsidRPr="00407EA0">
              <w:rPr>
                <w:rFonts w:ascii="Verdana" w:hAnsi="Verdana"/>
                <w:sz w:val="18"/>
                <w:szCs w:val="18"/>
              </w:rPr>
              <w:t>stevig te groeien in Nederland. Dit heeft positieve effecten op de werkgelegenheid en de economische ontwikkeling en versterkt de wereldwijde positie van Nederland binnen de microchipindustrie.</w:t>
            </w:r>
          </w:p>
          <w:p w:rsidRPr="001936F0" w:rsidR="001936F0" w:rsidP="002F65E7" w:rsidRDefault="001936F0" w14:paraId="1C95C07C" w14:textId="063F6F4A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</w:tc>
      </w:tr>
      <w:tr w:rsidR="001936F0" w:rsidTr="002F65E7" w14:paraId="5CB35E3E" w14:textId="77777777">
        <w:tc>
          <w:tcPr>
            <w:tcW w:w="2689" w:type="dxa"/>
          </w:tcPr>
          <w:p w:rsidRPr="001936F0" w:rsidR="001936F0" w:rsidP="002F65E7" w:rsidRDefault="001936F0" w14:paraId="5A2012BF" w14:textId="7777777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1936F0">
              <w:rPr>
                <w:rFonts w:ascii="Verdana" w:hAnsi="Verdana"/>
                <w:sz w:val="18"/>
                <w:szCs w:val="18"/>
              </w:rPr>
              <w:t>4. Nagestreefde doeltreffendheid</w:t>
            </w:r>
          </w:p>
        </w:tc>
        <w:tc>
          <w:tcPr>
            <w:tcW w:w="6373" w:type="dxa"/>
          </w:tcPr>
          <w:p w:rsidR="001936F0" w:rsidP="000F4601" w:rsidRDefault="000F4601" w14:paraId="366C3BE5" w14:textId="3C8BA20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0F4601">
              <w:rPr>
                <w:rFonts w:ascii="Verdana" w:hAnsi="Verdana"/>
                <w:sz w:val="18"/>
                <w:szCs w:val="18"/>
              </w:rPr>
              <w:t xml:space="preserve">Elk plan is getoetst op hoe de maatregelen concreet gaan bijdragen aan voldoende talent voor de microchipindustrie. </w:t>
            </w:r>
            <w:r w:rsidR="007D49CE">
              <w:rPr>
                <w:rFonts w:ascii="Verdana" w:hAnsi="Verdana"/>
                <w:sz w:val="18"/>
                <w:szCs w:val="18"/>
              </w:rPr>
              <w:t xml:space="preserve">Een regiegroep onder leiding van Hans de Jong heeft advies uitgebracht mede op basis van input vanuit </w:t>
            </w:r>
            <w:r w:rsidRPr="000F4601">
              <w:rPr>
                <w:rFonts w:ascii="Verdana" w:hAnsi="Verdana"/>
                <w:sz w:val="18"/>
                <w:szCs w:val="18"/>
              </w:rPr>
              <w:t>diverse experts uit het onderwijs en het bedrijfsleven.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4601">
              <w:rPr>
                <w:rFonts w:ascii="Verdana" w:hAnsi="Verdana"/>
                <w:sz w:val="18"/>
                <w:szCs w:val="18"/>
              </w:rPr>
              <w:t>Voorts worden de plannen tussentijds op hun voortgang en effectiviteit gemonitord en geëvalueerd. Na twee jaar is er voor elke regio een ‘stage-gate’. Alleen bij voldoende progressie wordt een volgende reeks middelen beschikbaar gesteld voor de regio’s.</w:t>
            </w:r>
            <w:r w:rsidR="00D35D7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Pr="000F4601" w:rsidR="000F4601" w:rsidP="000F4601" w:rsidRDefault="000F4601" w14:paraId="74948B80" w14:textId="7777777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</w:p>
          <w:p w:rsidRPr="001936F0" w:rsidR="000F4601" w:rsidP="000F4601" w:rsidRDefault="000F4601" w14:paraId="4D12938D" w14:textId="2252BE5D">
            <w:pPr>
              <w:pStyle w:val="Geenafstand"/>
              <w:rPr>
                <w:rFonts w:ascii="Verdana" w:hAnsi="Verdana" w:eastAsia="Times New Roman" w:cs="Segoe UI"/>
                <w:color w:val="000000"/>
                <w:sz w:val="18"/>
                <w:szCs w:val="18"/>
                <w:lang w:eastAsia="nl-NL"/>
              </w:rPr>
            </w:pPr>
          </w:p>
        </w:tc>
      </w:tr>
      <w:tr w:rsidR="001936F0" w:rsidTr="002F65E7" w14:paraId="7BF38EF2" w14:textId="77777777">
        <w:tc>
          <w:tcPr>
            <w:tcW w:w="2689" w:type="dxa"/>
          </w:tcPr>
          <w:p w:rsidRPr="001936F0" w:rsidR="001936F0" w:rsidP="002F65E7" w:rsidRDefault="001936F0" w14:paraId="68334F15" w14:textId="77777777">
            <w:pPr>
              <w:pStyle w:val="Geenafstand"/>
              <w:rPr>
                <w:rFonts w:ascii="Verdana" w:hAnsi="Verdana"/>
                <w:sz w:val="18"/>
                <w:szCs w:val="18"/>
              </w:rPr>
            </w:pPr>
            <w:r w:rsidRPr="001936F0">
              <w:rPr>
                <w:rFonts w:ascii="Verdana" w:hAnsi="Verdana"/>
                <w:sz w:val="18"/>
                <w:szCs w:val="18"/>
              </w:rPr>
              <w:t>5. Nagestreefde doelmatigheid</w:t>
            </w:r>
          </w:p>
        </w:tc>
        <w:tc>
          <w:tcPr>
            <w:tcW w:w="6373" w:type="dxa"/>
          </w:tcPr>
          <w:p w:rsidR="00F45D7F" w:rsidP="000F4601" w:rsidRDefault="00F45D7F" w14:paraId="351E465A" w14:textId="5C2209F1">
            <w:pPr>
              <w:pStyle w:val="paragraph"/>
              <w:textAlignment w:val="baseline"/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In het voorjaar 2024 is er een convenant getekend tussen Rijk en regio. </w:t>
            </w:r>
            <w:r w:rsidR="00D35D76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Hierin is de intentie uitgesproken om g</w:t>
            </w:r>
            <w:r w:rsidRPr="00D35D76" w:rsidR="00D35D76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ezamenlijke de groei van </w:t>
            </w:r>
            <w:r w:rsidRPr="00D35D76" w:rsidR="00D35D76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de microchipsector in Nederland te versterken</w:t>
            </w:r>
            <w:r w:rsidR="00D35D76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. </w:t>
            </w:r>
          </w:p>
          <w:p w:rsidR="00294422" w:rsidP="00294422" w:rsidRDefault="00294422" w14:paraId="2798BA22" w14:textId="77777777">
            <w:pPr>
              <w:rPr>
                <w:rFonts w:ascii="Verdana" w:hAnsi="Verdana"/>
                <w:sz w:val="18"/>
                <w:szCs w:val="18"/>
              </w:rPr>
            </w:pPr>
            <w:r w:rsidRPr="00BD67C0">
              <w:rPr>
                <w:rFonts w:ascii="Verdana" w:hAnsi="Verdana"/>
                <w:sz w:val="18"/>
                <w:szCs w:val="18"/>
              </w:rPr>
              <w:t xml:space="preserve">De middelen </w:t>
            </w:r>
            <w:r>
              <w:rPr>
                <w:rFonts w:ascii="Verdana" w:hAnsi="Verdana"/>
                <w:sz w:val="18"/>
                <w:szCs w:val="18"/>
              </w:rPr>
              <w:t xml:space="preserve">voor de regio’s </w:t>
            </w:r>
            <w:r w:rsidRPr="00BD67C0">
              <w:rPr>
                <w:rFonts w:ascii="Verdana" w:hAnsi="Verdana"/>
                <w:sz w:val="18"/>
                <w:szCs w:val="18"/>
              </w:rPr>
              <w:t xml:space="preserve">worden ingezet </w:t>
            </w:r>
            <w:r>
              <w:rPr>
                <w:rFonts w:ascii="Verdana" w:hAnsi="Verdana"/>
                <w:sz w:val="18"/>
                <w:szCs w:val="18"/>
              </w:rPr>
              <w:t>om de instroom van (internationale)</w:t>
            </w:r>
            <w:r w:rsidRPr="00BD67C0">
              <w:rPr>
                <w:rFonts w:ascii="Verdana" w:hAnsi="Verdana"/>
                <w:sz w:val="18"/>
                <w:szCs w:val="18"/>
              </w:rPr>
              <w:t xml:space="preserve"> studenten</w:t>
            </w:r>
            <w:r>
              <w:rPr>
                <w:rFonts w:ascii="Verdana" w:hAnsi="Verdana"/>
                <w:sz w:val="18"/>
                <w:szCs w:val="18"/>
              </w:rPr>
              <w:t xml:space="preserve"> te verhogen in technische opleidingen die opleiden voor onder andere de microchipsector. </w:t>
            </w:r>
            <w:r w:rsidRPr="000347B4">
              <w:rPr>
                <w:rFonts w:ascii="Verdana" w:hAnsi="Verdana"/>
                <w:sz w:val="18"/>
                <w:szCs w:val="18"/>
              </w:rPr>
              <w:t xml:space="preserve">Door in te zetten op capaciteitsvergroting i.c.m. de inzet op het aantrekken van internationaal talent </w:t>
            </w:r>
            <w:r>
              <w:rPr>
                <w:rFonts w:ascii="Verdana" w:hAnsi="Verdana"/>
                <w:sz w:val="18"/>
                <w:szCs w:val="18"/>
              </w:rPr>
              <w:t>is er</w:t>
            </w:r>
            <w:r w:rsidRPr="000347B4">
              <w:rPr>
                <w:rFonts w:ascii="Verdana" w:hAnsi="Verdana"/>
                <w:sz w:val="18"/>
                <w:szCs w:val="18"/>
              </w:rPr>
              <w:t xml:space="preserve"> een (direct) effect van de inzet van deze extra middelen.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558DE" w:rsidP="000F4601" w:rsidRDefault="00294422" w14:paraId="2074FB83" w14:textId="77777777">
            <w:pPr>
              <w:pStyle w:val="paragraph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Ook wordt ingezet op het om- en bijscholen van mensen voor de microchipsector. </w:t>
            </w:r>
            <w:r w:rsidRPr="000347B4">
              <w:rPr>
                <w:rFonts w:ascii="Verdana" w:hAnsi="Verdana"/>
                <w:sz w:val="18"/>
                <w:szCs w:val="18"/>
              </w:rPr>
              <w:t xml:space="preserve">Op dit punt worden aanvullende voorwaarden </w:t>
            </w:r>
            <w:r w:rsidRPr="000347B4">
              <w:rPr>
                <w:rFonts w:ascii="Verdana" w:hAnsi="Verdana"/>
                <w:sz w:val="18"/>
                <w:szCs w:val="18"/>
              </w:rPr>
              <w:lastRenderedPageBreak/>
              <w:t xml:space="preserve">gesteld om zowel de activiteiten als doelstellingen realistisch </w:t>
            </w:r>
            <w:r>
              <w:rPr>
                <w:rFonts w:ascii="Verdana" w:hAnsi="Verdana"/>
                <w:sz w:val="18"/>
                <w:szCs w:val="18"/>
              </w:rPr>
              <w:t xml:space="preserve">en doelmatig </w:t>
            </w:r>
            <w:r w:rsidRPr="000347B4">
              <w:rPr>
                <w:rFonts w:ascii="Verdana" w:hAnsi="Verdana"/>
                <w:sz w:val="18"/>
                <w:szCs w:val="18"/>
              </w:rPr>
              <w:t xml:space="preserve">te krijgen. </w:t>
            </w:r>
          </w:p>
          <w:p w:rsidR="003058E9" w:rsidP="000F4601" w:rsidRDefault="00BD67C0" w14:paraId="2D1BF278" w14:textId="4DA079FF">
            <w:pPr>
              <w:pStyle w:val="paragraph"/>
              <w:textAlignment w:val="baseline"/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G</w:t>
            </w:r>
            <w:r w:rsidRPr="000F4601" w:rsidR="000F460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ekeken</w:t>
            </w:r>
            <w:r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is</w:t>
            </w:r>
            <w:r w:rsidRPr="000F4601" w:rsidR="000F460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waar de verwachting is dat er extra personeel nodig is </w:t>
            </w:r>
            <w:r w:rsidR="00C21D17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en </w:t>
            </w:r>
            <w:r w:rsidRPr="000F4601" w:rsidR="000F460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waar dit personeel naar verwachting vandaan moet komen. Op afstand de grootste opgave ligt in de Brainportregio, waarvan ongeveer 68% van het personeel in de microchipindustrie hun werkkring vindt</w:t>
            </w:r>
            <w:r w:rsidR="000F460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.</w:t>
            </w:r>
            <w:r w:rsidR="00C86BCE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</w:t>
            </w:r>
          </w:p>
          <w:p w:rsidRPr="003058E9" w:rsidR="00FE17B0" w:rsidP="000F4601" w:rsidRDefault="00FE17B0" w14:paraId="78D77013" w14:textId="31AC0148">
            <w:pPr>
              <w:pStyle w:val="paragraph"/>
              <w:textAlignment w:val="baseline"/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1936F0" w:rsidTr="002F65E7" w14:paraId="39D6BAB5" w14:textId="77777777">
        <w:tc>
          <w:tcPr>
            <w:tcW w:w="2689" w:type="dxa"/>
          </w:tcPr>
          <w:p w:rsidRPr="00B734A7" w:rsidR="001936F0" w:rsidP="00B734A7" w:rsidRDefault="001936F0" w14:paraId="49BFD878" w14:textId="77777777">
            <w:pPr>
              <w:pStyle w:val="paragraph"/>
              <w:textAlignment w:val="baseline"/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</w:pPr>
            <w:r w:rsidRPr="00B734A7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lastRenderedPageBreak/>
              <w:t xml:space="preserve">6. Evaluatieparagraaf </w:t>
            </w:r>
          </w:p>
        </w:tc>
        <w:tc>
          <w:tcPr>
            <w:tcW w:w="6373" w:type="dxa"/>
          </w:tcPr>
          <w:p w:rsidRPr="00B734A7" w:rsidR="001936F0" w:rsidP="00B734A7" w:rsidRDefault="00B734A7" w14:paraId="02612A4A" w14:textId="051E99A6">
            <w:pPr>
              <w:pStyle w:val="paragraph"/>
              <w:textAlignment w:val="baseline"/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</w:pPr>
            <w:r w:rsidRPr="00B734A7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Het gaat om een lerend traject waarbij het van groot belang is om te monitoren, te evalueren en tijdig bij te sturen. Er zijn doelstellingen en tussentijdse </w:t>
            </w:r>
            <w:proofErr w:type="spellStart"/>
            <w:r w:rsidRPr="00B734A7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kpi’s</w:t>
            </w:r>
            <w:proofErr w:type="spellEnd"/>
            <w:r w:rsidRPr="00B734A7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geformuleerd, onder andere voor de verwachte groei van talent.</w:t>
            </w:r>
            <w:r w:rsidR="004A04A5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BD4EB1" w:rsidR="00BD4EB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In de eerste fase van de aanpak wordt primair gekeken naar de kwaliteit van de aanpak met daarbij ook een doorkijk naar hoe realistisch de verwachte kwantitatieve doelstellingen zijn.</w:t>
            </w:r>
            <w:r w:rsidR="00EC635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="00EA54EC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Het Platform Talent voor Technologie zal de </w:t>
            </w:r>
            <w:r w:rsidRPr="00BA3F60" w:rsidR="00EA54EC">
              <w:rPr>
                <w:rFonts w:ascii="Verdana" w:hAnsi="Verdana"/>
                <w:sz w:val="18"/>
                <w:szCs w:val="18"/>
              </w:rPr>
              <w:t>monitoring en evaluatie uitvoeren en</w:t>
            </w:r>
            <w:r w:rsidR="00EA54EC">
              <w:rPr>
                <w:rFonts w:ascii="Verdana" w:hAnsi="Verdana"/>
                <w:sz w:val="18"/>
                <w:szCs w:val="18"/>
              </w:rPr>
              <w:t xml:space="preserve"> ondersteunen bij de vormgeving van</w:t>
            </w:r>
            <w:r w:rsidRPr="00BA3F60" w:rsidR="00EA54E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A54EC">
              <w:rPr>
                <w:rFonts w:ascii="Verdana" w:hAnsi="Verdana"/>
                <w:sz w:val="18"/>
                <w:szCs w:val="18"/>
              </w:rPr>
              <w:t>de</w:t>
            </w:r>
            <w:r w:rsidRPr="00BA3F60" w:rsidR="00EA54EC">
              <w:rPr>
                <w:rFonts w:ascii="Verdana" w:hAnsi="Verdana"/>
                <w:sz w:val="18"/>
                <w:szCs w:val="18"/>
              </w:rPr>
              <w:t xml:space="preserve"> lerende aanpak</w:t>
            </w:r>
            <w:r w:rsidR="00EA54EC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EC6351" w:rsidR="00EC6351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>Elke twee jaar bezoekt een visitatiecommissie de regio’s voor de voortgang op hun plannen (stage-gate).</w:t>
            </w:r>
            <w:r w:rsidR="0058734B"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  <w:t xml:space="preserve"> Eind 2026 zal de eerste evaluatie plaatsvinden.</w:t>
            </w:r>
          </w:p>
          <w:p w:rsidRPr="00B734A7" w:rsidR="00B734A7" w:rsidP="00B734A7" w:rsidRDefault="00B734A7" w14:paraId="5FE0457D" w14:textId="0ED96E6C">
            <w:pPr>
              <w:pStyle w:val="paragraph"/>
              <w:textAlignment w:val="baseline"/>
              <w:rPr>
                <w:rFonts w:ascii="Verdana" w:hAnsi="Verdana" w:eastAsiaTheme="minorHAnsi" w:cstheme="minorBidi"/>
                <w:sz w:val="18"/>
                <w:szCs w:val="18"/>
                <w:lang w:eastAsia="en-US"/>
              </w:rPr>
            </w:pPr>
          </w:p>
        </w:tc>
      </w:tr>
    </w:tbl>
    <w:p w:rsidRPr="004213FB" w:rsidR="00FC3CB6" w:rsidRDefault="00FC3CB6" w14:paraId="350881FA" w14:textId="77777777">
      <w:pPr>
        <w:rPr>
          <w:rFonts w:ascii="Verdana" w:hAnsi="Verdana"/>
          <w:sz w:val="18"/>
          <w:szCs w:val="18"/>
        </w:rPr>
      </w:pPr>
    </w:p>
    <w:sectPr w:rsidRPr="004213FB" w:rsidR="00FC3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2778" w14:textId="77777777" w:rsidR="00CC1C1C" w:rsidRDefault="00CC1C1C" w:rsidP="001936F0">
      <w:pPr>
        <w:spacing w:after="0" w:line="240" w:lineRule="auto"/>
      </w:pPr>
      <w:r>
        <w:separator/>
      </w:r>
    </w:p>
  </w:endnote>
  <w:endnote w:type="continuationSeparator" w:id="0">
    <w:p w14:paraId="25CFE0DC" w14:textId="77777777" w:rsidR="00CC1C1C" w:rsidRDefault="00CC1C1C" w:rsidP="0019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6937" w14:textId="4DF06BBC" w:rsidR="001936F0" w:rsidRDefault="001936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8EF84" w14:textId="4373D648" w:rsidR="001936F0" w:rsidRDefault="001936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192E" w14:textId="1B61F480" w:rsidR="001936F0" w:rsidRDefault="001936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BEA3D" w14:textId="77777777" w:rsidR="00CC1C1C" w:rsidRDefault="00CC1C1C" w:rsidP="001936F0">
      <w:pPr>
        <w:spacing w:after="0" w:line="240" w:lineRule="auto"/>
      </w:pPr>
      <w:r>
        <w:separator/>
      </w:r>
    </w:p>
  </w:footnote>
  <w:footnote w:type="continuationSeparator" w:id="0">
    <w:p w14:paraId="3B8B85DD" w14:textId="77777777" w:rsidR="00CC1C1C" w:rsidRDefault="00CC1C1C" w:rsidP="0019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AFCD" w14:textId="77777777" w:rsidR="006207E8" w:rsidRDefault="006207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44DA" w14:textId="77777777" w:rsidR="006207E8" w:rsidRDefault="006207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8BF8" w14:textId="77777777" w:rsidR="006207E8" w:rsidRDefault="006207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8638D"/>
    <w:multiLevelType w:val="hybridMultilevel"/>
    <w:tmpl w:val="A57C28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8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F0"/>
    <w:rsid w:val="000347B4"/>
    <w:rsid w:val="000B2790"/>
    <w:rsid w:val="000E4023"/>
    <w:rsid w:val="000F25A2"/>
    <w:rsid w:val="000F31F2"/>
    <w:rsid w:val="000F4601"/>
    <w:rsid w:val="00104CBC"/>
    <w:rsid w:val="00183E87"/>
    <w:rsid w:val="001936F0"/>
    <w:rsid w:val="001C1FF0"/>
    <w:rsid w:val="001E17A2"/>
    <w:rsid w:val="00202B35"/>
    <w:rsid w:val="00256344"/>
    <w:rsid w:val="002706C1"/>
    <w:rsid w:val="00294422"/>
    <w:rsid w:val="002B0254"/>
    <w:rsid w:val="003058E9"/>
    <w:rsid w:val="0031699A"/>
    <w:rsid w:val="00353321"/>
    <w:rsid w:val="003558DE"/>
    <w:rsid w:val="00367FF1"/>
    <w:rsid w:val="00396FC6"/>
    <w:rsid w:val="00407EA0"/>
    <w:rsid w:val="004213FB"/>
    <w:rsid w:val="00463173"/>
    <w:rsid w:val="00485BF9"/>
    <w:rsid w:val="004A04A5"/>
    <w:rsid w:val="004A0A68"/>
    <w:rsid w:val="004A2871"/>
    <w:rsid w:val="0058734B"/>
    <w:rsid w:val="005919B5"/>
    <w:rsid w:val="006114E4"/>
    <w:rsid w:val="006207E8"/>
    <w:rsid w:val="00627248"/>
    <w:rsid w:val="00670F9A"/>
    <w:rsid w:val="006C0FE7"/>
    <w:rsid w:val="00765687"/>
    <w:rsid w:val="007D3EAE"/>
    <w:rsid w:val="007D49CE"/>
    <w:rsid w:val="00864579"/>
    <w:rsid w:val="00892D70"/>
    <w:rsid w:val="008E41A2"/>
    <w:rsid w:val="00974F02"/>
    <w:rsid w:val="00980387"/>
    <w:rsid w:val="009B3ADB"/>
    <w:rsid w:val="009C4990"/>
    <w:rsid w:val="009D5C31"/>
    <w:rsid w:val="00A41541"/>
    <w:rsid w:val="00A46A3C"/>
    <w:rsid w:val="00B06AF9"/>
    <w:rsid w:val="00B32E68"/>
    <w:rsid w:val="00B734A7"/>
    <w:rsid w:val="00BD4EB1"/>
    <w:rsid w:val="00BD67C0"/>
    <w:rsid w:val="00C16F81"/>
    <w:rsid w:val="00C21D17"/>
    <w:rsid w:val="00C222A3"/>
    <w:rsid w:val="00C41811"/>
    <w:rsid w:val="00C45611"/>
    <w:rsid w:val="00C86BCE"/>
    <w:rsid w:val="00CB68C9"/>
    <w:rsid w:val="00CC1C1C"/>
    <w:rsid w:val="00D345A9"/>
    <w:rsid w:val="00D35D76"/>
    <w:rsid w:val="00DA1AA3"/>
    <w:rsid w:val="00E66F0A"/>
    <w:rsid w:val="00E83D41"/>
    <w:rsid w:val="00EA54EC"/>
    <w:rsid w:val="00EC6351"/>
    <w:rsid w:val="00F45D7F"/>
    <w:rsid w:val="00F76580"/>
    <w:rsid w:val="00FC3CB6"/>
    <w:rsid w:val="00FE02DA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E3691"/>
  <w15:chartTrackingRefBased/>
  <w15:docId w15:val="{2345FCFB-72DB-43C5-B031-53612CC1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36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36F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9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1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936F0"/>
  </w:style>
  <w:style w:type="paragraph" w:styleId="Lijstalinea">
    <w:name w:val="List Paragraph"/>
    <w:basedOn w:val="Standaard"/>
    <w:uiPriority w:val="34"/>
    <w:qFormat/>
    <w:rsid w:val="001936F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936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936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36F0"/>
    <w:rPr>
      <w:sz w:val="20"/>
      <w:szCs w:val="20"/>
    </w:rPr>
  </w:style>
  <w:style w:type="character" w:customStyle="1" w:styleId="findhit">
    <w:name w:val="findhit"/>
    <w:basedOn w:val="Standaardalinea-lettertype"/>
    <w:rsid w:val="001936F0"/>
  </w:style>
  <w:style w:type="paragraph" w:styleId="Voettekst">
    <w:name w:val="footer"/>
    <w:basedOn w:val="Standaard"/>
    <w:link w:val="VoettekstChar"/>
    <w:uiPriority w:val="99"/>
    <w:unhideWhenUsed/>
    <w:rsid w:val="0019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36F0"/>
  </w:style>
  <w:style w:type="table" w:styleId="Tabelrasterlicht">
    <w:name w:val="Grid Table Light"/>
    <w:basedOn w:val="Standaardtabel"/>
    <w:uiPriority w:val="40"/>
    <w:rsid w:val="00183E87"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07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07E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62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07E8"/>
  </w:style>
  <w:style w:type="paragraph" w:styleId="Revisie">
    <w:name w:val="Revision"/>
    <w:hidden/>
    <w:uiPriority w:val="99"/>
    <w:semiHidden/>
    <w:rsid w:val="00611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627</ap:Words>
  <ap:Characters>3449</ap:Characters>
  <ap:DocSecurity>0</ap:DocSecurity>
  <ap:Lines>28</ap:Lines>
  <ap:Paragraphs>8</ap:Paragraphs>
  <ap:ScaleCrop>false</ap:ScaleCrop>
  <ap:LinksUpToDate>false</ap:LinksUpToDate>
  <ap:CharactersWithSpaces>4068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2024-11-14T11:59:00.0000000Z</dcterms:created>
  <dcterms:modified xsi:type="dcterms:W3CDTF">2024-11-14T11:59:00.0000000Z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339f15-c483-4670-87f9-f365ba551dce_Enabled">
    <vt:lpwstr>true</vt:lpwstr>
  </property>
  <property fmtid="{D5CDD505-2E9C-101B-9397-08002B2CF9AE}" pid="3" name="MSIP_Label_f5339f15-c483-4670-87f9-f365ba551dce_SetDate">
    <vt:lpwstr>2024-11-12T10:04:28Z</vt:lpwstr>
  </property>
  <property fmtid="{D5CDD505-2E9C-101B-9397-08002B2CF9AE}" pid="4" name="MSIP_Label_f5339f15-c483-4670-87f9-f365ba551dce_Method">
    <vt:lpwstr>Standard</vt:lpwstr>
  </property>
  <property fmtid="{D5CDD505-2E9C-101B-9397-08002B2CF9AE}" pid="5" name="MSIP_Label_f5339f15-c483-4670-87f9-f365ba551dce_Name">
    <vt:lpwstr>FIN-IRF-Dep. V.</vt:lpwstr>
  </property>
  <property fmtid="{D5CDD505-2E9C-101B-9397-08002B2CF9AE}" pid="6" name="MSIP_Label_f5339f15-c483-4670-87f9-f365ba551dce_SiteId">
    <vt:lpwstr>84712536-f524-40a0-913b-5d25ba502732</vt:lpwstr>
  </property>
  <property fmtid="{D5CDD505-2E9C-101B-9397-08002B2CF9AE}" pid="7" name="MSIP_Label_f5339f15-c483-4670-87f9-f365ba551dce_ActionId">
    <vt:lpwstr>a5f0732c-f82b-45d2-b95c-016d18d56638</vt:lpwstr>
  </property>
  <property fmtid="{D5CDD505-2E9C-101B-9397-08002B2CF9AE}" pid="8" name="MSIP_Label_f5339f15-c483-4670-87f9-f365ba551dce_ContentBits">
    <vt:lpwstr>0</vt:lpwstr>
  </property>
</Properties>
</file>