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29EF" w:rsidP="002029EF" w:rsidRDefault="002029EF" w14:paraId="0A19241F" w14:textId="77777777">
      <w:pPr>
        <w:spacing w:line="276" w:lineRule="auto"/>
      </w:pPr>
    </w:p>
    <w:p w:rsidR="002029EF" w:rsidP="002029EF" w:rsidRDefault="002029EF" w14:paraId="69D6B297" w14:textId="77777777">
      <w:pPr>
        <w:spacing w:line="276" w:lineRule="auto"/>
      </w:pPr>
    </w:p>
    <w:p w:rsidR="00654BAA" w:rsidP="002029EF" w:rsidRDefault="74531381" w14:paraId="574B5A13" w14:textId="25DA0D7F">
      <w:pPr>
        <w:spacing w:line="276" w:lineRule="auto"/>
      </w:pPr>
      <w:r>
        <w:t>Geachte voorzitter,</w:t>
      </w:r>
      <w:bookmarkStart w:name="_Hlk150961533" w:id="0"/>
    </w:p>
    <w:p w:rsidR="00142D8E" w:rsidP="002029EF" w:rsidRDefault="00142D8E" w14:paraId="77F3D1A4" w14:textId="77777777">
      <w:pPr>
        <w:spacing w:line="276" w:lineRule="auto"/>
      </w:pPr>
    </w:p>
    <w:p w:rsidR="002029EF" w:rsidP="002029EF" w:rsidRDefault="002029EF" w14:paraId="2827A40A" w14:textId="77777777">
      <w:pPr>
        <w:spacing w:line="276" w:lineRule="auto"/>
      </w:pPr>
    </w:p>
    <w:bookmarkEnd w:id="0"/>
    <w:p w:rsidR="00370488" w:rsidP="002029EF" w:rsidRDefault="00370488" w14:paraId="1D2685F8" w14:textId="1520D414">
      <w:pPr>
        <w:spacing w:line="276" w:lineRule="auto"/>
      </w:pPr>
      <w:r w:rsidRPr="00370488">
        <w:t xml:space="preserve">Langs deze weg </w:t>
      </w:r>
      <w:r w:rsidR="003C6F63">
        <w:t>ontvangt u de kabinetsappreciatie</w:t>
      </w:r>
      <w:r w:rsidRPr="00370488" w:rsidR="003C6F63">
        <w:t xml:space="preserve"> </w:t>
      </w:r>
      <w:r w:rsidRPr="00370488">
        <w:t xml:space="preserve">van het </w:t>
      </w:r>
      <w:r w:rsidRPr="00370488" w:rsidR="0005790D">
        <w:t xml:space="preserve">Europese Rekenkamer </w:t>
      </w:r>
      <w:r w:rsidRPr="00370488">
        <w:t xml:space="preserve">rapport: </w:t>
      </w:r>
      <w:r w:rsidRPr="00370488">
        <w:rPr>
          <w:i/>
          <w:iCs/>
        </w:rPr>
        <w:t>‘Het EU</w:t>
      </w:r>
      <w:r w:rsidRPr="00370488">
        <w:rPr>
          <w:rFonts w:ascii="Cambria Math" w:hAnsi="Cambria Math" w:cs="Cambria Math"/>
          <w:i/>
          <w:iCs/>
        </w:rPr>
        <w:t>‑</w:t>
      </w:r>
      <w:r w:rsidRPr="00370488">
        <w:rPr>
          <w:i/>
          <w:iCs/>
        </w:rPr>
        <w:t xml:space="preserve">trustfonds voor Afrika </w:t>
      </w:r>
      <w:r w:rsidRPr="00370488">
        <w:rPr>
          <w:rFonts w:cs="Calibri"/>
          <w:i/>
          <w:iCs/>
        </w:rPr>
        <w:t>–</w:t>
      </w:r>
      <w:r w:rsidRPr="00370488">
        <w:rPr>
          <w:i/>
          <w:iCs/>
        </w:rPr>
        <w:t xml:space="preserve"> Ondanks nieuwe benaderingen bleef de steun ongericht’</w:t>
      </w:r>
      <w:r w:rsidRPr="00370488">
        <w:t xml:space="preserve"> </w:t>
      </w:r>
      <w:r w:rsidR="00142D8E">
        <w:rPr>
          <w:rStyle w:val="FootnoteReference"/>
        </w:rPr>
        <w:footnoteReference w:id="2"/>
      </w:r>
      <w:r w:rsidR="00142D8E">
        <w:t xml:space="preserve"> </w:t>
      </w:r>
      <w:r w:rsidRPr="00370488" w:rsidR="00DD77F9">
        <w:t>d</w:t>
      </w:r>
      <w:r w:rsidR="00DD77F9">
        <w:t>at</w:t>
      </w:r>
      <w:r w:rsidRPr="00370488" w:rsidR="00DD77F9">
        <w:t xml:space="preserve"> </w:t>
      </w:r>
      <w:r w:rsidRPr="00370488">
        <w:t xml:space="preserve">op 25 september 2024 is gepubliceerd. </w:t>
      </w:r>
      <w:r w:rsidR="003C6F63">
        <w:t xml:space="preserve">U ontvangt deze appreciatie </w:t>
      </w:r>
      <w:r w:rsidR="008A6A12">
        <w:t xml:space="preserve">op uw verzoek en </w:t>
      </w:r>
      <w:r w:rsidR="003C6F63">
        <w:t xml:space="preserve">mede namens de </w:t>
      </w:r>
      <w:r w:rsidR="00142D8E">
        <w:t>m</w:t>
      </w:r>
      <w:r w:rsidR="003C6F63">
        <w:t>inister van Buitenlandse Zaken</w:t>
      </w:r>
      <w:r w:rsidR="00DC16BD">
        <w:t xml:space="preserve">. </w:t>
      </w:r>
    </w:p>
    <w:p w:rsidRPr="00370488" w:rsidR="00370488" w:rsidP="002029EF" w:rsidRDefault="00370488" w14:paraId="509C5242" w14:textId="77777777">
      <w:pPr>
        <w:spacing w:line="276" w:lineRule="auto"/>
      </w:pPr>
    </w:p>
    <w:p w:rsidR="00370488" w:rsidP="002029EF" w:rsidRDefault="00370488" w14:paraId="74A2447F" w14:textId="236404E3">
      <w:pPr>
        <w:spacing w:line="276" w:lineRule="auto"/>
      </w:pPr>
      <w:r w:rsidRPr="00370488">
        <w:t xml:space="preserve">Het rapport </w:t>
      </w:r>
      <w:r w:rsidR="00CC03A1">
        <w:t xml:space="preserve">van de Europese Rekenkamer </w:t>
      </w:r>
      <w:r w:rsidRPr="00370488">
        <w:t xml:space="preserve">biedt een waardevolle evaluatie van een complex en belangrijk </w:t>
      </w:r>
      <w:r w:rsidR="0068279B">
        <w:t>fonds</w:t>
      </w:r>
      <w:r w:rsidRPr="00370488" w:rsidR="0068279B">
        <w:t xml:space="preserve"> </w:t>
      </w:r>
      <w:r w:rsidRPr="00370488">
        <w:t xml:space="preserve">dat gericht is </w:t>
      </w:r>
      <w:r w:rsidR="0068279B">
        <w:t xml:space="preserve">op het bevorderen van </w:t>
      </w:r>
      <w:r w:rsidRPr="0068279B" w:rsidR="0068279B">
        <w:t>stabiliteit en de aanpak van de diepere oorzaken van irreguliere migratie en ontheemding in Afrika</w:t>
      </w:r>
      <w:r w:rsidRPr="00370488">
        <w:t xml:space="preserve">. Het </w:t>
      </w:r>
      <w:r w:rsidR="0068279B">
        <w:t xml:space="preserve">rapport </w:t>
      </w:r>
      <w:r w:rsidRPr="00370488">
        <w:t xml:space="preserve">brengt zowel de successen als de tekortkomingen van de EUTF in kaart, </w:t>
      </w:r>
      <w:r w:rsidR="0068279B">
        <w:t>hetgeen kan bij</w:t>
      </w:r>
      <w:r w:rsidRPr="00370488" w:rsidR="0068279B">
        <w:t xml:space="preserve">dragen aan de verbetering van </w:t>
      </w:r>
      <w:r w:rsidR="0068279B">
        <w:t xml:space="preserve">toekomstige </w:t>
      </w:r>
      <w:r w:rsidRPr="00370488" w:rsidR="0068279B">
        <w:t>Europese initiatieven op het gebied van migratie</w:t>
      </w:r>
      <w:r w:rsidR="0068279B">
        <w:t xml:space="preserve">, ontheemding </w:t>
      </w:r>
      <w:r w:rsidRPr="00370488" w:rsidR="0068279B">
        <w:t>en ontwikkelings</w:t>
      </w:r>
      <w:r w:rsidR="00DC16BD">
        <w:t>hulp</w:t>
      </w:r>
      <w:r w:rsidRPr="00370488" w:rsidR="0068279B">
        <w:t>.</w:t>
      </w:r>
    </w:p>
    <w:p w:rsidR="00526E15" w:rsidP="002029EF" w:rsidRDefault="00526E15" w14:paraId="0594D922" w14:textId="77777777">
      <w:pPr>
        <w:spacing w:line="276" w:lineRule="auto"/>
      </w:pPr>
    </w:p>
    <w:p w:rsidR="00526E15" w:rsidP="002029EF" w:rsidRDefault="00526E15" w14:paraId="44037DBA" w14:textId="04B6BCF6">
      <w:pPr>
        <w:spacing w:line="276" w:lineRule="auto"/>
      </w:pPr>
      <w:r>
        <w:t>In de onderstaande appreciatie reageert het kabinet op het rapport. De appreciatie bestaat uit een samenvatting</w:t>
      </w:r>
      <w:r w:rsidR="0068279B">
        <w:t xml:space="preserve"> van het rapport</w:t>
      </w:r>
      <w:r w:rsidR="001060BC">
        <w:t xml:space="preserve">, </w:t>
      </w:r>
      <w:r w:rsidR="0068279B">
        <w:t xml:space="preserve">een </w:t>
      </w:r>
      <w:r>
        <w:t xml:space="preserve">beoordeling van de </w:t>
      </w:r>
      <w:r w:rsidR="0068279B">
        <w:t xml:space="preserve">vier </w:t>
      </w:r>
      <w:r>
        <w:t>aanbevelingen</w:t>
      </w:r>
      <w:r w:rsidR="0068279B">
        <w:t xml:space="preserve"> die de Europese Rekenkamer doet</w:t>
      </w:r>
      <w:r w:rsidR="001060BC">
        <w:t xml:space="preserve"> en een conclusie. </w:t>
      </w:r>
      <w:r>
        <w:t xml:space="preserve"> </w:t>
      </w:r>
    </w:p>
    <w:p w:rsidR="00370488" w:rsidP="002029EF" w:rsidRDefault="00370488" w14:paraId="63E37551" w14:textId="77777777">
      <w:pPr>
        <w:spacing w:line="276" w:lineRule="auto"/>
      </w:pPr>
    </w:p>
    <w:p w:rsidRPr="00370488" w:rsidR="002029EF" w:rsidP="002029EF" w:rsidRDefault="002029EF" w14:paraId="2244A0CB" w14:textId="77777777">
      <w:pPr>
        <w:spacing w:line="276" w:lineRule="auto"/>
      </w:pPr>
    </w:p>
    <w:p w:rsidR="00370488" w:rsidP="002029EF" w:rsidRDefault="00370488" w14:paraId="102AB8E5" w14:textId="03B10074">
      <w:pPr>
        <w:spacing w:line="276" w:lineRule="auto"/>
        <w:rPr>
          <w:b/>
          <w:bCs/>
        </w:rPr>
      </w:pPr>
      <w:r w:rsidRPr="00370488">
        <w:rPr>
          <w:b/>
          <w:bCs/>
        </w:rPr>
        <w:t>Samenvatting</w:t>
      </w:r>
      <w:r w:rsidR="00142D8E">
        <w:rPr>
          <w:b/>
          <w:bCs/>
        </w:rPr>
        <w:t xml:space="preserve"> van het rapport</w:t>
      </w:r>
    </w:p>
    <w:p w:rsidR="00527095" w:rsidP="002029EF" w:rsidRDefault="00370488" w14:paraId="7697FE80" w14:textId="261A7928">
      <w:pPr>
        <w:spacing w:line="276" w:lineRule="auto"/>
      </w:pPr>
      <w:r w:rsidRPr="00370488">
        <w:t>Het rapport van de Europese Rekenkamer beoordeelt de prestaties van het</w:t>
      </w:r>
      <w:r w:rsidR="00CC03A1">
        <w:t xml:space="preserve"> EU trust-funds voor Afrika (het </w:t>
      </w:r>
      <w:r w:rsidRPr="00370488">
        <w:t>EUTF</w:t>
      </w:r>
      <w:r w:rsidR="00CC03A1">
        <w:t>)</w:t>
      </w:r>
      <w:r w:rsidRPr="00370488">
        <w:t xml:space="preserve">, dat in 2015 werd opgericht </w:t>
      </w:r>
      <w:r w:rsidR="004C2207">
        <w:t>ter bevordering van</w:t>
      </w:r>
      <w:r w:rsidRPr="004C2207" w:rsidR="004C2207">
        <w:t xml:space="preserve"> stabiliteit en de aanpak van de diepere oorzaken van irreguliere migratie en ontheemding in Afrika</w:t>
      </w:r>
      <w:r w:rsidRPr="6A56641C" w:rsidR="004C2207">
        <w:t xml:space="preserve">. </w:t>
      </w:r>
      <w:r w:rsidRPr="00A31F76" w:rsidR="00A31F76">
        <w:t xml:space="preserve">De aandacht van het EUTF gaat uit naar de crisissituatie in drie Afrikaanse regio’s: de Sahel en het Tsjaadmeer, de Hoorn van Afrika en Noord-Afrika. Het fonds bevordert de stabiliteit en een beter beheer van migratiestromen en </w:t>
      </w:r>
      <w:r w:rsidR="00CC03A1">
        <w:t xml:space="preserve">is erop gericht </w:t>
      </w:r>
      <w:r w:rsidRPr="00A31F76" w:rsidR="00A31F76">
        <w:t>de diepere oorzaken van destabilisatie, gedwongen ontheemding en irreguliere migratie in 27 landen aan</w:t>
      </w:r>
      <w:r w:rsidR="009B3EFD">
        <w:t xml:space="preserve"> te pakken</w:t>
      </w:r>
      <w:r w:rsidRPr="00A31F76" w:rsidR="00A31F76">
        <w:t>.</w:t>
      </w:r>
      <w:r w:rsidR="00527095">
        <w:t xml:space="preserve"> Dit rapport vormt een vervolg op de eerste doelmatigheidscontrole van de Europese Rekenkamer uit 2018, waarin werd vastgesteld dat het EUTF een flexibel instrument is, maar dat een gerichtere opzet wenselijk was. In dit rapport wordt </w:t>
      </w:r>
      <w:r w:rsidR="00DC16BD">
        <w:t>er een vervolg</w:t>
      </w:r>
      <w:r w:rsidR="00527095">
        <w:t xml:space="preserve"> gegeven aan de eerdere aanbevelingen, waarvan inmiddels is </w:t>
      </w:r>
      <w:r w:rsidR="00527095">
        <w:lastRenderedPageBreak/>
        <w:t>geconstateerd dat deze gedeeltelijk zijn uitgevoerd.</w:t>
      </w:r>
      <w:r w:rsidRPr="6A56641C" w:rsidR="00A31F76">
        <w:t xml:space="preserve"> </w:t>
      </w:r>
      <w:r w:rsidRPr="0083192E" w:rsidR="18D3AC15">
        <w:rPr>
          <w:rFonts w:eastAsia="Verdana" w:cs="Verdana"/>
          <w:szCs w:val="18"/>
        </w:rPr>
        <w:t xml:space="preserve">Op basis van </w:t>
      </w:r>
      <w:r w:rsidR="008A6A12">
        <w:rPr>
          <w:rFonts w:eastAsia="Verdana" w:cs="Verdana"/>
          <w:szCs w:val="18"/>
        </w:rPr>
        <w:t>een</w:t>
      </w:r>
      <w:r w:rsidRPr="0083192E" w:rsidR="18D3AC15">
        <w:rPr>
          <w:rFonts w:eastAsia="Verdana" w:cs="Verdana"/>
          <w:szCs w:val="18"/>
        </w:rPr>
        <w:t xml:space="preserve"> steekproef van 16 projecten uit een totaal van 248 </w:t>
      </w:r>
      <w:r w:rsidR="008A6A12">
        <w:rPr>
          <w:rFonts w:eastAsia="Verdana" w:cs="Verdana"/>
          <w:szCs w:val="18"/>
        </w:rPr>
        <w:t xml:space="preserve">projecten </w:t>
      </w:r>
      <w:r w:rsidRPr="0083192E" w:rsidR="18D3AC15">
        <w:rPr>
          <w:rFonts w:eastAsia="Verdana" w:cs="Verdana"/>
          <w:szCs w:val="18"/>
        </w:rPr>
        <w:t>stelt de Europese Rekenkamer</w:t>
      </w:r>
      <w:r w:rsidR="00C16848">
        <w:rPr>
          <w:rFonts w:eastAsia="Verdana" w:cs="Verdana"/>
          <w:szCs w:val="18"/>
        </w:rPr>
        <w:t xml:space="preserve"> </w:t>
      </w:r>
      <w:r w:rsidRPr="0083192E" w:rsidR="18D3AC15">
        <w:rPr>
          <w:rFonts w:eastAsia="Verdana" w:cs="Verdana"/>
          <w:szCs w:val="18"/>
        </w:rPr>
        <w:t xml:space="preserve">: “dat de EUTF-projecten veel van de geplande </w:t>
      </w:r>
      <w:proofErr w:type="spellStart"/>
      <w:r w:rsidRPr="0083192E" w:rsidR="18D3AC15">
        <w:rPr>
          <w:rFonts w:eastAsia="Verdana" w:cs="Verdana"/>
          <w:szCs w:val="18"/>
        </w:rPr>
        <w:t>outputs</w:t>
      </w:r>
      <w:proofErr w:type="spellEnd"/>
      <w:r w:rsidRPr="0083192E" w:rsidR="18D3AC15">
        <w:rPr>
          <w:rFonts w:eastAsia="Verdana" w:cs="Verdana"/>
          <w:szCs w:val="18"/>
        </w:rPr>
        <w:t xml:space="preserve"> hebben gerealiseerd en dat de doelstellingen gedeeltelijk zijn bereikt’’ (samenvatting, punt V).</w:t>
      </w:r>
      <w:r w:rsidR="6A56641C">
        <w:t xml:space="preserve">Tegelijkertijd </w:t>
      </w:r>
      <w:r w:rsidR="00C16848">
        <w:t>stelt de Rekenkamer dat de steun nog steeds onvoldoende gericht is: er wordt een te breed scala aan acties op het gebied van ontwikkelingssamenwerking, humanitaire hulp en veiligheid gesteund. Daarnaast zijn er tekortkomingen met betrekking tot de nauwkeurigheid en duurzaamheid van de gerapporteerde resultaten en was er geen integrale aandacht voor de risico’s voor de mensenrechten (samenvatting, punt IV).</w:t>
      </w:r>
      <w:bookmarkStart w:name="_Hlk181028922" w:id="1"/>
    </w:p>
    <w:p w:rsidRPr="00527095" w:rsidR="00527095" w:rsidP="002029EF" w:rsidRDefault="00527095" w14:paraId="2FB57151" w14:textId="75F1576B">
      <w:pPr>
        <w:pStyle w:val="ListParagraph"/>
        <w:numPr>
          <w:ilvl w:val="0"/>
          <w:numId w:val="2"/>
        </w:numPr>
        <w:spacing w:line="276" w:lineRule="auto"/>
      </w:pPr>
      <w:r>
        <w:t>Te brede inzet van middelen: De Europese Rekenkamer bekritiseert dat het EUTF middelen inzet voor een breed scala aan projecten, variërend van humanitaire hulp tot veiligheidsinitiatieven, zonder een duidelijke prioritering</w:t>
      </w:r>
      <w:r w:rsidRPr="5A978247" w:rsidR="4354F766">
        <w:t xml:space="preserve">. </w:t>
      </w:r>
      <w:r w:rsidRPr="00142D8E" w:rsidR="4354F766">
        <w:rPr>
          <w:rFonts w:cs="Arial"/>
        </w:rPr>
        <w:t xml:space="preserve"> </w:t>
      </w:r>
    </w:p>
    <w:p w:rsidRPr="007A4780" w:rsidR="00527095" w:rsidP="002029EF" w:rsidRDefault="4354F766" w14:paraId="297E16E0" w14:textId="0F2C5E01">
      <w:pPr>
        <w:pStyle w:val="ListParagraph"/>
        <w:numPr>
          <w:ilvl w:val="0"/>
          <w:numId w:val="2"/>
        </w:numPr>
        <w:spacing w:line="276" w:lineRule="auto"/>
      </w:pPr>
      <w:r>
        <w:t xml:space="preserve">Gebrek aan nauwkeurige monitoring: De Rekenkamer stelt dat </w:t>
      </w:r>
      <w:r w:rsidRPr="0083192E">
        <w:rPr>
          <w:rStyle w:val="Emphasis"/>
        </w:rPr>
        <w:t>"projecten vaak te breed en zonder voldoende haalbaarheidstoets worden uitgevoerd, wat kan leiden tot verspilling van middelen"</w:t>
      </w:r>
      <w:r w:rsidRPr="5A978247">
        <w:t xml:space="preserve">. </w:t>
      </w:r>
      <w:r w:rsidR="00527095">
        <w:t>Deze lacune in monitoring heeft ertoe geleid dat bepaalde projecten hun gestelde doelen niet halen of voortijdig worden verlaten, zoals blijkt uit het voorbeeld van een gefinancierde solar-energiefaciliteit die leeg kwam te staan</w:t>
      </w:r>
      <w:r w:rsidR="00C16848">
        <w:t>,</w:t>
      </w:r>
      <w:r w:rsidR="00527095">
        <w:t xml:space="preserve"> omdat het initiatief niet levensvatbaar bleek.</w:t>
      </w:r>
      <w:r w:rsidRPr="00527095" w:rsidR="00527095">
        <w:rPr>
          <w:rFonts w:ascii="Arial" w:hAnsi="Arial" w:cs="Arial"/>
        </w:rPr>
        <w:t xml:space="preserve">​ </w:t>
      </w:r>
    </w:p>
    <w:p w:rsidR="00527095" w:rsidP="002029EF" w:rsidRDefault="00527095" w14:paraId="606D2DDD" w14:textId="7227C311">
      <w:pPr>
        <w:pStyle w:val="ListParagraph"/>
        <w:numPr>
          <w:ilvl w:val="0"/>
          <w:numId w:val="2"/>
        </w:numPr>
        <w:spacing w:line="276" w:lineRule="auto"/>
      </w:pPr>
      <w:r>
        <w:t xml:space="preserve">Risico’s op mensenrechtenschendingen: </w:t>
      </w:r>
      <w:r w:rsidR="00C16848">
        <w:t>De Rekenkamer stelt dat de Commissie de eerste stappen heeft gezet om de impact van de EUTF-activiteiten op de mensenrechten te monitoren. Monitoringverslagen van derden zijn een nieuwe, potentieel nuttige bron van informatie over risico’s voor de mensenrechten, maar</w:t>
      </w:r>
      <w:r w:rsidR="0052684D">
        <w:t xml:space="preserve"> de Rekenkamer constateert dat</w:t>
      </w:r>
      <w:r w:rsidR="00C16848">
        <w:t xml:space="preserve"> het niet</w:t>
      </w:r>
      <w:r w:rsidR="0052684D">
        <w:t xml:space="preserve"> is</w:t>
      </w:r>
      <w:r w:rsidR="00C16848">
        <w:t xml:space="preserve"> aangetoond dat er follow-up aan wordt gegeven. Bovendien heeft de Commissie nog geen formele procedures gedefinieerd voor het melden van en het geven van follow-up aan aantijgingen van mensenrechtenschendingen en zijn er ook geen praktische richtsnoeren vastgesteld om te bepalen in welke situaties EU-steun kan worden opgeschort</w:t>
      </w:r>
      <w:r w:rsidR="0052684D">
        <w:t xml:space="preserve">. Het rapport illustreert dit met voorbeelden. </w:t>
      </w:r>
      <w:r>
        <w:t>In Libië werd bijvoorbeeld een project gefinancierd in samenwerking met lokale veiligheidstroepen die later betrokken bleken te zijn bij misstanden tegen migranten.</w:t>
      </w:r>
      <w:bookmarkEnd w:id="1"/>
    </w:p>
    <w:p w:rsidR="00527095" w:rsidP="002029EF" w:rsidRDefault="00527095" w14:paraId="3964BC63" w14:textId="77777777">
      <w:pPr>
        <w:pStyle w:val="ListParagraph"/>
        <w:spacing w:line="276" w:lineRule="auto"/>
      </w:pPr>
    </w:p>
    <w:p w:rsidR="00370488" w:rsidP="002029EF" w:rsidRDefault="00370488" w14:paraId="5203ED4D" w14:textId="5CB8CAC6">
      <w:pPr>
        <w:spacing w:line="276" w:lineRule="auto"/>
      </w:pPr>
      <w:r w:rsidRPr="00370488">
        <w:t>De belangrijkste aanbevelingen richten zich op het verbeteren van de effectiviteit en duurzaamheid van de steun, de noodzaak van nauwkeurigere monitoring en het aanscherpen van de focus van de projecten om beter zichtbare resultaten te behalen.</w:t>
      </w:r>
      <w:r w:rsidR="00340EAB">
        <w:t xml:space="preserve"> </w:t>
      </w:r>
      <w:r w:rsidRPr="00340EAB" w:rsidR="00340EAB">
        <w:t xml:space="preserve">Verschillende media rapporteerden ook over de bevindingen van de Europese Rekenkamer en benoemden </w:t>
      </w:r>
      <w:r w:rsidR="00340EAB">
        <w:t xml:space="preserve">incidenten </w:t>
      </w:r>
      <w:r w:rsidRPr="00340EAB" w:rsidR="00340EAB">
        <w:t>en de risico’s op mensenrechtenschendingen.</w:t>
      </w:r>
    </w:p>
    <w:p w:rsidR="002029EF" w:rsidP="002029EF" w:rsidRDefault="002029EF" w14:paraId="3933C9A4" w14:textId="77777777">
      <w:pPr>
        <w:spacing w:line="276" w:lineRule="auto"/>
      </w:pPr>
    </w:p>
    <w:p w:rsidRPr="00370488" w:rsidR="00370488" w:rsidP="002029EF" w:rsidRDefault="00370488" w14:paraId="51DC7C5E" w14:textId="1E8E9528">
      <w:pPr>
        <w:spacing w:line="276" w:lineRule="auto"/>
        <w:rPr>
          <w:b/>
          <w:bCs/>
        </w:rPr>
      </w:pPr>
      <w:r w:rsidRPr="00370488">
        <w:rPr>
          <w:b/>
          <w:bCs/>
        </w:rPr>
        <w:t>Appreciatie</w:t>
      </w:r>
    </w:p>
    <w:p w:rsidRPr="00370488" w:rsidR="00370488" w:rsidP="002029EF" w:rsidRDefault="00370488" w14:paraId="3752659A" w14:textId="77777777">
      <w:pPr>
        <w:spacing w:line="276" w:lineRule="auto"/>
      </w:pPr>
    </w:p>
    <w:p w:rsidR="00370488" w:rsidP="002029EF" w:rsidRDefault="00370488" w14:paraId="7BB38114" w14:textId="77777777">
      <w:pPr>
        <w:spacing w:line="276" w:lineRule="auto"/>
        <w:rPr>
          <w:u w:val="single"/>
        </w:rPr>
      </w:pPr>
      <w:r w:rsidRPr="00370488">
        <w:rPr>
          <w:u w:val="single"/>
        </w:rPr>
        <w:t>Aanbeveling 1: Selecteer geografische gebieden en begunstigden meer op basis van empirisch onderbouwde informatie</w:t>
      </w:r>
    </w:p>
    <w:p w:rsidRPr="00370488" w:rsidR="00370488" w:rsidP="002029EF" w:rsidRDefault="00370488" w14:paraId="24D2FE6B" w14:textId="77777777">
      <w:pPr>
        <w:spacing w:line="276" w:lineRule="auto"/>
        <w:rPr>
          <w:u w:val="single"/>
        </w:rPr>
      </w:pPr>
    </w:p>
    <w:p w:rsidRPr="00370488" w:rsidR="00370488" w:rsidP="002029EF" w:rsidRDefault="00370488" w14:paraId="306BE1DD" w14:textId="77777777">
      <w:pPr>
        <w:spacing w:line="276" w:lineRule="auto"/>
        <w:rPr>
          <w:i/>
          <w:iCs/>
        </w:rPr>
      </w:pPr>
      <w:r w:rsidRPr="00370488">
        <w:rPr>
          <w:i/>
          <w:iCs/>
        </w:rPr>
        <w:t xml:space="preserve">Appreciatie: </w:t>
      </w:r>
    </w:p>
    <w:p w:rsidR="00370488" w:rsidP="002029EF" w:rsidRDefault="00C644B1" w14:paraId="35C4B008" w14:textId="652DD469">
      <w:pPr>
        <w:spacing w:line="276" w:lineRule="auto"/>
      </w:pPr>
      <w:r w:rsidRPr="00370488">
        <w:t xml:space="preserve">De Rekenkamer benadrukt dat de steun te breed was verspreid over verschillende thema’s en regio’s, wat leidde tot een gebrek aan focus en minder optimale </w:t>
      </w:r>
      <w:r w:rsidRPr="00370488">
        <w:lastRenderedPageBreak/>
        <w:t xml:space="preserve">resultaten. </w:t>
      </w:r>
      <w:r>
        <w:t xml:space="preserve">Om prioriteit te geven aan en </w:t>
      </w:r>
      <w:r w:rsidR="0052684D">
        <w:t xml:space="preserve">focus aan te brengen in </w:t>
      </w:r>
      <w:r>
        <w:t xml:space="preserve">haar toekomstige steun voor de preventie en het beheer van irreguliere migratie, zou de Europese Commissie zich </w:t>
      </w:r>
      <w:r w:rsidR="002A06BE">
        <w:t xml:space="preserve">volgens de </w:t>
      </w:r>
      <w:r w:rsidR="00392541">
        <w:t xml:space="preserve">Europese </w:t>
      </w:r>
      <w:r w:rsidR="002A06BE">
        <w:t xml:space="preserve">Rekenkamer </w:t>
      </w:r>
      <w:r>
        <w:t>moeten richten op de meest relevante geografische gebieden en behoeften door gebruik te maken van migratie</w:t>
      </w:r>
      <w:r w:rsidR="0052684D">
        <w:t>-</w:t>
      </w:r>
      <w:r>
        <w:t>specifieke gegevens en op onderzoek gebaseerde informatie.</w:t>
      </w:r>
      <w:r w:rsidRPr="00370488">
        <w:t xml:space="preserve"> </w:t>
      </w:r>
      <w:r w:rsidR="002A06BE">
        <w:br/>
      </w:r>
      <w:r w:rsidR="002A06BE">
        <w:br/>
      </w:r>
      <w:r w:rsidRPr="002A06BE" w:rsidR="002A06BE">
        <w:t xml:space="preserve">Het kabinet </w:t>
      </w:r>
      <w:r w:rsidR="00D910DD">
        <w:t>ondersteunt deze aanbeveling.</w:t>
      </w:r>
      <w:r w:rsidR="0052684D">
        <w:t xml:space="preserve"> De aanbeveling van de Rekenkamer om hiervoor ook de informatie over migratie die via EUTF projecten is verzameld te gebruiken is waardevol.</w:t>
      </w:r>
      <w:r w:rsidR="00D910DD">
        <w:t xml:space="preserve"> Het </w:t>
      </w:r>
      <w:r w:rsidR="008E6F9F">
        <w:t>k</w:t>
      </w:r>
      <w:r w:rsidR="00D910DD">
        <w:t xml:space="preserve">abinet stelt </w:t>
      </w:r>
      <w:r w:rsidR="0052684D">
        <w:t xml:space="preserve">ook </w:t>
      </w:r>
      <w:r w:rsidR="00D910DD">
        <w:t>vast dat d</w:t>
      </w:r>
      <w:r w:rsidRPr="00370488" w:rsidR="00370488">
        <w:t xml:space="preserve">e analyse </w:t>
      </w:r>
      <w:r w:rsidR="00222270">
        <w:t xml:space="preserve">van de Rekenkamer </w:t>
      </w:r>
      <w:r w:rsidR="00AD0B2D">
        <w:t>beter had kunnen ingaan op</w:t>
      </w:r>
      <w:r w:rsidRPr="00370488" w:rsidR="00370488">
        <w:t xml:space="preserve"> de specifieke omstandigheden en keuzes die de</w:t>
      </w:r>
      <w:r w:rsidR="00D910DD">
        <w:t xml:space="preserve"> genoemde</w:t>
      </w:r>
      <w:r w:rsidRPr="00370488" w:rsidR="00370488">
        <w:t xml:space="preserve"> versnippering verkla</w:t>
      </w:r>
      <w:r w:rsidR="00D910DD">
        <w:t>ren</w:t>
      </w:r>
      <w:r w:rsidRPr="00370488" w:rsidR="00370488">
        <w:t xml:space="preserve">. De uitdagingen van werken in </w:t>
      </w:r>
      <w:r w:rsidR="0052684D">
        <w:t>volatiele omgevingen</w:t>
      </w:r>
      <w:r w:rsidR="00B71E59">
        <w:t xml:space="preserve"> </w:t>
      </w:r>
      <w:r w:rsidRPr="00370488" w:rsidR="00370488">
        <w:t xml:space="preserve">zijn </w:t>
      </w:r>
      <w:r w:rsidR="00AD0B2D">
        <w:t>immers vaak</w:t>
      </w:r>
      <w:r w:rsidRPr="00370488" w:rsidR="00AD0B2D">
        <w:t xml:space="preserve"> </w:t>
      </w:r>
      <w:r w:rsidRPr="00370488" w:rsidR="00370488">
        <w:t xml:space="preserve">aanzienlijk en vereisen </w:t>
      </w:r>
      <w:r w:rsidR="008E6F9F">
        <w:t>maatwerk als het gaat om activiteiten; enige versnippering is niet altijd te voorkomen</w:t>
      </w:r>
      <w:r w:rsidR="00527095">
        <w:t xml:space="preserve">. </w:t>
      </w:r>
      <w:r w:rsidR="008E6F9F">
        <w:t>Hierbij is het</w:t>
      </w:r>
      <w:r w:rsidR="00527095">
        <w:t xml:space="preserve"> van belang om zorgvuldig te </w:t>
      </w:r>
      <w:r w:rsidR="00AD0B2D">
        <w:t xml:space="preserve">blijven afwegen </w:t>
      </w:r>
      <w:r w:rsidR="00527095">
        <w:t xml:space="preserve">of </w:t>
      </w:r>
      <w:r w:rsidR="00AD0B2D">
        <w:t xml:space="preserve">de </w:t>
      </w:r>
      <w:r w:rsidR="00527095">
        <w:t>project</w:t>
      </w:r>
      <w:r w:rsidR="00AD0B2D">
        <w:t>en daarmee nog</w:t>
      </w:r>
      <w:r w:rsidR="00527095">
        <w:t xml:space="preserve"> </w:t>
      </w:r>
      <w:r w:rsidR="00AD0B2D">
        <w:t xml:space="preserve">voldoende </w:t>
      </w:r>
      <w:r w:rsidR="00527095">
        <w:t xml:space="preserve">impact </w:t>
      </w:r>
      <w:r w:rsidR="00AD0B2D">
        <w:t>hebben</w:t>
      </w:r>
      <w:r w:rsidR="00BA5089">
        <w:t>.</w:t>
      </w:r>
    </w:p>
    <w:p w:rsidRPr="00370488" w:rsidR="00370488" w:rsidP="002029EF" w:rsidRDefault="00370488" w14:paraId="2B4EE2CE" w14:textId="77777777">
      <w:pPr>
        <w:spacing w:line="276" w:lineRule="auto"/>
      </w:pPr>
    </w:p>
    <w:p w:rsidR="006C4A75" w:rsidP="006C4A75" w:rsidRDefault="00527095" w14:paraId="0A9ADB70" w14:textId="19821AAD">
      <w:pPr>
        <w:spacing w:line="276" w:lineRule="auto"/>
      </w:pPr>
      <w:r>
        <w:t xml:space="preserve">Tevens </w:t>
      </w:r>
      <w:r w:rsidR="0052684D">
        <w:t xml:space="preserve">constateert </w:t>
      </w:r>
      <w:r>
        <w:t xml:space="preserve">het kabinet dat de resultaten beperkt gekwantificeerd zijn. </w:t>
      </w:r>
      <w:r w:rsidR="4354F766">
        <w:t xml:space="preserve">Hoewel de Europese Rekenkamer stelt dat “veel” van de geplande </w:t>
      </w:r>
      <w:proofErr w:type="spellStart"/>
      <w:r w:rsidR="4354F766">
        <w:t>outputs</w:t>
      </w:r>
      <w:proofErr w:type="spellEnd"/>
      <w:r w:rsidR="4354F766">
        <w:t xml:space="preserve"> zijn gerealiseerd, ontbreekt een heldere kwantitatieve definitie van wat dit precies inhoudt. Dit maakt het moeilijk om de werkelijke impact van het programma op een gestructureerde manier te beoordelen</w:t>
      </w:r>
      <w:r w:rsidR="00B71E59">
        <w:t>, h</w:t>
      </w:r>
      <w:r w:rsidR="4354F766">
        <w:t xml:space="preserve">oewel </w:t>
      </w:r>
      <w:r w:rsidR="00B71E59">
        <w:t xml:space="preserve">de indicatie dat </w:t>
      </w:r>
      <w:r w:rsidR="4354F766">
        <w:t>een aantal doelen gedeeltelijk zijn</w:t>
      </w:r>
      <w:r w:rsidRPr="5A978247" w:rsidR="4354F766">
        <w:t xml:space="preserve"> </w:t>
      </w:r>
      <w:r w:rsidR="4354F766">
        <w:t>bereikt</w:t>
      </w:r>
      <w:r w:rsidR="00B71E59">
        <w:t xml:space="preserve"> positief is. </w:t>
      </w:r>
    </w:p>
    <w:p w:rsidR="00370488" w:rsidP="002029EF" w:rsidRDefault="00370488" w14:paraId="55A1E717" w14:textId="71E10D42">
      <w:pPr>
        <w:spacing w:line="276" w:lineRule="auto"/>
      </w:pPr>
    </w:p>
    <w:p w:rsidR="00370488" w:rsidP="002029EF" w:rsidRDefault="00370488" w14:paraId="3F2B426F" w14:textId="319014F8">
      <w:pPr>
        <w:spacing w:line="276" w:lineRule="auto"/>
        <w:rPr>
          <w:u w:val="single"/>
        </w:rPr>
      </w:pPr>
      <w:r w:rsidRPr="00370488">
        <w:rPr>
          <w:u w:val="single"/>
        </w:rPr>
        <w:t xml:space="preserve">Aanbeveling 2: Neem EUTF-documenten </w:t>
      </w:r>
      <w:r w:rsidR="007D5223">
        <w:rPr>
          <w:u w:val="single"/>
        </w:rPr>
        <w:t xml:space="preserve">op </w:t>
      </w:r>
      <w:r w:rsidRPr="00370488">
        <w:rPr>
          <w:u w:val="single"/>
        </w:rPr>
        <w:t>in een centrale databank</w:t>
      </w:r>
      <w:r w:rsidR="007D5223">
        <w:rPr>
          <w:u w:val="single"/>
        </w:rPr>
        <w:t>,</w:t>
      </w:r>
      <w:r w:rsidR="00DC6EE8">
        <w:rPr>
          <w:u w:val="single"/>
        </w:rPr>
        <w:t xml:space="preserve"> </w:t>
      </w:r>
      <w:r w:rsidRPr="00370488">
        <w:rPr>
          <w:u w:val="single"/>
        </w:rPr>
        <w:t>zodat ze als input kunnen dienen voor toekomstige acties, en besteed in actiedocumenten meer aandacht aan getrokken lessen</w:t>
      </w:r>
    </w:p>
    <w:p w:rsidRPr="00370488" w:rsidR="00370488" w:rsidP="002029EF" w:rsidRDefault="00370488" w14:paraId="5219946B" w14:textId="77777777">
      <w:pPr>
        <w:spacing w:line="276" w:lineRule="auto"/>
        <w:rPr>
          <w:u w:val="single"/>
        </w:rPr>
      </w:pPr>
    </w:p>
    <w:p w:rsidRPr="00370488" w:rsidR="00370488" w:rsidP="002029EF" w:rsidRDefault="00370488" w14:paraId="79A0776F" w14:textId="77777777">
      <w:pPr>
        <w:spacing w:line="276" w:lineRule="auto"/>
        <w:rPr>
          <w:i/>
          <w:iCs/>
        </w:rPr>
      </w:pPr>
      <w:r w:rsidRPr="00370488">
        <w:rPr>
          <w:i/>
          <w:iCs/>
        </w:rPr>
        <w:t xml:space="preserve">Appreciatie: </w:t>
      </w:r>
    </w:p>
    <w:p w:rsidR="0062058B" w:rsidP="002029EF" w:rsidRDefault="00370488" w14:paraId="25DC0A15" w14:textId="495643E4">
      <w:pPr>
        <w:spacing w:line="276" w:lineRule="auto"/>
      </w:pPr>
      <w:r w:rsidRPr="00370488">
        <w:t xml:space="preserve">De </w:t>
      </w:r>
      <w:r w:rsidR="00392541">
        <w:t xml:space="preserve">Europese </w:t>
      </w:r>
      <w:r w:rsidRPr="00370488">
        <w:t xml:space="preserve">Rekenkamer roept op om EUTF-documenten op te nemen in een centrale databank en meer aandacht te besteden aan de lessen die uit eerdere projecten zijn getrokken. </w:t>
      </w:r>
      <w:r w:rsidR="00AD0B2D">
        <w:t xml:space="preserve">De Europese Rekenkamer stelt dat </w:t>
      </w:r>
      <w:r w:rsidR="008C2A5D">
        <w:t xml:space="preserve">deze kennis onder meer kan worden ingezet voor </w:t>
      </w:r>
      <w:r w:rsidR="4354F766">
        <w:t xml:space="preserve"> </w:t>
      </w:r>
      <w:r w:rsidR="008C2A5D">
        <w:t xml:space="preserve">toekomstige migratie-gerelateerde projecten die vanuit </w:t>
      </w:r>
      <w:r w:rsidR="4354F766">
        <w:t>het instrument voor nabuurschapsbeleid, ontwikkeling en internationale samenwerking (NDICI) — Europa in de wereld</w:t>
      </w:r>
      <w:r w:rsidR="008B7D36">
        <w:t xml:space="preserve"> </w:t>
      </w:r>
      <w:r w:rsidR="008C2A5D">
        <w:t xml:space="preserve">worden gefinancierd. </w:t>
      </w:r>
    </w:p>
    <w:p w:rsidR="0062058B" w:rsidP="002029EF" w:rsidRDefault="0062058B" w14:paraId="3D997D8B" w14:textId="77777777">
      <w:pPr>
        <w:spacing w:line="276" w:lineRule="auto"/>
      </w:pPr>
    </w:p>
    <w:p w:rsidR="00370488" w:rsidP="002029EF" w:rsidRDefault="00370488" w14:paraId="01CDAE54" w14:textId="05AEAF27">
      <w:pPr>
        <w:spacing w:line="276" w:lineRule="auto"/>
      </w:pPr>
      <w:r w:rsidRPr="00370488">
        <w:t xml:space="preserve">Het kabinet ondersteunt deze aanbeveling. Door de informatie over eerdere projecten centraal te beheren, kunnen toekomstige acties beter worden gebaseerd op ervaringen en </w:t>
      </w:r>
      <w:r w:rsidR="00BA5089">
        <w:t>goede voorbeelden</w:t>
      </w:r>
      <w:r w:rsidR="00AD0B2D">
        <w:t xml:space="preserve"> uit het verleden</w:t>
      </w:r>
      <w:r w:rsidRPr="00370488">
        <w:t>. Dit zal bijdragen aan een betere besluitvorming en effectievere interventies</w:t>
      </w:r>
      <w:r w:rsidRPr="02333A55" w:rsidR="4354F766">
        <w:t xml:space="preserve">. </w:t>
      </w:r>
      <w:r w:rsidRPr="0083192E" w:rsidR="6CC905D5">
        <w:rPr>
          <w:rFonts w:eastAsia="Verdana" w:cs="Verdana"/>
          <w:szCs w:val="18"/>
        </w:rPr>
        <w:t xml:space="preserve">Nederland </w:t>
      </w:r>
      <w:r w:rsidR="00AD0B2D">
        <w:rPr>
          <w:rFonts w:eastAsia="Verdana" w:cs="Verdana"/>
          <w:szCs w:val="18"/>
        </w:rPr>
        <w:t xml:space="preserve">zal er </w:t>
      </w:r>
      <w:r w:rsidR="02333A55">
        <w:t>op aandringen dat de Europese Commissie deze aanbeveling opvolgt.</w:t>
      </w:r>
      <w:r w:rsidR="006C4A75">
        <w:t xml:space="preserve"> </w:t>
      </w:r>
    </w:p>
    <w:p w:rsidRPr="00370488" w:rsidR="00875CF9" w:rsidP="002029EF" w:rsidRDefault="00875CF9" w14:paraId="73111CFF" w14:textId="77777777">
      <w:pPr>
        <w:spacing w:line="276" w:lineRule="auto"/>
      </w:pPr>
    </w:p>
    <w:p w:rsidR="00370488" w:rsidP="002029EF" w:rsidRDefault="00370488" w14:paraId="1A115E12" w14:textId="77777777">
      <w:pPr>
        <w:spacing w:line="276" w:lineRule="auto"/>
        <w:rPr>
          <w:u w:val="single"/>
        </w:rPr>
      </w:pPr>
      <w:r w:rsidRPr="00370488">
        <w:rPr>
          <w:u w:val="single"/>
        </w:rPr>
        <w:t>Aanbeveling 3: Breng risico’s voor de mensenrechten beter in kaart neem en risicobeperkende maatregelen</w:t>
      </w:r>
    </w:p>
    <w:p w:rsidRPr="00370488" w:rsidR="00370488" w:rsidP="002029EF" w:rsidRDefault="00370488" w14:paraId="43B49DA9" w14:textId="77777777">
      <w:pPr>
        <w:spacing w:line="276" w:lineRule="auto"/>
        <w:rPr>
          <w:u w:val="single"/>
        </w:rPr>
      </w:pPr>
    </w:p>
    <w:p w:rsidRPr="00370488" w:rsidR="00370488" w:rsidP="002029EF" w:rsidRDefault="00370488" w14:paraId="27528DBD" w14:textId="77777777">
      <w:pPr>
        <w:spacing w:line="276" w:lineRule="auto"/>
        <w:rPr>
          <w:i/>
          <w:iCs/>
        </w:rPr>
      </w:pPr>
      <w:r w:rsidRPr="00370488">
        <w:rPr>
          <w:i/>
          <w:iCs/>
        </w:rPr>
        <w:t xml:space="preserve">Appreciatie: </w:t>
      </w:r>
    </w:p>
    <w:p w:rsidR="00A50B61" w:rsidP="002029EF" w:rsidRDefault="00370488" w14:paraId="3CD29384" w14:textId="4329BDEF">
      <w:pPr>
        <w:spacing w:line="276" w:lineRule="auto"/>
      </w:pPr>
      <w:r w:rsidRPr="00370488">
        <w:t xml:space="preserve">Het rapport wijst op de risico’s van mensenrechtenschendingen in </w:t>
      </w:r>
      <w:r w:rsidR="008C2A5D">
        <w:t>volatiele omgevingen en beveelt aan om deze beter in kaart te brengen en risico beperkende maatregelen te nemen</w:t>
      </w:r>
      <w:r w:rsidR="007D5223">
        <w:t>.</w:t>
      </w:r>
    </w:p>
    <w:p w:rsidR="00DA3065" w:rsidP="002029EF" w:rsidRDefault="00DA3065" w14:paraId="080BAC24" w14:textId="77777777">
      <w:pPr>
        <w:spacing w:line="276" w:lineRule="auto"/>
      </w:pPr>
    </w:p>
    <w:p w:rsidR="007E46F7" w:rsidP="002029EF" w:rsidRDefault="3A0261BD" w14:paraId="4DB1CD63" w14:textId="5A407F88">
      <w:pPr>
        <w:spacing w:line="276" w:lineRule="auto"/>
      </w:pPr>
      <w:r>
        <w:t xml:space="preserve">De Europese Rekenkamer stelt voor om het </w:t>
      </w:r>
      <w:r w:rsidRPr="0083192E">
        <w:rPr>
          <w:i/>
          <w:iCs/>
        </w:rPr>
        <w:t>do-no-</w:t>
      </w:r>
      <w:proofErr w:type="spellStart"/>
      <w:r w:rsidRPr="0083192E">
        <w:rPr>
          <w:i/>
          <w:iCs/>
        </w:rPr>
        <w:t>harm</w:t>
      </w:r>
      <w:proofErr w:type="spellEnd"/>
      <w:r>
        <w:t xml:space="preserve"> beginsel</w:t>
      </w:r>
      <w:r w:rsidR="00875CF9">
        <w:t xml:space="preserve"> </w:t>
      </w:r>
      <w:r w:rsidRPr="00875CF9" w:rsidR="00875CF9">
        <w:t>(het rekening houden met mogelijke onbedoelde neveneffecten van hulpinterventies</w:t>
      </w:r>
      <w:r w:rsidR="00875CF9">
        <w:t>)</w:t>
      </w:r>
      <w:r>
        <w:t xml:space="preserve"> beter te </w:t>
      </w:r>
      <w:r>
        <w:lastRenderedPageBreak/>
        <w:t>verankeren in de besluitvorming over toekomstige ontwikkelings</w:t>
      </w:r>
      <w:r w:rsidR="008C2A5D">
        <w:t>projecten</w:t>
      </w:r>
      <w:r>
        <w:t xml:space="preserve">. Om deze verankering te bewerkstelligen zou de Europese Commissie systematisch het specifieke risiconiveau voor de mensenrechten moeten beoordelen. De Europese Commissie kan dit doen in onder andere de ontwerp- en formuleringsfase, het opstellen en verspreiden van duidelijke interne procedures en het analyseren van informatie met betrekking tot mensenrechtenrisico’s. </w:t>
      </w:r>
    </w:p>
    <w:p w:rsidR="007E46F7" w:rsidP="002029EF" w:rsidRDefault="007E46F7" w14:paraId="637A59F8" w14:textId="77777777">
      <w:pPr>
        <w:spacing w:line="276" w:lineRule="auto"/>
      </w:pPr>
    </w:p>
    <w:p w:rsidR="007E46F7" w:rsidP="002029EF" w:rsidRDefault="008D168F" w14:paraId="6E3BA422" w14:textId="202F4C09">
      <w:pPr>
        <w:spacing w:line="276" w:lineRule="auto"/>
        <w:rPr>
          <w:rStyle w:val="cf01"/>
          <w:rFonts w:ascii="Verdana" w:hAnsi="Verdana"/>
          <w:color w:val="auto"/>
        </w:rPr>
      </w:pPr>
      <w:r>
        <w:t xml:space="preserve">Het kabinet vindt dit een terechte aanbeveling. </w:t>
      </w:r>
      <w:r w:rsidRPr="007E46F7" w:rsidR="007E46F7">
        <w:t xml:space="preserve">De Europese Commissie is verantwoordelijk voor de besteding van de EU-middelen voor migratie. Nederland dringt erop aan dat </w:t>
      </w:r>
      <w:r w:rsidR="007E46F7">
        <w:t xml:space="preserve">de Europese Commissie </w:t>
      </w:r>
      <w:r w:rsidRPr="007E46F7" w:rsidR="007E46F7">
        <w:t>middelen</w:t>
      </w:r>
      <w:r w:rsidR="007E46F7">
        <w:t xml:space="preserve"> voor ontwikkelings</w:t>
      </w:r>
      <w:r w:rsidR="00BF0881">
        <w:t>hulp</w:t>
      </w:r>
      <w:r w:rsidR="007E46F7">
        <w:t xml:space="preserve"> en migratie</w:t>
      </w:r>
      <w:r w:rsidRPr="007E46F7" w:rsidR="007E46F7">
        <w:t xml:space="preserve"> effectief en binnen de kaders van het internationaal en humanitair recht besteed</w:t>
      </w:r>
      <w:r w:rsidR="007E46F7">
        <w:t>t</w:t>
      </w:r>
      <w:r w:rsidRPr="5A978247" w:rsidR="007E46F7">
        <w:t xml:space="preserve">. </w:t>
      </w:r>
      <w:r w:rsidR="00D11953">
        <w:t>Nederland zal dit</w:t>
      </w:r>
      <w:r w:rsidRPr="5A978247" w:rsidR="007E46F7">
        <w:t xml:space="preserve"> </w:t>
      </w:r>
      <w:r w:rsidRPr="00142D8E" w:rsidR="007E46F7">
        <w:t xml:space="preserve">via de </w:t>
      </w:r>
      <w:r w:rsidR="00D11953">
        <w:t xml:space="preserve">gebruikelijke </w:t>
      </w:r>
      <w:r w:rsidRPr="00142D8E" w:rsidR="007E46F7">
        <w:t>gremia</w:t>
      </w:r>
      <w:r w:rsidR="00D11953">
        <w:t xml:space="preserve"> bij de Europese Commissie</w:t>
      </w:r>
      <w:r w:rsidRPr="00142D8E" w:rsidR="007E46F7">
        <w:t xml:space="preserve"> blijven benadrukken en </w:t>
      </w:r>
      <w:r w:rsidRPr="00142D8E" w:rsidR="00A50B61">
        <w:t xml:space="preserve">zal </w:t>
      </w:r>
      <w:r w:rsidR="00D11953">
        <w:t>in EU-</w:t>
      </w:r>
      <w:r w:rsidR="00DC6EE8">
        <w:t xml:space="preserve">kader </w:t>
      </w:r>
      <w:r w:rsidR="008C2A5D">
        <w:t xml:space="preserve">erop aandringen dat </w:t>
      </w:r>
      <w:r w:rsidRPr="00142D8E" w:rsidR="007E46F7">
        <w:t xml:space="preserve">de toetsing en monitoring van de mensenrechtensituatie </w:t>
      </w:r>
      <w:r w:rsidRPr="00142D8E" w:rsidR="00A50B61">
        <w:t>in</w:t>
      </w:r>
      <w:r w:rsidR="00DC6EE8">
        <w:t xml:space="preserve"> het</w:t>
      </w:r>
      <w:r w:rsidRPr="00142D8E" w:rsidR="00A50B61">
        <w:t xml:space="preserve"> ontvangend</w:t>
      </w:r>
      <w:r w:rsidR="008C2A5D">
        <w:t>e</w:t>
      </w:r>
      <w:r w:rsidRPr="00142D8E" w:rsidR="00A50B61">
        <w:t xml:space="preserve"> land </w:t>
      </w:r>
      <w:r w:rsidR="008C2A5D">
        <w:t xml:space="preserve">wordt </w:t>
      </w:r>
      <w:r w:rsidRPr="00142D8E" w:rsidR="007E46F7">
        <w:t>versterk</w:t>
      </w:r>
      <w:r w:rsidR="008C2A5D">
        <w:t>t</w:t>
      </w:r>
      <w:r w:rsidRPr="00142D8E" w:rsidR="007E46F7">
        <w:t>.</w:t>
      </w:r>
      <w:r w:rsidRPr="00142D8E" w:rsidR="00527095">
        <w:t xml:space="preserve"> </w:t>
      </w:r>
      <w:r w:rsidRPr="007A4780" w:rsidR="00527095">
        <w:rPr>
          <w:rStyle w:val="cf01"/>
          <w:rFonts w:ascii="Verdana" w:hAnsi="Verdana"/>
          <w:color w:val="auto"/>
        </w:rPr>
        <w:t xml:space="preserve">Daarnaast zal het </w:t>
      </w:r>
      <w:r w:rsidR="001B3107">
        <w:rPr>
          <w:rStyle w:val="cf01"/>
          <w:rFonts w:ascii="Verdana" w:hAnsi="Verdana"/>
          <w:color w:val="auto"/>
        </w:rPr>
        <w:t>k</w:t>
      </w:r>
      <w:r w:rsidRPr="007A4780" w:rsidR="00527095">
        <w:rPr>
          <w:rStyle w:val="cf01"/>
          <w:rFonts w:ascii="Verdana" w:hAnsi="Verdana"/>
          <w:color w:val="auto"/>
        </w:rPr>
        <w:t>abinet</w:t>
      </w:r>
      <w:r w:rsidR="00D11953">
        <w:rPr>
          <w:rStyle w:val="cf01"/>
          <w:rFonts w:ascii="Verdana" w:hAnsi="Verdana"/>
          <w:color w:val="auto"/>
        </w:rPr>
        <w:t>,</w:t>
      </w:r>
      <w:r w:rsidRPr="007A4780" w:rsidR="00527095">
        <w:rPr>
          <w:rStyle w:val="cf01"/>
          <w:rFonts w:ascii="Verdana" w:hAnsi="Verdana"/>
          <w:color w:val="auto"/>
        </w:rPr>
        <w:t xml:space="preserve"> in lijn met de bevindingen uit het rapport</w:t>
      </w:r>
      <w:r w:rsidR="00D11953">
        <w:rPr>
          <w:rStyle w:val="cf01"/>
          <w:rFonts w:ascii="Verdana" w:hAnsi="Verdana"/>
          <w:color w:val="auto"/>
        </w:rPr>
        <w:t xml:space="preserve">, </w:t>
      </w:r>
      <w:r w:rsidRPr="007A4780" w:rsidR="00527095">
        <w:rPr>
          <w:rStyle w:val="cf01"/>
          <w:rFonts w:ascii="Verdana" w:hAnsi="Verdana"/>
          <w:color w:val="auto"/>
        </w:rPr>
        <w:t xml:space="preserve">er bij de </w:t>
      </w:r>
      <w:r w:rsidR="00392541">
        <w:rPr>
          <w:rStyle w:val="cf01"/>
          <w:rFonts w:ascii="Verdana" w:hAnsi="Verdana"/>
          <w:color w:val="auto"/>
        </w:rPr>
        <w:t xml:space="preserve">Europese </w:t>
      </w:r>
      <w:r w:rsidRPr="007A4780" w:rsidR="00527095">
        <w:rPr>
          <w:rStyle w:val="cf01"/>
          <w:rFonts w:ascii="Verdana" w:hAnsi="Verdana"/>
          <w:color w:val="auto"/>
        </w:rPr>
        <w:t xml:space="preserve">Commissie op aandringen om procedures inzichtelijk te maken voor het melden </w:t>
      </w:r>
      <w:r w:rsidR="00DC6EE8">
        <w:rPr>
          <w:rStyle w:val="cf01"/>
          <w:rFonts w:ascii="Verdana" w:hAnsi="Verdana"/>
          <w:color w:val="auto"/>
        </w:rPr>
        <w:t xml:space="preserve">van </w:t>
      </w:r>
      <w:r w:rsidRPr="007A4780" w:rsidR="00527095">
        <w:rPr>
          <w:rStyle w:val="cf01"/>
          <w:rFonts w:ascii="Verdana" w:hAnsi="Verdana"/>
          <w:color w:val="auto"/>
        </w:rPr>
        <w:t>en het geven van follow-up aan aantijgingen van mensenrechtenschendingen en het eventueel opschorten van EU-steun.</w:t>
      </w:r>
    </w:p>
    <w:p w:rsidR="007E46F7" w:rsidP="002029EF" w:rsidRDefault="007E46F7" w14:paraId="2B1577E5" w14:textId="77777777">
      <w:pPr>
        <w:spacing w:line="276" w:lineRule="auto"/>
      </w:pPr>
    </w:p>
    <w:p w:rsidR="00370488" w:rsidP="002029EF" w:rsidRDefault="00370488" w14:paraId="1A52F381" w14:textId="77777777">
      <w:pPr>
        <w:spacing w:line="276" w:lineRule="auto"/>
        <w:rPr>
          <w:u w:val="single"/>
        </w:rPr>
      </w:pPr>
      <w:r w:rsidRPr="00370488">
        <w:rPr>
          <w:u w:val="single"/>
        </w:rPr>
        <w:t>Aanbeveling 4: Verbeter de nauwkeurigheid van gerapporteerde resultaten</w:t>
      </w:r>
    </w:p>
    <w:p w:rsidRPr="00370488" w:rsidR="00370488" w:rsidP="002029EF" w:rsidRDefault="00370488" w14:paraId="0F7B0D1D" w14:textId="77777777">
      <w:pPr>
        <w:spacing w:line="276" w:lineRule="auto"/>
        <w:rPr>
          <w:u w:val="single"/>
        </w:rPr>
      </w:pPr>
    </w:p>
    <w:p w:rsidRPr="00370488" w:rsidR="00370488" w:rsidP="002029EF" w:rsidRDefault="00370488" w14:paraId="7B544C57" w14:textId="77777777">
      <w:pPr>
        <w:spacing w:line="276" w:lineRule="auto"/>
        <w:rPr>
          <w:i/>
          <w:iCs/>
        </w:rPr>
      </w:pPr>
      <w:r w:rsidRPr="00370488">
        <w:rPr>
          <w:i/>
          <w:iCs/>
        </w:rPr>
        <w:t xml:space="preserve">Appreciatie: </w:t>
      </w:r>
    </w:p>
    <w:p w:rsidR="001605CC" w:rsidP="002029EF" w:rsidRDefault="00935878" w14:paraId="14BF8AFA" w14:textId="7958D569">
      <w:pPr>
        <w:spacing w:line="276" w:lineRule="auto"/>
      </w:pPr>
      <w:r>
        <w:t xml:space="preserve">Om de nauwkeurigheid van de verslaglegging over de verwezenlijkingen te verbeteren, </w:t>
      </w:r>
      <w:r w:rsidR="008D168F">
        <w:t xml:space="preserve">stelt de </w:t>
      </w:r>
      <w:r w:rsidR="00BA5089">
        <w:t xml:space="preserve">Europese </w:t>
      </w:r>
      <w:r w:rsidR="008D168F">
        <w:t xml:space="preserve">Rekenkamer dat </w:t>
      </w:r>
      <w:r>
        <w:t>de Europese Commissie o</w:t>
      </w:r>
      <w:r w:rsidR="008D168F">
        <w:t>nder andere</w:t>
      </w:r>
      <w:r>
        <w:t xml:space="preserve"> </w:t>
      </w:r>
      <w:r w:rsidR="008D168F">
        <w:t xml:space="preserve">zou </w:t>
      </w:r>
      <w:r>
        <w:t>moete</w:t>
      </w:r>
      <w:r w:rsidR="008D168F">
        <w:t>n</w:t>
      </w:r>
      <w:r>
        <w:t xml:space="preserve"> nagaan hoe ervoor kan worden gezorgd dat projectuitvoerders meer gedetailleerde informatie uitwisselen</w:t>
      </w:r>
      <w:r w:rsidR="009470F7">
        <w:t>.</w:t>
      </w:r>
      <w:r w:rsidR="008C2A5D">
        <w:t xml:space="preserve"> Ook zou de Commissie in haar monitoring en projectevaluatie controles moeten opnemen van de nauwkeurigheid en duurzaamheid van de gerapporteerde resultaten. Tot slot zou de Commissie moeten vaststellen welke projecten ten onrechte </w:t>
      </w:r>
      <w:r w:rsidR="0083192E">
        <w:t xml:space="preserve">zijn beoordeeld als volledig in aanmerking komend voor de kwalificatie van </w:t>
      </w:r>
      <w:r w:rsidR="0083192E">
        <w:rPr>
          <w:i/>
          <w:iCs/>
        </w:rPr>
        <w:t xml:space="preserve">official development assistance (ODA) </w:t>
      </w:r>
      <w:r w:rsidRPr="0083192E" w:rsidR="0083192E">
        <w:t>en</w:t>
      </w:r>
      <w:r w:rsidR="0083192E">
        <w:t xml:space="preserve"> indien dit niet het geval is dit moeten corrigeren bij de rapportage over ODA-bestedingen bij de OESO-DAC.</w:t>
      </w:r>
      <w:r w:rsidR="008C2A5D">
        <w:tab/>
      </w:r>
      <w:r w:rsidR="009470F7">
        <w:t xml:space="preserve"> </w:t>
      </w:r>
    </w:p>
    <w:p w:rsidR="001605CC" w:rsidP="002029EF" w:rsidRDefault="001605CC" w14:paraId="09BCFEB9" w14:textId="77777777">
      <w:pPr>
        <w:spacing w:line="276" w:lineRule="auto"/>
      </w:pPr>
    </w:p>
    <w:p w:rsidR="00370488" w:rsidP="002029EF" w:rsidRDefault="001605CC" w14:paraId="6C019373" w14:textId="0C5C5488">
      <w:pPr>
        <w:spacing w:line="276" w:lineRule="auto"/>
      </w:pPr>
      <w:r>
        <w:t xml:space="preserve">Het kabinet </w:t>
      </w:r>
      <w:r w:rsidRPr="00370488" w:rsidR="00370488">
        <w:t>onderschri</w:t>
      </w:r>
      <w:r>
        <w:t>jft</w:t>
      </w:r>
      <w:r w:rsidRPr="00370488" w:rsidR="00370488">
        <w:t xml:space="preserve"> deze aanbeveling om de rapportage van resultaten te verbeteren. Het rapport wijst op het feit dat de gerapporteerde resultaten </w:t>
      </w:r>
      <w:r w:rsidR="00370488">
        <w:t xml:space="preserve">te </w:t>
      </w:r>
      <w:r w:rsidRPr="00370488" w:rsidR="00370488">
        <w:t xml:space="preserve">vaag waren om een duidelijk inzicht te bieden in de werkelijke impact van de projecten. Een nauwkeurigere en transparantere rapportage is van groot belang voor de verantwoording naar zowel de Europese burgers als andere betrokkenen. Dit zal ook helpen om beter inzicht te krijgen in wat werkt en wat verbetering behoeft in toekomstige migratieprogramma's. </w:t>
      </w:r>
      <w:r w:rsidR="0083192E">
        <w:t>Het kabinet onderschrijft ook het belang van zorgvuldige ODA-rapportages bij de OESO-DAC.</w:t>
      </w:r>
      <w:r w:rsidR="006C4A75">
        <w:t xml:space="preserve"> </w:t>
      </w:r>
    </w:p>
    <w:p w:rsidRPr="00370488" w:rsidR="00370488" w:rsidP="002029EF" w:rsidRDefault="00370488" w14:paraId="2E283423" w14:textId="77777777">
      <w:pPr>
        <w:spacing w:line="276" w:lineRule="auto"/>
      </w:pPr>
    </w:p>
    <w:p w:rsidRPr="00370488" w:rsidR="00370488" w:rsidP="002029EF" w:rsidRDefault="00370488" w14:paraId="138287B5" w14:textId="77777777">
      <w:pPr>
        <w:spacing w:line="276" w:lineRule="auto"/>
        <w:rPr>
          <w:b/>
          <w:bCs/>
        </w:rPr>
      </w:pPr>
      <w:r w:rsidRPr="00370488">
        <w:rPr>
          <w:b/>
          <w:bCs/>
        </w:rPr>
        <w:t>Conclusie</w:t>
      </w:r>
    </w:p>
    <w:p w:rsidR="006C4A75" w:rsidP="002029EF" w:rsidRDefault="00584F82" w14:paraId="021748F7" w14:textId="1F61DA4B">
      <w:pPr>
        <w:spacing w:line="276" w:lineRule="auto"/>
      </w:pPr>
      <w:r w:rsidRPr="002E3BAD">
        <w:t>Het betreft hier een kritisch rapport van de Europese Rekenkamer dat tekortkomingen bloot legt in de programmering van de Europese Commissie. Dit gaat ten koste van de effectiviteit van de uitgaven en draagt soms bij aan mensenrechtenschendingen. Om dit te voorkomen is het cruciaal dat alle aanbevelingen met hoge urgentie worden opgevolgd. De Europese Commissie heeft aangegeven dat ze dat wil gaan doen. Nederland zal er bij de Europese Commissie stevig op aandringen dat dit ook gebeurt en zal de Europese Commissie vragen de lidstaten hierover te informeren.</w:t>
      </w:r>
      <w:r w:rsidRPr="00584F82">
        <w:t xml:space="preserve">  </w:t>
      </w:r>
    </w:p>
    <w:p w:rsidR="006C4A75" w:rsidP="002029EF" w:rsidRDefault="006C4A75" w14:paraId="1D07DD45" w14:textId="77777777">
      <w:pPr>
        <w:spacing w:line="276" w:lineRule="auto"/>
      </w:pPr>
    </w:p>
    <w:p w:rsidR="00370488" w:rsidP="002029EF" w:rsidRDefault="001605CC" w14:paraId="119CF802" w14:textId="20AEF1B9">
      <w:pPr>
        <w:spacing w:line="276" w:lineRule="auto"/>
      </w:pPr>
      <w:r>
        <w:t xml:space="preserve">Het is </w:t>
      </w:r>
      <w:r w:rsidR="006C4A75">
        <w:t xml:space="preserve">wel </w:t>
      </w:r>
      <w:r>
        <w:t xml:space="preserve">positief dat </w:t>
      </w:r>
      <w:r w:rsidRPr="004B691E" w:rsidR="004B691E">
        <w:t xml:space="preserve">over het geheel genomen </w:t>
      </w:r>
      <w:r>
        <w:t xml:space="preserve">de </w:t>
      </w:r>
      <w:r w:rsidR="00E75AF8">
        <w:t xml:space="preserve">Europese </w:t>
      </w:r>
      <w:r>
        <w:t xml:space="preserve">Rekenkamer </w:t>
      </w:r>
      <w:r w:rsidRPr="004B691E" w:rsidR="004B691E">
        <w:t>conclude</w:t>
      </w:r>
      <w:r w:rsidR="00DD77F9">
        <w:t>ert</w:t>
      </w:r>
      <w:r w:rsidRPr="004B691E" w:rsidR="004B691E">
        <w:t xml:space="preserve"> dat de EUTF-projecten veel van de geplande </w:t>
      </w:r>
      <w:proofErr w:type="spellStart"/>
      <w:r w:rsidRPr="004B691E" w:rsidR="00DD77F9">
        <w:t>output</w:t>
      </w:r>
      <w:r w:rsidR="00DD77F9">
        <w:t>s</w:t>
      </w:r>
      <w:proofErr w:type="spellEnd"/>
      <w:r w:rsidRPr="004B691E" w:rsidR="004B691E">
        <w:t xml:space="preserve"> hebben gerealiseerd en dat de doelstellingen gedeeltelijk zijn bereikt</w:t>
      </w:r>
      <w:r w:rsidR="00DD77F9">
        <w:t xml:space="preserve">. </w:t>
      </w:r>
      <w:r>
        <w:t>Het niet effectief gebruiken van middelen</w:t>
      </w:r>
      <w:r w:rsidR="00B9352F">
        <w:t xml:space="preserve"> is echter ongewenst en </w:t>
      </w:r>
      <w:r>
        <w:t>moet te allen tijde zoveel mogelijk voorkomen worden</w:t>
      </w:r>
      <w:r w:rsidR="00194A6F">
        <w:t xml:space="preserve">. </w:t>
      </w:r>
      <w:r w:rsidR="007D5223">
        <w:t xml:space="preserve">Tegelijkertijd is realisme geboden: niet alle effecten van beleid zijn </w:t>
      </w:r>
      <w:r w:rsidR="00222270">
        <w:t>duidelijk</w:t>
      </w:r>
      <w:r w:rsidR="007D5223">
        <w:t xml:space="preserve"> meetbaar, zeker niet als het effecten op de langere termijn betreft. </w:t>
      </w:r>
      <w:r w:rsidR="008E6F9F">
        <w:t xml:space="preserve">Wel kunnen </w:t>
      </w:r>
      <w:r w:rsidR="00222270">
        <w:t xml:space="preserve">kan het monitoren van </w:t>
      </w:r>
      <w:proofErr w:type="spellStart"/>
      <w:r w:rsidR="008E6F9F">
        <w:t>outputs</w:t>
      </w:r>
      <w:proofErr w:type="spellEnd"/>
      <w:r w:rsidR="008E6F9F">
        <w:t xml:space="preserve"> helpen om voortgang </w:t>
      </w:r>
      <w:r w:rsidR="00222270">
        <w:t xml:space="preserve">te volgen </w:t>
      </w:r>
      <w:r w:rsidR="008E6F9F">
        <w:t>en zijn ze relevant voor bredere evaluatie.</w:t>
      </w:r>
      <w:r w:rsidR="007D5223">
        <w:t xml:space="preserve"> </w:t>
      </w:r>
      <w:r w:rsidR="00B9352F">
        <w:t>Het kabinet zal dit ook zo communiceren richting de Europese Commissie.</w:t>
      </w:r>
      <w:r>
        <w:t xml:space="preserve"> </w:t>
      </w:r>
      <w:r w:rsidRPr="004B691E" w:rsidR="004B691E">
        <w:t xml:space="preserve">De aanbevelingen kunnen de EU helpen de inzet van middelen in de toekomst effectiever te maken. </w:t>
      </w:r>
      <w:r w:rsidR="008E6F9F">
        <w:t>Het</w:t>
      </w:r>
      <w:r w:rsidR="00776BCC">
        <w:t xml:space="preserve"> kabinet </w:t>
      </w:r>
      <w:r w:rsidR="008E6F9F">
        <w:t xml:space="preserve">verwelkomt dan ook </w:t>
      </w:r>
      <w:r w:rsidRPr="004B691E" w:rsidR="004B691E">
        <w:t xml:space="preserve">het voornemen van de Europese Commissie om de bevindingen en aanbevelingen uit het rapport </w:t>
      </w:r>
      <w:r w:rsidR="008E6F9F">
        <w:t>op te volgen, en zal hierop toezien.</w:t>
      </w:r>
      <w:r w:rsidRPr="004B691E" w:rsidDel="008E6F9F" w:rsidR="008E6F9F">
        <w:t xml:space="preserve"> </w:t>
      </w:r>
      <w:r w:rsidR="004B691E">
        <w:br/>
      </w:r>
      <w:r w:rsidR="008E6F9F">
        <w:t>Het kabinet erkent</w:t>
      </w:r>
      <w:r w:rsidRPr="00370488" w:rsidR="00370488">
        <w:t xml:space="preserve"> dat er uitdagingen zijn geweest, zoals benoem</w:t>
      </w:r>
      <w:r w:rsidR="005D0987">
        <w:t>d</w:t>
      </w:r>
      <w:r w:rsidRPr="00370488" w:rsidR="00370488">
        <w:t xml:space="preserve"> in het rapport. De brede en soms versnipperde inzet van middelen en de risico’s op mensenrechtenschendingen</w:t>
      </w:r>
      <w:r w:rsidR="0083192E">
        <w:t xml:space="preserve"> in volatiele omgevingen</w:t>
      </w:r>
      <w:r w:rsidR="008E6F9F">
        <w:t xml:space="preserve"> </w:t>
      </w:r>
      <w:r w:rsidR="00483181">
        <w:t>v</w:t>
      </w:r>
      <w:r w:rsidRPr="00370488" w:rsidR="00370488">
        <w:t xml:space="preserve">ormen aandachtspunten. </w:t>
      </w:r>
      <w:r w:rsidR="00B9352F">
        <w:t>Het kabinet</w:t>
      </w:r>
      <w:r w:rsidRPr="00370488" w:rsidR="00B9352F">
        <w:t xml:space="preserve"> </w:t>
      </w:r>
      <w:r w:rsidR="00B9352F">
        <w:t xml:space="preserve">deelt </w:t>
      </w:r>
      <w:r w:rsidRPr="00370488" w:rsidR="00370488">
        <w:t xml:space="preserve">de visie dat het van belang </w:t>
      </w:r>
      <w:r w:rsidR="0083192E">
        <w:t xml:space="preserve">is </w:t>
      </w:r>
      <w:r w:rsidRPr="00370488" w:rsidR="00370488">
        <w:t>de effectiviteit van de inzet te vergroten</w:t>
      </w:r>
      <w:r w:rsidR="008E6F9F">
        <w:t xml:space="preserve"> en</w:t>
      </w:r>
      <w:r w:rsidRPr="00370488" w:rsidR="00370488">
        <w:t xml:space="preserve"> de transparantie richting Europese burgers te waarborgen.</w:t>
      </w:r>
    </w:p>
    <w:p w:rsidRPr="00370488" w:rsidR="00370488" w:rsidP="002029EF" w:rsidRDefault="00370488" w14:paraId="5895A11E" w14:textId="77777777">
      <w:pPr>
        <w:spacing w:line="276" w:lineRule="auto"/>
      </w:pPr>
    </w:p>
    <w:p w:rsidRPr="00370488" w:rsidR="00370488" w:rsidP="002029EF" w:rsidRDefault="001605CC" w14:paraId="0241170F" w14:textId="4544B36C">
      <w:pPr>
        <w:spacing w:line="276" w:lineRule="auto"/>
      </w:pPr>
      <w:r>
        <w:t>E</w:t>
      </w:r>
      <w:r w:rsidR="00EC28FC">
        <w:t xml:space="preserve">r </w:t>
      </w:r>
      <w:r>
        <w:t xml:space="preserve">bestaat </w:t>
      </w:r>
      <w:r w:rsidRPr="00370488" w:rsidR="00370488">
        <w:t>geen pasklare formule om migratie te beheersen</w:t>
      </w:r>
      <w:r>
        <w:t xml:space="preserve">. Het is </w:t>
      </w:r>
      <w:r w:rsidRPr="00370488" w:rsidR="00370488">
        <w:t xml:space="preserve">een leerproces waarin </w:t>
      </w:r>
      <w:r>
        <w:t xml:space="preserve">uitvoerders nog zoeken </w:t>
      </w:r>
      <w:r w:rsidRPr="00370488" w:rsidR="00370488">
        <w:t>naar de meest effectieve manier om deze middelen binnen de kaders van het internationaal en humanitair recht in te zetten.</w:t>
      </w:r>
      <w:r w:rsidR="00370488">
        <w:t xml:space="preserve"> </w:t>
      </w:r>
      <w:r w:rsidR="008E6F9F">
        <w:t>De effectiviteit kan mogelijk verder worden vergroot door</w:t>
      </w:r>
      <w:r w:rsidR="00EC28FC">
        <w:t xml:space="preserve"> </w:t>
      </w:r>
      <w:r>
        <w:t xml:space="preserve">programma’s onderdeel maken </w:t>
      </w:r>
      <w:r w:rsidRPr="00370488" w:rsidR="00370488">
        <w:t>van bredere partnerschappen met derde landen.</w:t>
      </w:r>
      <w:r>
        <w:t xml:space="preserve"> </w:t>
      </w:r>
      <w:r w:rsidRPr="00370488" w:rsidR="00370488">
        <w:t>Deze partnerschappen moeten gebaseerd zijn op wederzijdse belangen, waarbij de EU onder andere streeft naar een betere grip op migratie.</w:t>
      </w:r>
      <w:r w:rsidRPr="001605CC">
        <w:t xml:space="preserve"> </w:t>
      </w:r>
      <w:r>
        <w:t xml:space="preserve">Nederland zal de discussie daarover met Europese partners vervolgen. </w:t>
      </w:r>
      <w:r w:rsidRPr="00370488">
        <w:t xml:space="preserve"> </w:t>
      </w:r>
    </w:p>
    <w:p w:rsidR="00370488" w:rsidP="002029EF" w:rsidRDefault="00DD77F9" w14:paraId="73D0E0CC" w14:textId="51FA505D">
      <w:pPr>
        <w:spacing w:line="276" w:lineRule="auto"/>
      </w:pPr>
      <w:r>
        <w:br/>
      </w:r>
      <w:r w:rsidRPr="00370488" w:rsidR="00370488">
        <w:t xml:space="preserve">Al met al is het rapport een waardevol instrument om de lessen van de EUTF in kaart te brengen en biedt het concrete aanbevelingen voor de toekomst. </w:t>
      </w:r>
    </w:p>
    <w:p w:rsidR="00526E15" w:rsidP="002029EF" w:rsidRDefault="00526E15" w14:paraId="3F7C559D" w14:textId="77777777">
      <w:pPr>
        <w:spacing w:line="276" w:lineRule="auto"/>
      </w:pPr>
    </w:p>
    <w:p w:rsidR="00654BAA" w:rsidP="002029EF" w:rsidRDefault="00654BAA" w14:paraId="736EA400" w14:textId="77777777">
      <w:pPr>
        <w:spacing w:line="276" w:lineRule="auto"/>
      </w:pPr>
    </w:p>
    <w:p w:rsidR="00325417" w:rsidP="002029EF" w:rsidRDefault="00654BAA" w14:paraId="471B5185" w14:textId="77777777">
      <w:pPr>
        <w:spacing w:line="276" w:lineRule="auto"/>
        <w:ind w:left="4245" w:hanging="4245"/>
      </w:pPr>
      <w:bookmarkStart w:name="table" w:id="2"/>
      <w:bookmarkEnd w:id="2"/>
      <w:r>
        <w:t xml:space="preserve">De minister voor Buitenlandse Handel </w:t>
      </w:r>
    </w:p>
    <w:p w:rsidR="00654BAA" w:rsidP="002029EF" w:rsidRDefault="00654BAA" w14:paraId="31DDA2AC" w14:textId="0897EAE7">
      <w:pPr>
        <w:spacing w:line="276" w:lineRule="auto"/>
        <w:ind w:left="4245" w:hanging="4245"/>
      </w:pPr>
      <w:r>
        <w:t>en Ontwikkelings</w:t>
      </w:r>
      <w:r w:rsidR="00370488">
        <w:t>hulp</w:t>
      </w:r>
      <w:r>
        <w:t>,</w:t>
      </w:r>
    </w:p>
    <w:p w:rsidR="00370488" w:rsidP="002029EF" w:rsidRDefault="00370488" w14:paraId="480EEC9A" w14:textId="77777777">
      <w:pPr>
        <w:spacing w:line="276" w:lineRule="auto"/>
        <w:ind w:left="4245" w:hanging="4245"/>
      </w:pPr>
    </w:p>
    <w:p w:rsidR="00370488" w:rsidP="002029EF" w:rsidRDefault="00370488" w14:paraId="77034514" w14:textId="77777777">
      <w:pPr>
        <w:spacing w:line="276" w:lineRule="auto"/>
        <w:ind w:left="4245" w:hanging="4245"/>
      </w:pPr>
    </w:p>
    <w:p w:rsidR="00E75AF8" w:rsidP="002029EF" w:rsidRDefault="00E75AF8" w14:paraId="51120421" w14:textId="77777777">
      <w:pPr>
        <w:spacing w:line="276" w:lineRule="auto"/>
        <w:ind w:left="4245" w:hanging="4245"/>
      </w:pPr>
    </w:p>
    <w:p w:rsidR="00E75AF8" w:rsidP="002029EF" w:rsidRDefault="00E75AF8" w14:paraId="05EF8D68" w14:textId="77777777">
      <w:pPr>
        <w:spacing w:line="276" w:lineRule="auto"/>
        <w:ind w:left="4245" w:hanging="4245"/>
      </w:pPr>
    </w:p>
    <w:p w:rsidR="00370488" w:rsidP="002029EF" w:rsidRDefault="00370488" w14:paraId="24FD2C58" w14:textId="77777777">
      <w:pPr>
        <w:spacing w:line="276" w:lineRule="auto"/>
        <w:ind w:left="4245" w:hanging="4245"/>
      </w:pPr>
    </w:p>
    <w:p w:rsidR="00370488" w:rsidP="002029EF" w:rsidRDefault="00370488" w14:paraId="1F03DA53" w14:textId="48C5C0EA">
      <w:pPr>
        <w:spacing w:line="276" w:lineRule="auto"/>
      </w:pPr>
      <w:r>
        <w:t>Reinette Klever</w:t>
      </w:r>
    </w:p>
    <w:p w:rsidR="00654BAA" w:rsidP="002029EF" w:rsidRDefault="00654BAA" w14:paraId="1EB680EB" w14:textId="77777777">
      <w:pPr>
        <w:spacing w:line="276" w:lineRule="auto"/>
        <w:contextualSpacing/>
      </w:pPr>
    </w:p>
    <w:p w:rsidR="00654BAA" w:rsidP="002029EF" w:rsidRDefault="00654BAA" w14:paraId="5A7C8871" w14:textId="77777777">
      <w:pPr>
        <w:spacing w:line="276" w:lineRule="auto"/>
        <w:contextualSpacing/>
      </w:pPr>
    </w:p>
    <w:p w:rsidR="007B7D73" w:rsidP="002029EF" w:rsidRDefault="007B7D73" w14:paraId="3813D4FE" w14:textId="77777777">
      <w:pPr>
        <w:spacing w:line="276" w:lineRule="auto"/>
        <w:contextualSpacing/>
      </w:pPr>
    </w:p>
    <w:p w:rsidRPr="00DA38B6" w:rsidR="00DA38B6" w:rsidP="002029EF" w:rsidRDefault="00654BAA" w14:paraId="499C1477" w14:textId="5F6D9A05">
      <w:pPr>
        <w:spacing w:line="276" w:lineRule="auto"/>
        <w:contextualSpacing/>
      </w:pPr>
      <w:r>
        <w:br/>
      </w:r>
    </w:p>
    <w:sectPr w:rsidRPr="00DA38B6" w:rsidR="00DA38B6" w:rsidSect="00C53D5B">
      <w:headerReference w:type="default" r:id="rId12"/>
      <w:footerReference w:type="default" r:id="rId13"/>
      <w:headerReference w:type="first" r:id="rId14"/>
      <w:footerReference w:type="first" r:id="rId15"/>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5F6A" w14:textId="77777777" w:rsidR="00C937E5" w:rsidRDefault="00C937E5" w:rsidP="004F2CD5">
      <w:pPr>
        <w:spacing w:line="240" w:lineRule="auto"/>
      </w:pPr>
      <w:r>
        <w:separator/>
      </w:r>
    </w:p>
  </w:endnote>
  <w:endnote w:type="continuationSeparator" w:id="0">
    <w:p w14:paraId="5927D547" w14:textId="77777777" w:rsidR="00C937E5" w:rsidRDefault="00C937E5" w:rsidP="004F2CD5">
      <w:pPr>
        <w:spacing w:line="240" w:lineRule="auto"/>
      </w:pPr>
      <w:r>
        <w:continuationSeparator/>
      </w:r>
    </w:p>
  </w:endnote>
  <w:endnote w:type="continuationNotice" w:id="1">
    <w:p w14:paraId="458B9E73" w14:textId="77777777" w:rsidR="00C937E5" w:rsidRDefault="00C937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392115"/>
      <w:docPartObj>
        <w:docPartGallery w:val="Page Numbers (Bottom of Page)"/>
        <w:docPartUnique/>
      </w:docPartObj>
    </w:sdtPr>
    <w:sdtContent>
      <w:p w14:paraId="0ED11B3F" w14:textId="77777777" w:rsidR="00D5338D" w:rsidRDefault="00D5338D">
        <w:pPr>
          <w:pStyle w:val="Footer"/>
          <w:jc w:val="center"/>
        </w:pPr>
        <w:r>
          <w:fldChar w:fldCharType="begin"/>
        </w:r>
        <w:r>
          <w:instrText>PAGE   \* MERGEFORMAT</w:instrText>
        </w:r>
        <w:r>
          <w:fldChar w:fldCharType="separate"/>
        </w:r>
        <w:r w:rsidR="00EB36E4">
          <w:rPr>
            <w:noProof/>
          </w:rPr>
          <w:t>2</w:t>
        </w:r>
        <w:r>
          <w:fldChar w:fldCharType="end"/>
        </w:r>
      </w:p>
    </w:sdtContent>
  </w:sdt>
  <w:p w14:paraId="070F02BA" w14:textId="77777777" w:rsidR="00D5338D" w:rsidRDefault="00D53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146791"/>
      <w:docPartObj>
        <w:docPartGallery w:val="Page Numbers (Bottom of Page)"/>
        <w:docPartUnique/>
      </w:docPartObj>
    </w:sdtPr>
    <w:sdtContent>
      <w:p w14:paraId="71AE6A66" w14:textId="77777777" w:rsidR="00D5338D" w:rsidRDefault="00D5338D">
        <w:pPr>
          <w:pStyle w:val="Footer"/>
          <w:jc w:val="center"/>
        </w:pPr>
        <w:r>
          <w:fldChar w:fldCharType="begin"/>
        </w:r>
        <w:r>
          <w:instrText>PAGE   \* MERGEFORMAT</w:instrText>
        </w:r>
        <w:r>
          <w:fldChar w:fldCharType="separate"/>
        </w:r>
        <w:r w:rsidR="00EB36E4">
          <w:rPr>
            <w:noProof/>
          </w:rPr>
          <w:t>1</w:t>
        </w:r>
        <w:r>
          <w:fldChar w:fldCharType="end"/>
        </w:r>
      </w:p>
    </w:sdtContent>
  </w:sdt>
  <w:p w14:paraId="4B34BE5E" w14:textId="77777777" w:rsidR="00D5338D" w:rsidRDefault="00D53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8487" w14:textId="77777777" w:rsidR="00C937E5" w:rsidRDefault="00C937E5" w:rsidP="004F2CD5">
      <w:pPr>
        <w:spacing w:line="240" w:lineRule="auto"/>
      </w:pPr>
      <w:r>
        <w:separator/>
      </w:r>
    </w:p>
  </w:footnote>
  <w:footnote w:type="continuationSeparator" w:id="0">
    <w:p w14:paraId="610A7ED4" w14:textId="77777777" w:rsidR="00C937E5" w:rsidRDefault="00C937E5" w:rsidP="004F2CD5">
      <w:pPr>
        <w:spacing w:line="240" w:lineRule="auto"/>
      </w:pPr>
      <w:r>
        <w:continuationSeparator/>
      </w:r>
    </w:p>
  </w:footnote>
  <w:footnote w:type="continuationNotice" w:id="1">
    <w:p w14:paraId="10BA41F4" w14:textId="77777777" w:rsidR="00C937E5" w:rsidRDefault="00C937E5">
      <w:pPr>
        <w:spacing w:line="240" w:lineRule="auto"/>
      </w:pPr>
    </w:p>
  </w:footnote>
  <w:footnote w:id="2">
    <w:p w14:paraId="584A043B" w14:textId="5B802450" w:rsidR="00142D8E" w:rsidRPr="00271878" w:rsidRDefault="00142D8E">
      <w:pPr>
        <w:pStyle w:val="FootnoteText"/>
        <w:rPr>
          <w:rFonts w:ascii="Verdana" w:hAnsi="Verdana"/>
        </w:rPr>
      </w:pPr>
      <w:r w:rsidRPr="00271878">
        <w:rPr>
          <w:rStyle w:val="FootnoteReference"/>
          <w:rFonts w:ascii="Verdana" w:hAnsi="Verdana"/>
          <w:sz w:val="16"/>
          <w:szCs w:val="16"/>
        </w:rPr>
        <w:footnoteRef/>
      </w:r>
      <w:r w:rsidRPr="00271878">
        <w:rPr>
          <w:rFonts w:ascii="Verdana" w:hAnsi="Verdana"/>
          <w:sz w:val="16"/>
          <w:szCs w:val="16"/>
        </w:rPr>
        <w:t xml:space="preserve"> https://www.eca.europa.eu/nl/publications/SR-2024-17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946D" w14:textId="77777777" w:rsidR="00D5338D" w:rsidRDefault="00D5338D"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63674AE7" wp14:editId="0CB16A52">
              <wp:simplePos x="0" y="0"/>
              <wp:positionH relativeFrom="column">
                <wp:posOffset>4831715</wp:posOffset>
              </wp:positionH>
              <wp:positionV relativeFrom="page">
                <wp:posOffset>1882775</wp:posOffset>
              </wp:positionV>
              <wp:extent cx="1494000" cy="8096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A0D5B6" w14:textId="77777777" w:rsidR="00D5338D" w:rsidRPr="003A2FD6" w:rsidRDefault="00D5338D" w:rsidP="00387071">
                          <w:pPr>
                            <w:rPr>
                              <w:b/>
                              <w:sz w:val="13"/>
                              <w:szCs w:val="13"/>
                            </w:rPr>
                          </w:pPr>
                        </w:p>
                        <w:p w14:paraId="513377A0" w14:textId="77777777" w:rsidR="00D5338D" w:rsidRDefault="00D5338D" w:rsidP="00387071">
                          <w:pPr>
                            <w:rPr>
                              <w:b/>
                              <w:sz w:val="13"/>
                              <w:szCs w:val="13"/>
                            </w:rPr>
                          </w:pPr>
                        </w:p>
                        <w:p w14:paraId="3585F86C" w14:textId="7C24731D" w:rsidR="00D33E5E" w:rsidRPr="00D33E5E" w:rsidRDefault="00D5338D">
                          <w:pPr>
                            <w:rPr>
                              <w:b/>
                              <w:sz w:val="13"/>
                              <w:szCs w:val="13"/>
                            </w:rPr>
                          </w:pPr>
                          <w:r w:rsidRPr="006B0BAF">
                            <w:rPr>
                              <w:b/>
                              <w:sz w:val="13"/>
                              <w:szCs w:val="13"/>
                            </w:rPr>
                            <w:t>Onze Referentie</w:t>
                          </w:r>
                          <w:r w:rsidR="00D33E5E">
                            <w:rPr>
                              <w:b/>
                              <w:sz w:val="13"/>
                              <w:szCs w:val="13"/>
                            </w:rPr>
                            <w:br/>
                          </w:r>
                          <w:r w:rsidR="00E75AF8" w:rsidRPr="00E75AF8">
                            <w:rPr>
                              <w:bCs/>
                              <w:sz w:val="13"/>
                              <w:szCs w:val="13"/>
                            </w:rPr>
                            <w:t>BZ2407905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74AE7" id="_x0000_t202" coordsize="21600,21600" o:spt="202" path="m,l,21600r21600,l21600,xe">
              <v:stroke joinstyle="miter"/>
              <v:path gradientshapeok="t" o:connecttype="rect"/>
            </v:shapetype>
            <v:shape id="Text Box 4"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p w14:paraId="4CA0D5B6" w14:textId="77777777" w:rsidR="00D5338D" w:rsidRPr="003A2FD6" w:rsidRDefault="00D5338D" w:rsidP="00387071">
                    <w:pPr>
                      <w:rPr>
                        <w:b/>
                        <w:sz w:val="13"/>
                        <w:szCs w:val="13"/>
                      </w:rPr>
                    </w:pPr>
                  </w:p>
                  <w:p w14:paraId="513377A0" w14:textId="77777777" w:rsidR="00D5338D" w:rsidRDefault="00D5338D" w:rsidP="00387071">
                    <w:pPr>
                      <w:rPr>
                        <w:b/>
                        <w:sz w:val="13"/>
                        <w:szCs w:val="13"/>
                      </w:rPr>
                    </w:pPr>
                  </w:p>
                  <w:p w14:paraId="3585F86C" w14:textId="7C24731D" w:rsidR="00D33E5E" w:rsidRPr="00D33E5E" w:rsidRDefault="00D5338D">
                    <w:pPr>
                      <w:rPr>
                        <w:b/>
                        <w:sz w:val="13"/>
                        <w:szCs w:val="13"/>
                      </w:rPr>
                    </w:pPr>
                    <w:r w:rsidRPr="006B0BAF">
                      <w:rPr>
                        <w:b/>
                        <w:sz w:val="13"/>
                        <w:szCs w:val="13"/>
                      </w:rPr>
                      <w:t>Onze Referentie</w:t>
                    </w:r>
                    <w:r w:rsidR="00D33E5E">
                      <w:rPr>
                        <w:b/>
                        <w:sz w:val="13"/>
                        <w:szCs w:val="13"/>
                      </w:rPr>
                      <w:br/>
                    </w:r>
                    <w:r w:rsidR="00E75AF8" w:rsidRPr="00E75AF8">
                      <w:rPr>
                        <w:bCs/>
                        <w:sz w:val="13"/>
                        <w:szCs w:val="13"/>
                      </w:rPr>
                      <w:t>BZ2407905</w:t>
                    </w:r>
                  </w:p>
                </w:txbxContent>
              </v:textbox>
              <w10:wrap anchory="page"/>
            </v:shape>
          </w:pict>
        </mc:Fallback>
      </mc:AlternateContent>
    </w:r>
    <w:r>
      <w:tab/>
    </w:r>
  </w:p>
  <w:p w14:paraId="72FEEFC3" w14:textId="77777777" w:rsidR="00D5338D" w:rsidRDefault="00D53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157B" w14:textId="77777777" w:rsidR="00D5338D" w:rsidRDefault="00D5338D">
    <w:pPr>
      <w:pStyle w:val="Header"/>
    </w:pPr>
  </w:p>
  <w:p w14:paraId="3D5BDDFC" w14:textId="77777777" w:rsidR="00D5338D" w:rsidRDefault="00D5338D">
    <w:pPr>
      <w:pStyle w:val="Header"/>
    </w:pPr>
  </w:p>
  <w:p w14:paraId="085FDF45" w14:textId="77777777" w:rsidR="00D5338D" w:rsidRDefault="00D5338D">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0D487C92" wp14:editId="30DFAA08">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09487" w14:textId="77777777" w:rsidR="00D5338D" w:rsidRDefault="00D5338D" w:rsidP="00596AD0">
                          <w:pPr>
                            <w:pStyle w:val="Header"/>
                          </w:pPr>
                          <w:r>
                            <w:t xml:space="preserve">Aan de Voorzitter van de </w:t>
                          </w:r>
                        </w:p>
                        <w:p w14:paraId="05DEE566" w14:textId="77777777" w:rsidR="00D5338D" w:rsidRDefault="00D5338D" w:rsidP="00596AD0">
                          <w:pPr>
                            <w:pStyle w:val="Header"/>
                          </w:pPr>
                          <w:r>
                            <w:t>Tweede Kamer der Staten-Generaal</w:t>
                          </w:r>
                        </w:p>
                        <w:p w14:paraId="5313322D" w14:textId="77777777" w:rsidR="00D5338D" w:rsidRDefault="00D5338D" w:rsidP="00596AD0">
                          <w:pPr>
                            <w:pStyle w:val="Header"/>
                          </w:pPr>
                          <w:r>
                            <w:t>Prinses Irenestraat 6</w:t>
                          </w:r>
                        </w:p>
                        <w:p w14:paraId="2278C410" w14:textId="77777777" w:rsidR="00D5338D" w:rsidRDefault="00D5338D" w:rsidP="00596AD0">
                          <w:pPr>
                            <w:pStyle w:val="Header"/>
                          </w:pPr>
                          <w:r>
                            <w:t>Den Haag</w:t>
                          </w:r>
                        </w:p>
                        <w:p w14:paraId="0E0659E1" w14:textId="77777777" w:rsidR="00D5338D" w:rsidRPr="00CF7C5C" w:rsidRDefault="00D5338D"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87C92"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p w14:paraId="3DD09487" w14:textId="77777777" w:rsidR="00D5338D" w:rsidRDefault="00D5338D" w:rsidP="00596AD0">
                    <w:pPr>
                      <w:pStyle w:val="Header"/>
                    </w:pPr>
                    <w:r>
                      <w:t xml:space="preserve">Aan de Voorzitter van de </w:t>
                    </w:r>
                  </w:p>
                  <w:p w14:paraId="05DEE566" w14:textId="77777777" w:rsidR="00D5338D" w:rsidRDefault="00D5338D" w:rsidP="00596AD0">
                    <w:pPr>
                      <w:pStyle w:val="Header"/>
                    </w:pPr>
                    <w:r>
                      <w:t>Tweede Kamer der Staten-Generaal</w:t>
                    </w:r>
                  </w:p>
                  <w:p w14:paraId="5313322D" w14:textId="77777777" w:rsidR="00D5338D" w:rsidRDefault="00D5338D" w:rsidP="00596AD0">
                    <w:pPr>
                      <w:pStyle w:val="Header"/>
                    </w:pPr>
                    <w:r>
                      <w:t>Prinses Irenestraat 6</w:t>
                    </w:r>
                  </w:p>
                  <w:p w14:paraId="2278C410" w14:textId="77777777" w:rsidR="00D5338D" w:rsidRDefault="00D5338D" w:rsidP="00596AD0">
                    <w:pPr>
                      <w:pStyle w:val="Header"/>
                    </w:pPr>
                    <w:r>
                      <w:t>Den Haag</w:t>
                    </w:r>
                  </w:p>
                  <w:p w14:paraId="0E0659E1" w14:textId="77777777" w:rsidR="00D5338D" w:rsidRPr="00CF7C5C" w:rsidRDefault="00D5338D" w:rsidP="00421A31"/>
                </w:txbxContent>
              </v:textbox>
              <w10:wrap anchorx="margin" anchory="page"/>
            </v:shape>
          </w:pict>
        </mc:Fallback>
      </mc:AlternateContent>
    </w:r>
  </w:p>
  <w:p w14:paraId="610521EC" w14:textId="77777777" w:rsidR="00D5338D" w:rsidRDefault="00D5338D">
    <w:pPr>
      <w:pStyle w:val="Header"/>
    </w:pPr>
  </w:p>
  <w:p w14:paraId="1CF33BFE" w14:textId="77777777" w:rsidR="00D5338D" w:rsidRDefault="00D5338D">
    <w:pPr>
      <w:pStyle w:val="Header"/>
    </w:pPr>
  </w:p>
  <w:p w14:paraId="3A515046" w14:textId="77777777" w:rsidR="00D5338D" w:rsidRDefault="00D5338D">
    <w:pPr>
      <w:pStyle w:val="Header"/>
    </w:pPr>
  </w:p>
  <w:p w14:paraId="5C814E77" w14:textId="77777777" w:rsidR="00D5338D" w:rsidRDefault="00D5338D">
    <w:pPr>
      <w:pStyle w:val="Header"/>
    </w:pPr>
  </w:p>
  <w:p w14:paraId="67AC1E8B" w14:textId="77777777" w:rsidR="00D5338D" w:rsidRDefault="00D5338D">
    <w:pPr>
      <w:pStyle w:val="Header"/>
    </w:pPr>
  </w:p>
  <w:p w14:paraId="511CA93D" w14:textId="77777777" w:rsidR="00D5338D" w:rsidRDefault="00D5338D">
    <w:pPr>
      <w:pStyle w:val="Header"/>
    </w:pPr>
  </w:p>
  <w:p w14:paraId="539574D5" w14:textId="77777777" w:rsidR="00D5338D" w:rsidRDefault="00D5338D">
    <w:pPr>
      <w:pStyle w:val="Header"/>
    </w:pPr>
  </w:p>
  <w:p w14:paraId="27AFE9E5" w14:textId="77777777" w:rsidR="00D5338D" w:rsidRDefault="00D5338D">
    <w:pPr>
      <w:pStyle w:val="Header"/>
    </w:pPr>
  </w:p>
  <w:p w14:paraId="22ACB9DB" w14:textId="491FDC09" w:rsidR="00D5338D" w:rsidRDefault="00D5338D">
    <w:pPr>
      <w:pStyle w:val="Header"/>
    </w:pPr>
  </w:p>
  <w:p w14:paraId="5762BADC" w14:textId="4475E459" w:rsidR="00D5338D" w:rsidRDefault="00D5338D">
    <w:pPr>
      <w:pStyle w:val="Header"/>
    </w:pPr>
  </w:p>
  <w:p w14:paraId="01A75B86" w14:textId="79C60105" w:rsidR="00D5338D" w:rsidRDefault="002029EF">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F8AC934" wp14:editId="04A8F004">
              <wp:simplePos x="0" y="0"/>
              <wp:positionH relativeFrom="margin">
                <wp:posOffset>-18415</wp:posOffset>
              </wp:positionH>
              <wp:positionV relativeFrom="page">
                <wp:posOffset>3354070</wp:posOffset>
              </wp:positionV>
              <wp:extent cx="4751705" cy="1044575"/>
              <wp:effectExtent l="0" t="0" r="0" b="3175"/>
              <wp:wrapNone/>
              <wp:docPr id="61" name="Text Box 61"/>
              <wp:cNvGraphicFramePr/>
              <a:graphic xmlns:a="http://schemas.openxmlformats.org/drawingml/2006/main">
                <a:graphicData uri="http://schemas.microsoft.com/office/word/2010/wordprocessingShape">
                  <wps:wsp>
                    <wps:cNvSpPr txBox="1"/>
                    <wps:spPr>
                      <a:xfrm>
                        <a:off x="0" y="0"/>
                        <a:ext cx="4751705" cy="1044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25B9B" w14:textId="2CBDCFCB" w:rsidR="00D5338D" w:rsidRPr="00F51C07" w:rsidRDefault="00D5338D">
                          <w:r w:rsidRPr="00F51C07">
                            <w:t>Datum</w:t>
                          </w:r>
                          <w:r w:rsidR="002E3BAD">
                            <w:t xml:space="preserve"> 12 n</w:t>
                          </w:r>
                          <w:r w:rsidR="00325417">
                            <w:t>ovember</w:t>
                          </w:r>
                          <w:r w:rsidR="00370488">
                            <w:t xml:space="preserve"> 2024</w:t>
                          </w:r>
                        </w:p>
                        <w:p w14:paraId="5EC1301C" w14:textId="7B5A7E15" w:rsidR="00D5338D" w:rsidRDefault="00D5338D">
                          <w:pPr>
                            <w:rPr>
                              <w:i/>
                              <w:iCs/>
                            </w:rPr>
                          </w:pPr>
                          <w:r w:rsidRPr="00E20D12">
                            <w:t xml:space="preserve">Betreft </w:t>
                          </w:r>
                          <w:r w:rsidR="00370488">
                            <w:t xml:space="preserve">Appreciatie van het rapport van de Europese Rekenkamer: </w:t>
                          </w:r>
                          <w:r w:rsidR="00370488" w:rsidRPr="002C51C2">
                            <w:rPr>
                              <w:i/>
                              <w:iCs/>
                            </w:rPr>
                            <w:t>‘Het EU</w:t>
                          </w:r>
                          <w:r w:rsidR="00370488" w:rsidRPr="002C51C2">
                            <w:rPr>
                              <w:rFonts w:ascii="Cambria Math" w:hAnsi="Cambria Math" w:cs="Cambria Math"/>
                              <w:i/>
                              <w:iCs/>
                            </w:rPr>
                            <w:t>‑</w:t>
                          </w:r>
                          <w:r w:rsidR="00370488" w:rsidRPr="002C51C2">
                            <w:rPr>
                              <w:i/>
                              <w:iCs/>
                            </w:rPr>
                            <w:t xml:space="preserve">trustfonds voor Afrika </w:t>
                          </w:r>
                          <w:r w:rsidR="00370488" w:rsidRPr="002C51C2">
                            <w:rPr>
                              <w:rFonts w:ascii="Calibri" w:hAnsi="Calibri" w:cs="Calibri"/>
                              <w:i/>
                              <w:iCs/>
                            </w:rPr>
                            <w:t>–</w:t>
                          </w:r>
                          <w:r w:rsidR="00370488" w:rsidRPr="002C51C2">
                            <w:rPr>
                              <w:i/>
                              <w:iCs/>
                            </w:rPr>
                            <w:t xml:space="preserve"> Ondanks nieuwe benaderingen bleef de steun ongericht’</w:t>
                          </w:r>
                        </w:p>
                        <w:p w14:paraId="5F26D0BC" w14:textId="77777777" w:rsidR="002029EF" w:rsidRDefault="002029EF">
                          <w:pPr>
                            <w:rPr>
                              <w:i/>
                              <w:iCs/>
                            </w:rPr>
                          </w:pPr>
                        </w:p>
                        <w:p w14:paraId="2110FE69" w14:textId="77777777" w:rsidR="002029EF" w:rsidRPr="00653FAB" w:rsidRDefault="002029E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AC934" id="Text Box 61" o:spid="_x0000_s1028" type="#_x0000_t202" style="position:absolute;margin-left:-1.45pt;margin-top:264.1pt;width:374.15pt;height:82.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" fillcolor="white [3201]" stroked="f" strokeweight=".5pt">
              <v:textbox inset="0,0,0,0">
                <w:txbxContent>
                  <w:p w14:paraId="7A425B9B" w14:textId="2CBDCFCB" w:rsidR="00D5338D" w:rsidRPr="00F51C07" w:rsidRDefault="00D5338D">
                    <w:r w:rsidRPr="00F51C07">
                      <w:t>Datum</w:t>
                    </w:r>
                    <w:r w:rsidR="002E3BAD">
                      <w:t xml:space="preserve"> 12 n</w:t>
                    </w:r>
                    <w:r w:rsidR="00325417">
                      <w:t>ovember</w:t>
                    </w:r>
                    <w:r w:rsidR="00370488">
                      <w:t xml:space="preserve"> 2024</w:t>
                    </w:r>
                  </w:p>
                  <w:p w14:paraId="5EC1301C" w14:textId="7B5A7E15" w:rsidR="00D5338D" w:rsidRDefault="00D5338D">
                    <w:pPr>
                      <w:rPr>
                        <w:i/>
                        <w:iCs/>
                      </w:rPr>
                    </w:pPr>
                    <w:r w:rsidRPr="00E20D12">
                      <w:t xml:space="preserve">Betreft </w:t>
                    </w:r>
                    <w:r w:rsidR="00370488">
                      <w:t xml:space="preserve">Appreciatie van het rapport van de Europese Rekenkamer: </w:t>
                    </w:r>
                    <w:r w:rsidR="00370488" w:rsidRPr="002C51C2">
                      <w:rPr>
                        <w:i/>
                        <w:iCs/>
                      </w:rPr>
                      <w:t>‘Het EU</w:t>
                    </w:r>
                    <w:r w:rsidR="00370488" w:rsidRPr="002C51C2">
                      <w:rPr>
                        <w:rFonts w:ascii="Cambria Math" w:hAnsi="Cambria Math" w:cs="Cambria Math"/>
                        <w:i/>
                        <w:iCs/>
                      </w:rPr>
                      <w:t>‑</w:t>
                    </w:r>
                    <w:r w:rsidR="00370488" w:rsidRPr="002C51C2">
                      <w:rPr>
                        <w:i/>
                        <w:iCs/>
                      </w:rPr>
                      <w:t xml:space="preserve">trustfonds voor Afrika </w:t>
                    </w:r>
                    <w:r w:rsidR="00370488" w:rsidRPr="002C51C2">
                      <w:rPr>
                        <w:rFonts w:ascii="Calibri" w:hAnsi="Calibri" w:cs="Calibri"/>
                        <w:i/>
                        <w:iCs/>
                      </w:rPr>
                      <w:t>–</w:t>
                    </w:r>
                    <w:r w:rsidR="00370488" w:rsidRPr="002C51C2">
                      <w:rPr>
                        <w:i/>
                        <w:iCs/>
                      </w:rPr>
                      <w:t xml:space="preserve"> Ondanks nieuwe benaderingen bleef de steun ongericht’</w:t>
                    </w:r>
                  </w:p>
                  <w:p w14:paraId="5F26D0BC" w14:textId="77777777" w:rsidR="002029EF" w:rsidRDefault="002029EF">
                    <w:pPr>
                      <w:rPr>
                        <w:i/>
                        <w:iCs/>
                      </w:rPr>
                    </w:pPr>
                  </w:p>
                  <w:p w14:paraId="2110FE69" w14:textId="77777777" w:rsidR="002029EF" w:rsidRPr="00653FAB" w:rsidRDefault="002029EF"/>
                </w:txbxContent>
              </v:textbox>
              <w10:wrap anchorx="margin" anchory="page"/>
            </v:shape>
          </w:pict>
        </mc:Fallback>
      </mc:AlternateContent>
    </w:r>
  </w:p>
  <w:p w14:paraId="0C6ECFBE" w14:textId="7DEF850F" w:rsidR="00D5338D" w:rsidRDefault="00D5338D">
    <w:pPr>
      <w:pStyle w:val="Header"/>
    </w:pPr>
  </w:p>
  <w:p w14:paraId="12245803" w14:textId="0C876941" w:rsidR="00D5338D" w:rsidRDefault="00D5338D">
    <w:pPr>
      <w:pStyle w:val="Header"/>
    </w:pPr>
  </w:p>
  <w:p w14:paraId="17511B9C" w14:textId="2C96D99D" w:rsidR="00D5338D" w:rsidRDefault="00D5338D">
    <w:pPr>
      <w:pStyle w:val="Header"/>
    </w:pPr>
  </w:p>
  <w:p w14:paraId="65E0BC6C" w14:textId="5A0E617D" w:rsidR="00D5338D" w:rsidRDefault="00D5338D">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1F9A47EF" wp14:editId="7CC64E53">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5338D" w14:paraId="3397D58F" w14:textId="77777777">
                            <w:trPr>
                              <w:trHeight w:val="2636"/>
                            </w:trPr>
                            <w:tc>
                              <w:tcPr>
                                <w:tcW w:w="737" w:type="dxa"/>
                                <w:shd w:val="clear" w:color="auto" w:fill="auto"/>
                              </w:tcPr>
                              <w:p w14:paraId="4F5BC2CB" w14:textId="77777777" w:rsidR="00D5338D" w:rsidRDefault="00D5338D" w:rsidP="00221464">
                                <w:pPr>
                                  <w:spacing w:line="240" w:lineRule="auto"/>
                                </w:pPr>
                              </w:p>
                            </w:tc>
                            <w:tc>
                              <w:tcPr>
                                <w:tcW w:w="5263" w:type="dxa"/>
                                <w:shd w:val="clear" w:color="auto" w:fill="auto"/>
                              </w:tcPr>
                              <w:p w14:paraId="0E4CCE6D" w14:textId="77777777" w:rsidR="00D5338D" w:rsidRDefault="00D5338D" w:rsidP="00221464">
                                <w:pPr>
                                  <w:spacing w:line="240" w:lineRule="auto"/>
                                </w:pPr>
                                <w:r>
                                  <w:rPr>
                                    <w:noProof/>
                                  </w:rPr>
                                  <w:drawing>
                                    <wp:inline distT="0" distB="0" distL="0" distR="0" wp14:anchorId="6D515212" wp14:editId="63C67133">
                                      <wp:extent cx="2335530" cy="1586230"/>
                                      <wp:effectExtent l="0" t="0" r="7620" b="0"/>
                                      <wp:docPr id="5" name="Picture 5"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62E89DFF" w14:textId="77777777" w:rsidR="00D5338D" w:rsidRDefault="00D5338D"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A47EF" id="_x0000_t202" coordsize="21600,21600" o:spt="202" path="m,l,21600r21600,l21600,xe">
              <v:stroke joinstyle="miter"/>
              <v:path gradientshapeok="t" o:connecttype="rect"/>
            </v:shapetype>
            <v:shape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5338D" w14:paraId="3397D58F" w14:textId="77777777">
                      <w:trPr>
                        <w:trHeight w:val="2636"/>
                      </w:trPr>
                      <w:tc>
                        <w:tcPr>
                          <w:tcW w:w="737" w:type="dxa"/>
                          <w:shd w:val="clear" w:color="auto" w:fill="auto"/>
                        </w:tcPr>
                        <w:p w14:paraId="4F5BC2CB" w14:textId="77777777" w:rsidR="00D5338D" w:rsidRDefault="00D5338D" w:rsidP="00221464">
                          <w:pPr>
                            <w:spacing w:line="240" w:lineRule="auto"/>
                          </w:pPr>
                        </w:p>
                      </w:tc>
                      <w:tc>
                        <w:tcPr>
                          <w:tcW w:w="5263" w:type="dxa"/>
                          <w:shd w:val="clear" w:color="auto" w:fill="auto"/>
                        </w:tcPr>
                        <w:p w14:paraId="0E4CCE6D" w14:textId="77777777" w:rsidR="00D5338D" w:rsidRDefault="00D5338D" w:rsidP="00221464">
                          <w:pPr>
                            <w:spacing w:line="240" w:lineRule="auto"/>
                          </w:pPr>
                          <w:r>
                            <w:rPr>
                              <w:noProof/>
                            </w:rPr>
                            <w:drawing>
                              <wp:inline distT="0" distB="0" distL="0" distR="0" wp14:anchorId="6D515212" wp14:editId="63C67133">
                                <wp:extent cx="2335530" cy="1586230"/>
                                <wp:effectExtent l="0" t="0" r="7620" b="0"/>
                                <wp:docPr id="5" name="Picture 5"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62E89DFF" w14:textId="77777777" w:rsidR="00D5338D" w:rsidRDefault="00D5338D"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5EB7B053" wp14:editId="47F448D4">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38A539" w14:textId="77777777" w:rsidR="00D5338D" w:rsidRPr="00F7196A" w:rsidRDefault="00D5338D" w:rsidP="00EE5E5D">
                          <w:pPr>
                            <w:rPr>
                              <w:b/>
                              <w:bCs/>
                              <w:sz w:val="13"/>
                              <w:szCs w:val="13"/>
                            </w:rPr>
                          </w:pPr>
                          <w:r w:rsidRPr="00F7196A">
                            <w:rPr>
                              <w:b/>
                              <w:bCs/>
                              <w:sz w:val="13"/>
                              <w:szCs w:val="13"/>
                            </w:rPr>
                            <w:t>Ministerie van Buitenlandse Zaken</w:t>
                          </w:r>
                        </w:p>
                        <w:p w14:paraId="44273A59" w14:textId="77777777" w:rsidR="00D5338D" w:rsidRPr="00EE5E5D" w:rsidRDefault="00D5338D" w:rsidP="00EE5E5D">
                          <w:pPr>
                            <w:rPr>
                              <w:sz w:val="13"/>
                              <w:szCs w:val="13"/>
                            </w:rPr>
                          </w:pPr>
                          <w:r>
                            <w:rPr>
                              <w:sz w:val="13"/>
                              <w:szCs w:val="13"/>
                            </w:rPr>
                            <w:t>Rijnstraat 8</w:t>
                          </w:r>
                        </w:p>
                        <w:p w14:paraId="2FF63C7A" w14:textId="77777777" w:rsidR="00D5338D" w:rsidRPr="00C32422" w:rsidRDefault="00D5338D" w:rsidP="00EE5E5D">
                          <w:pPr>
                            <w:rPr>
                              <w:sz w:val="13"/>
                              <w:szCs w:val="13"/>
                              <w:lang w:val="de-DE"/>
                            </w:rPr>
                          </w:pPr>
                          <w:r w:rsidRPr="00C32422">
                            <w:rPr>
                              <w:sz w:val="13"/>
                              <w:szCs w:val="13"/>
                              <w:lang w:val="de-DE"/>
                            </w:rPr>
                            <w:t xml:space="preserve">2515 XP Den Haag </w:t>
                          </w:r>
                        </w:p>
                        <w:p w14:paraId="147AED7D" w14:textId="77777777" w:rsidR="00D5338D" w:rsidRPr="00C32422" w:rsidRDefault="00D5338D" w:rsidP="00EE5E5D">
                          <w:pPr>
                            <w:rPr>
                              <w:sz w:val="13"/>
                              <w:szCs w:val="13"/>
                              <w:lang w:val="de-DE"/>
                            </w:rPr>
                          </w:pPr>
                          <w:r w:rsidRPr="00C32422">
                            <w:rPr>
                              <w:sz w:val="13"/>
                              <w:szCs w:val="13"/>
                              <w:lang w:val="de-DE"/>
                            </w:rPr>
                            <w:t>Postbus 20061</w:t>
                          </w:r>
                        </w:p>
                        <w:p w14:paraId="4AF58DBB" w14:textId="77777777" w:rsidR="00D5338D" w:rsidRPr="002A4354" w:rsidRDefault="00D5338D" w:rsidP="00EE5E5D">
                          <w:pPr>
                            <w:rPr>
                              <w:sz w:val="13"/>
                              <w:szCs w:val="13"/>
                              <w:lang w:val="de-DE"/>
                            </w:rPr>
                          </w:pPr>
                          <w:r w:rsidRPr="002A4354">
                            <w:rPr>
                              <w:sz w:val="13"/>
                              <w:szCs w:val="13"/>
                              <w:lang w:val="de-DE"/>
                            </w:rPr>
                            <w:t>Nederland</w:t>
                          </w:r>
                        </w:p>
                        <w:p w14:paraId="494B170D" w14:textId="77777777" w:rsidR="00D5338D" w:rsidRPr="002A4354" w:rsidRDefault="00D5338D" w:rsidP="00EE5E5D">
                          <w:pPr>
                            <w:rPr>
                              <w:sz w:val="13"/>
                              <w:szCs w:val="13"/>
                              <w:lang w:val="de-DE"/>
                            </w:rPr>
                          </w:pPr>
                          <w:r w:rsidRPr="002A4354">
                            <w:rPr>
                              <w:sz w:val="13"/>
                              <w:szCs w:val="13"/>
                              <w:lang w:val="de-DE"/>
                            </w:rPr>
                            <w:t>www.rijksoverheid.nl</w:t>
                          </w:r>
                        </w:p>
                        <w:p w14:paraId="60C01893" w14:textId="77777777" w:rsidR="00D5338D" w:rsidRPr="002A4354" w:rsidRDefault="00D5338D" w:rsidP="00EE5E5D">
                          <w:pPr>
                            <w:rPr>
                              <w:sz w:val="13"/>
                              <w:szCs w:val="13"/>
                              <w:lang w:val="de-DE"/>
                            </w:rPr>
                          </w:pPr>
                        </w:p>
                        <w:p w14:paraId="447BAAD9" w14:textId="77777777" w:rsidR="00D5338D" w:rsidRPr="002A4354" w:rsidRDefault="00D5338D" w:rsidP="00EE5E5D">
                          <w:pPr>
                            <w:rPr>
                              <w:sz w:val="13"/>
                              <w:szCs w:val="13"/>
                              <w:lang w:val="de-DE"/>
                            </w:rPr>
                          </w:pPr>
                        </w:p>
                        <w:p w14:paraId="575632CD" w14:textId="605DE2AA" w:rsidR="00D5338D" w:rsidRPr="00392541" w:rsidRDefault="00D5338D" w:rsidP="00EE5E5D">
                          <w:pPr>
                            <w:rPr>
                              <w:sz w:val="13"/>
                              <w:szCs w:val="13"/>
                              <w:lang w:val="de-DE"/>
                            </w:rPr>
                          </w:pPr>
                          <w:r w:rsidRPr="00392541">
                            <w:rPr>
                              <w:b/>
                              <w:sz w:val="13"/>
                              <w:szCs w:val="13"/>
                              <w:lang w:val="de-DE"/>
                            </w:rPr>
                            <w:t>Onze Referentie</w:t>
                          </w:r>
                          <w:r w:rsidRPr="00392541">
                            <w:rPr>
                              <w:b/>
                              <w:sz w:val="13"/>
                              <w:szCs w:val="13"/>
                              <w:lang w:val="de-DE"/>
                            </w:rPr>
                            <w:br/>
                          </w:r>
                          <w:r w:rsidR="00E75AF8" w:rsidRPr="00392541">
                            <w:rPr>
                              <w:sz w:val="13"/>
                              <w:szCs w:val="13"/>
                              <w:lang w:val="de-DE"/>
                            </w:rPr>
                            <w:t>BZ2407905</w:t>
                          </w:r>
                        </w:p>
                        <w:p w14:paraId="20E7D8DD" w14:textId="77777777" w:rsidR="00D5338D" w:rsidRPr="00392541" w:rsidRDefault="00D5338D" w:rsidP="00EE5E5D">
                          <w:pPr>
                            <w:rPr>
                              <w:b/>
                              <w:sz w:val="13"/>
                              <w:szCs w:val="13"/>
                              <w:lang w:val="de-DE"/>
                            </w:rPr>
                          </w:pPr>
                        </w:p>
                        <w:p w14:paraId="79774975" w14:textId="77777777" w:rsidR="00D5338D" w:rsidRDefault="00D5338D" w:rsidP="00EE5E5D">
                          <w:pPr>
                            <w:rPr>
                              <w:b/>
                              <w:sz w:val="13"/>
                              <w:szCs w:val="13"/>
                            </w:rPr>
                          </w:pPr>
                          <w:r w:rsidRPr="0058359E">
                            <w:rPr>
                              <w:b/>
                              <w:sz w:val="13"/>
                              <w:szCs w:val="13"/>
                            </w:rPr>
                            <w:t>Bijlage(n)</w:t>
                          </w:r>
                        </w:p>
                        <w:p w14:paraId="704A1007" w14:textId="77777777" w:rsidR="00D5338D" w:rsidRPr="0058359E" w:rsidRDefault="00D5338D"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7B053" id="Text Box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p w14:paraId="1C38A539" w14:textId="77777777" w:rsidR="00D5338D" w:rsidRPr="00F7196A" w:rsidRDefault="00D5338D" w:rsidP="00EE5E5D">
                    <w:pPr>
                      <w:rPr>
                        <w:b/>
                        <w:bCs/>
                        <w:sz w:val="13"/>
                        <w:szCs w:val="13"/>
                      </w:rPr>
                    </w:pPr>
                    <w:r w:rsidRPr="00F7196A">
                      <w:rPr>
                        <w:b/>
                        <w:bCs/>
                        <w:sz w:val="13"/>
                        <w:szCs w:val="13"/>
                      </w:rPr>
                      <w:t>Ministerie van Buitenlandse Zaken</w:t>
                    </w:r>
                  </w:p>
                  <w:p w14:paraId="44273A59" w14:textId="77777777" w:rsidR="00D5338D" w:rsidRPr="00EE5E5D" w:rsidRDefault="00D5338D" w:rsidP="00EE5E5D">
                    <w:pPr>
                      <w:rPr>
                        <w:sz w:val="13"/>
                        <w:szCs w:val="13"/>
                      </w:rPr>
                    </w:pPr>
                    <w:r>
                      <w:rPr>
                        <w:sz w:val="13"/>
                        <w:szCs w:val="13"/>
                      </w:rPr>
                      <w:t>Rijnstraat 8</w:t>
                    </w:r>
                  </w:p>
                  <w:p w14:paraId="2FF63C7A" w14:textId="77777777" w:rsidR="00D5338D" w:rsidRPr="00C32422" w:rsidRDefault="00D5338D" w:rsidP="00EE5E5D">
                    <w:pPr>
                      <w:rPr>
                        <w:sz w:val="13"/>
                        <w:szCs w:val="13"/>
                        <w:lang w:val="de-DE"/>
                      </w:rPr>
                    </w:pPr>
                    <w:r w:rsidRPr="00C32422">
                      <w:rPr>
                        <w:sz w:val="13"/>
                        <w:szCs w:val="13"/>
                        <w:lang w:val="de-DE"/>
                      </w:rPr>
                      <w:t xml:space="preserve">2515 XP Den Haag </w:t>
                    </w:r>
                  </w:p>
                  <w:p w14:paraId="147AED7D" w14:textId="77777777" w:rsidR="00D5338D" w:rsidRPr="00C32422" w:rsidRDefault="00D5338D" w:rsidP="00EE5E5D">
                    <w:pPr>
                      <w:rPr>
                        <w:sz w:val="13"/>
                        <w:szCs w:val="13"/>
                        <w:lang w:val="de-DE"/>
                      </w:rPr>
                    </w:pPr>
                    <w:r w:rsidRPr="00C32422">
                      <w:rPr>
                        <w:sz w:val="13"/>
                        <w:szCs w:val="13"/>
                        <w:lang w:val="de-DE"/>
                      </w:rPr>
                      <w:t>Postbus 20061</w:t>
                    </w:r>
                  </w:p>
                  <w:p w14:paraId="4AF58DBB" w14:textId="77777777" w:rsidR="00D5338D" w:rsidRPr="002A4354" w:rsidRDefault="00D5338D" w:rsidP="00EE5E5D">
                    <w:pPr>
                      <w:rPr>
                        <w:sz w:val="13"/>
                        <w:szCs w:val="13"/>
                        <w:lang w:val="de-DE"/>
                      </w:rPr>
                    </w:pPr>
                    <w:r w:rsidRPr="002A4354">
                      <w:rPr>
                        <w:sz w:val="13"/>
                        <w:szCs w:val="13"/>
                        <w:lang w:val="de-DE"/>
                      </w:rPr>
                      <w:t>Nederland</w:t>
                    </w:r>
                  </w:p>
                  <w:p w14:paraId="494B170D" w14:textId="77777777" w:rsidR="00D5338D" w:rsidRPr="002A4354" w:rsidRDefault="00D5338D" w:rsidP="00EE5E5D">
                    <w:pPr>
                      <w:rPr>
                        <w:sz w:val="13"/>
                        <w:szCs w:val="13"/>
                        <w:lang w:val="de-DE"/>
                      </w:rPr>
                    </w:pPr>
                    <w:r w:rsidRPr="002A4354">
                      <w:rPr>
                        <w:sz w:val="13"/>
                        <w:szCs w:val="13"/>
                        <w:lang w:val="de-DE"/>
                      </w:rPr>
                      <w:t>www.rijksoverheid.nl</w:t>
                    </w:r>
                  </w:p>
                  <w:p w14:paraId="60C01893" w14:textId="77777777" w:rsidR="00D5338D" w:rsidRPr="002A4354" w:rsidRDefault="00D5338D" w:rsidP="00EE5E5D">
                    <w:pPr>
                      <w:rPr>
                        <w:sz w:val="13"/>
                        <w:szCs w:val="13"/>
                        <w:lang w:val="de-DE"/>
                      </w:rPr>
                    </w:pPr>
                  </w:p>
                  <w:p w14:paraId="447BAAD9" w14:textId="77777777" w:rsidR="00D5338D" w:rsidRPr="002A4354" w:rsidRDefault="00D5338D" w:rsidP="00EE5E5D">
                    <w:pPr>
                      <w:rPr>
                        <w:sz w:val="13"/>
                        <w:szCs w:val="13"/>
                        <w:lang w:val="de-DE"/>
                      </w:rPr>
                    </w:pPr>
                  </w:p>
                  <w:p w14:paraId="575632CD" w14:textId="605DE2AA" w:rsidR="00D5338D" w:rsidRPr="00392541" w:rsidRDefault="00D5338D" w:rsidP="00EE5E5D">
                    <w:pPr>
                      <w:rPr>
                        <w:sz w:val="13"/>
                        <w:szCs w:val="13"/>
                        <w:lang w:val="de-DE"/>
                      </w:rPr>
                    </w:pPr>
                    <w:r w:rsidRPr="00392541">
                      <w:rPr>
                        <w:b/>
                        <w:sz w:val="13"/>
                        <w:szCs w:val="13"/>
                        <w:lang w:val="de-DE"/>
                      </w:rPr>
                      <w:t>Onze Referentie</w:t>
                    </w:r>
                    <w:r w:rsidRPr="00392541">
                      <w:rPr>
                        <w:b/>
                        <w:sz w:val="13"/>
                        <w:szCs w:val="13"/>
                        <w:lang w:val="de-DE"/>
                      </w:rPr>
                      <w:br/>
                    </w:r>
                    <w:r w:rsidR="00E75AF8" w:rsidRPr="00392541">
                      <w:rPr>
                        <w:sz w:val="13"/>
                        <w:szCs w:val="13"/>
                        <w:lang w:val="de-DE"/>
                      </w:rPr>
                      <w:t>BZ2407905</w:t>
                    </w:r>
                  </w:p>
                  <w:p w14:paraId="20E7D8DD" w14:textId="77777777" w:rsidR="00D5338D" w:rsidRPr="00392541" w:rsidRDefault="00D5338D" w:rsidP="00EE5E5D">
                    <w:pPr>
                      <w:rPr>
                        <w:b/>
                        <w:sz w:val="13"/>
                        <w:szCs w:val="13"/>
                        <w:lang w:val="de-DE"/>
                      </w:rPr>
                    </w:pPr>
                  </w:p>
                  <w:p w14:paraId="79774975" w14:textId="77777777" w:rsidR="00D5338D" w:rsidRDefault="00D5338D" w:rsidP="00EE5E5D">
                    <w:pPr>
                      <w:rPr>
                        <w:b/>
                        <w:sz w:val="13"/>
                        <w:szCs w:val="13"/>
                      </w:rPr>
                    </w:pPr>
                    <w:r w:rsidRPr="0058359E">
                      <w:rPr>
                        <w:b/>
                        <w:sz w:val="13"/>
                        <w:szCs w:val="13"/>
                      </w:rPr>
                      <w:t>Bijlage(n)</w:t>
                    </w:r>
                  </w:p>
                  <w:p w14:paraId="704A1007" w14:textId="77777777" w:rsidR="00D5338D" w:rsidRPr="0058359E" w:rsidRDefault="00D5338D" w:rsidP="00EE5E5D">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1BCD"/>
    <w:multiLevelType w:val="hybridMultilevel"/>
    <w:tmpl w:val="5DDC1772"/>
    <w:lvl w:ilvl="0" w:tplc="D640142A">
      <w:start w:val="1"/>
      <w:numFmt w:val="lowerLetter"/>
      <w:lvlText w:val="%1."/>
      <w:lvlJc w:val="left"/>
      <w:pPr>
        <w:ind w:left="720" w:hanging="360"/>
      </w:pPr>
    </w:lvl>
    <w:lvl w:ilvl="1" w:tplc="0E88BDC0">
      <w:start w:val="1"/>
      <w:numFmt w:val="lowerLetter"/>
      <w:lvlText w:val="%2."/>
      <w:lvlJc w:val="left"/>
      <w:pPr>
        <w:ind w:left="1440" w:hanging="360"/>
      </w:pPr>
    </w:lvl>
    <w:lvl w:ilvl="2" w:tplc="1DB4C5E8">
      <w:start w:val="1"/>
      <w:numFmt w:val="lowerRoman"/>
      <w:lvlText w:val="%3."/>
      <w:lvlJc w:val="right"/>
      <w:pPr>
        <w:ind w:left="2160" w:hanging="180"/>
      </w:pPr>
    </w:lvl>
    <w:lvl w:ilvl="3" w:tplc="0928A98A">
      <w:start w:val="1"/>
      <w:numFmt w:val="decimal"/>
      <w:lvlText w:val="%4."/>
      <w:lvlJc w:val="left"/>
      <w:pPr>
        <w:ind w:left="2880" w:hanging="360"/>
      </w:pPr>
    </w:lvl>
    <w:lvl w:ilvl="4" w:tplc="A818143E">
      <w:start w:val="1"/>
      <w:numFmt w:val="lowerLetter"/>
      <w:lvlText w:val="%5."/>
      <w:lvlJc w:val="left"/>
      <w:pPr>
        <w:ind w:left="3600" w:hanging="360"/>
      </w:pPr>
    </w:lvl>
    <w:lvl w:ilvl="5" w:tplc="E6D61E30">
      <w:start w:val="1"/>
      <w:numFmt w:val="lowerRoman"/>
      <w:lvlText w:val="%6."/>
      <w:lvlJc w:val="right"/>
      <w:pPr>
        <w:ind w:left="4320" w:hanging="180"/>
      </w:pPr>
    </w:lvl>
    <w:lvl w:ilvl="6" w:tplc="8EE4479C">
      <w:start w:val="1"/>
      <w:numFmt w:val="decimal"/>
      <w:lvlText w:val="%7."/>
      <w:lvlJc w:val="left"/>
      <w:pPr>
        <w:ind w:left="5040" w:hanging="360"/>
      </w:pPr>
    </w:lvl>
    <w:lvl w:ilvl="7" w:tplc="7C66C764">
      <w:start w:val="1"/>
      <w:numFmt w:val="lowerLetter"/>
      <w:lvlText w:val="%8."/>
      <w:lvlJc w:val="left"/>
      <w:pPr>
        <w:ind w:left="5760" w:hanging="360"/>
      </w:pPr>
    </w:lvl>
    <w:lvl w:ilvl="8" w:tplc="E25CA31A">
      <w:start w:val="1"/>
      <w:numFmt w:val="lowerRoman"/>
      <w:lvlText w:val="%9."/>
      <w:lvlJc w:val="right"/>
      <w:pPr>
        <w:ind w:left="6480" w:hanging="180"/>
      </w:pPr>
    </w:lvl>
  </w:abstractNum>
  <w:abstractNum w:abstractNumId="1" w15:restartNumberingAfterBreak="0">
    <w:nsid w:val="58DC44C7"/>
    <w:multiLevelType w:val="hybridMultilevel"/>
    <w:tmpl w:val="99D4E6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5858714">
    <w:abstractNumId w:val="0"/>
  </w:num>
  <w:num w:numId="2" w16cid:durableId="1312372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24C9"/>
    <w:rsid w:val="00015841"/>
    <w:rsid w:val="00032EAE"/>
    <w:rsid w:val="000373DF"/>
    <w:rsid w:val="000474AD"/>
    <w:rsid w:val="00050E9C"/>
    <w:rsid w:val="0005790D"/>
    <w:rsid w:val="00062DDE"/>
    <w:rsid w:val="00063F56"/>
    <w:rsid w:val="000701F1"/>
    <w:rsid w:val="00070D08"/>
    <w:rsid w:val="0007464A"/>
    <w:rsid w:val="000755D2"/>
    <w:rsid w:val="000777DD"/>
    <w:rsid w:val="00077FB3"/>
    <w:rsid w:val="000B1318"/>
    <w:rsid w:val="000C05AC"/>
    <w:rsid w:val="000D6C7A"/>
    <w:rsid w:val="000E6281"/>
    <w:rsid w:val="000F019C"/>
    <w:rsid w:val="000F56CA"/>
    <w:rsid w:val="001060BC"/>
    <w:rsid w:val="00107CF8"/>
    <w:rsid w:val="001103F4"/>
    <w:rsid w:val="001165ED"/>
    <w:rsid w:val="00130603"/>
    <w:rsid w:val="00130AB1"/>
    <w:rsid w:val="00132F64"/>
    <w:rsid w:val="001361B2"/>
    <w:rsid w:val="00141DAF"/>
    <w:rsid w:val="001428B6"/>
    <w:rsid w:val="00142D8E"/>
    <w:rsid w:val="001605CC"/>
    <w:rsid w:val="00161332"/>
    <w:rsid w:val="00170195"/>
    <w:rsid w:val="00194A6F"/>
    <w:rsid w:val="001A2646"/>
    <w:rsid w:val="001A60F3"/>
    <w:rsid w:val="001A6BBB"/>
    <w:rsid w:val="001B089C"/>
    <w:rsid w:val="001B3107"/>
    <w:rsid w:val="001B5575"/>
    <w:rsid w:val="001B59AF"/>
    <w:rsid w:val="001D4B80"/>
    <w:rsid w:val="001E4AF3"/>
    <w:rsid w:val="001F159D"/>
    <w:rsid w:val="001F626B"/>
    <w:rsid w:val="00202425"/>
    <w:rsid w:val="002029EF"/>
    <w:rsid w:val="00205368"/>
    <w:rsid w:val="0021022A"/>
    <w:rsid w:val="00211736"/>
    <w:rsid w:val="00221464"/>
    <w:rsid w:val="00222270"/>
    <w:rsid w:val="00223B8D"/>
    <w:rsid w:val="002420F0"/>
    <w:rsid w:val="0025311D"/>
    <w:rsid w:val="00256554"/>
    <w:rsid w:val="00271878"/>
    <w:rsid w:val="00274149"/>
    <w:rsid w:val="002A06BE"/>
    <w:rsid w:val="002A4354"/>
    <w:rsid w:val="002B1A6E"/>
    <w:rsid w:val="002B2C0A"/>
    <w:rsid w:val="002C28B4"/>
    <w:rsid w:val="002C4EC6"/>
    <w:rsid w:val="002D0261"/>
    <w:rsid w:val="002E3BAD"/>
    <w:rsid w:val="002F508B"/>
    <w:rsid w:val="00310314"/>
    <w:rsid w:val="003107AE"/>
    <w:rsid w:val="003137BA"/>
    <w:rsid w:val="00325417"/>
    <w:rsid w:val="00340EAB"/>
    <w:rsid w:val="003573B1"/>
    <w:rsid w:val="00360A38"/>
    <w:rsid w:val="00370488"/>
    <w:rsid w:val="00387071"/>
    <w:rsid w:val="00392541"/>
    <w:rsid w:val="00392593"/>
    <w:rsid w:val="003A2FD6"/>
    <w:rsid w:val="003A6721"/>
    <w:rsid w:val="003B6109"/>
    <w:rsid w:val="003C0D64"/>
    <w:rsid w:val="003C28BA"/>
    <w:rsid w:val="003C6F63"/>
    <w:rsid w:val="003D0FF6"/>
    <w:rsid w:val="003E004A"/>
    <w:rsid w:val="003E5E1A"/>
    <w:rsid w:val="003F3AB6"/>
    <w:rsid w:val="003F4182"/>
    <w:rsid w:val="00410007"/>
    <w:rsid w:val="00415C7A"/>
    <w:rsid w:val="00421A31"/>
    <w:rsid w:val="004305C5"/>
    <w:rsid w:val="00472954"/>
    <w:rsid w:val="00474109"/>
    <w:rsid w:val="004811BD"/>
    <w:rsid w:val="00483181"/>
    <w:rsid w:val="00483C25"/>
    <w:rsid w:val="00492A07"/>
    <w:rsid w:val="00493039"/>
    <w:rsid w:val="004A03A6"/>
    <w:rsid w:val="004A4D41"/>
    <w:rsid w:val="004B169E"/>
    <w:rsid w:val="004B5C2C"/>
    <w:rsid w:val="004B691E"/>
    <w:rsid w:val="004C2207"/>
    <w:rsid w:val="004C6682"/>
    <w:rsid w:val="004E55F5"/>
    <w:rsid w:val="004E5A46"/>
    <w:rsid w:val="004F2CD5"/>
    <w:rsid w:val="004F420B"/>
    <w:rsid w:val="0052042F"/>
    <w:rsid w:val="005239C8"/>
    <w:rsid w:val="0052684D"/>
    <w:rsid w:val="00526E15"/>
    <w:rsid w:val="00527095"/>
    <w:rsid w:val="0053466E"/>
    <w:rsid w:val="00535C5D"/>
    <w:rsid w:val="005411B7"/>
    <w:rsid w:val="005545DF"/>
    <w:rsid w:val="00560438"/>
    <w:rsid w:val="00561A0F"/>
    <w:rsid w:val="005621ED"/>
    <w:rsid w:val="00572E9B"/>
    <w:rsid w:val="005771E5"/>
    <w:rsid w:val="0058359E"/>
    <w:rsid w:val="00584F82"/>
    <w:rsid w:val="0059291A"/>
    <w:rsid w:val="00593A05"/>
    <w:rsid w:val="00596AD0"/>
    <w:rsid w:val="005970D9"/>
    <w:rsid w:val="005C58ED"/>
    <w:rsid w:val="005D0987"/>
    <w:rsid w:val="005D0E6A"/>
    <w:rsid w:val="005D3111"/>
    <w:rsid w:val="005D7A68"/>
    <w:rsid w:val="005E1186"/>
    <w:rsid w:val="005F0933"/>
    <w:rsid w:val="00600C30"/>
    <w:rsid w:val="00602535"/>
    <w:rsid w:val="006048AD"/>
    <w:rsid w:val="0061364D"/>
    <w:rsid w:val="0062058B"/>
    <w:rsid w:val="00621240"/>
    <w:rsid w:val="0065127E"/>
    <w:rsid w:val="00653FAB"/>
    <w:rsid w:val="00654BAA"/>
    <w:rsid w:val="00657D4A"/>
    <w:rsid w:val="00662AC7"/>
    <w:rsid w:val="0068279B"/>
    <w:rsid w:val="00684C0D"/>
    <w:rsid w:val="00691125"/>
    <w:rsid w:val="00694952"/>
    <w:rsid w:val="006A7450"/>
    <w:rsid w:val="006B0BAF"/>
    <w:rsid w:val="006B66D8"/>
    <w:rsid w:val="006B7542"/>
    <w:rsid w:val="006C0F3D"/>
    <w:rsid w:val="006C3F36"/>
    <w:rsid w:val="006C4A75"/>
    <w:rsid w:val="006C7A86"/>
    <w:rsid w:val="0070472B"/>
    <w:rsid w:val="00710F1E"/>
    <w:rsid w:val="007241DC"/>
    <w:rsid w:val="007428E9"/>
    <w:rsid w:val="00743BD5"/>
    <w:rsid w:val="00756C82"/>
    <w:rsid w:val="00770C21"/>
    <w:rsid w:val="007733CD"/>
    <w:rsid w:val="00775B03"/>
    <w:rsid w:val="00776BCC"/>
    <w:rsid w:val="00785D9D"/>
    <w:rsid w:val="007878EE"/>
    <w:rsid w:val="00795A06"/>
    <w:rsid w:val="007A4780"/>
    <w:rsid w:val="007B7D73"/>
    <w:rsid w:val="007C6A20"/>
    <w:rsid w:val="007D4D1F"/>
    <w:rsid w:val="007D5223"/>
    <w:rsid w:val="007E46F7"/>
    <w:rsid w:val="007F0BF1"/>
    <w:rsid w:val="007F708D"/>
    <w:rsid w:val="0083192E"/>
    <w:rsid w:val="00833A2F"/>
    <w:rsid w:val="00844B28"/>
    <w:rsid w:val="008553F1"/>
    <w:rsid w:val="00861995"/>
    <w:rsid w:val="00862D61"/>
    <w:rsid w:val="00875CF9"/>
    <w:rsid w:val="008A53D8"/>
    <w:rsid w:val="008A6A12"/>
    <w:rsid w:val="008B4B31"/>
    <w:rsid w:val="008B7D36"/>
    <w:rsid w:val="008C2A5D"/>
    <w:rsid w:val="008C6B9E"/>
    <w:rsid w:val="008D0C83"/>
    <w:rsid w:val="008D168F"/>
    <w:rsid w:val="008D7803"/>
    <w:rsid w:val="008E6F9F"/>
    <w:rsid w:val="009068F0"/>
    <w:rsid w:val="00911A64"/>
    <w:rsid w:val="0091279C"/>
    <w:rsid w:val="009156AA"/>
    <w:rsid w:val="00916257"/>
    <w:rsid w:val="00920092"/>
    <w:rsid w:val="009325F0"/>
    <w:rsid w:val="00935878"/>
    <w:rsid w:val="00935D66"/>
    <w:rsid w:val="009470F7"/>
    <w:rsid w:val="00953E98"/>
    <w:rsid w:val="00953F50"/>
    <w:rsid w:val="00971467"/>
    <w:rsid w:val="009B3EFD"/>
    <w:rsid w:val="009B560E"/>
    <w:rsid w:val="009B7CB0"/>
    <w:rsid w:val="009C4211"/>
    <w:rsid w:val="009C7A2B"/>
    <w:rsid w:val="009D0042"/>
    <w:rsid w:val="009E38D0"/>
    <w:rsid w:val="009E63EC"/>
    <w:rsid w:val="009E6F6A"/>
    <w:rsid w:val="00A10041"/>
    <w:rsid w:val="00A12033"/>
    <w:rsid w:val="00A2245B"/>
    <w:rsid w:val="00A23BDB"/>
    <w:rsid w:val="00A300CB"/>
    <w:rsid w:val="00A31F76"/>
    <w:rsid w:val="00A42308"/>
    <w:rsid w:val="00A50B61"/>
    <w:rsid w:val="00A649EA"/>
    <w:rsid w:val="00A66D48"/>
    <w:rsid w:val="00A93558"/>
    <w:rsid w:val="00A96E13"/>
    <w:rsid w:val="00A974F1"/>
    <w:rsid w:val="00AA57A8"/>
    <w:rsid w:val="00AD0224"/>
    <w:rsid w:val="00AD0B2D"/>
    <w:rsid w:val="00AE0BA4"/>
    <w:rsid w:val="00B0455A"/>
    <w:rsid w:val="00B3225F"/>
    <w:rsid w:val="00B34A43"/>
    <w:rsid w:val="00B35D0A"/>
    <w:rsid w:val="00B4257C"/>
    <w:rsid w:val="00B42BA6"/>
    <w:rsid w:val="00B435FC"/>
    <w:rsid w:val="00B64F75"/>
    <w:rsid w:val="00B71E59"/>
    <w:rsid w:val="00B91FC7"/>
    <w:rsid w:val="00B92EFC"/>
    <w:rsid w:val="00B9352F"/>
    <w:rsid w:val="00B944DE"/>
    <w:rsid w:val="00BA22CE"/>
    <w:rsid w:val="00BA5089"/>
    <w:rsid w:val="00BB6753"/>
    <w:rsid w:val="00BC1F6B"/>
    <w:rsid w:val="00BD0FAB"/>
    <w:rsid w:val="00BD2E80"/>
    <w:rsid w:val="00BD348A"/>
    <w:rsid w:val="00BD3958"/>
    <w:rsid w:val="00BD663C"/>
    <w:rsid w:val="00BE126B"/>
    <w:rsid w:val="00BE720F"/>
    <w:rsid w:val="00BF0881"/>
    <w:rsid w:val="00C032C4"/>
    <w:rsid w:val="00C167AC"/>
    <w:rsid w:val="00C16848"/>
    <w:rsid w:val="00C226EE"/>
    <w:rsid w:val="00C32422"/>
    <w:rsid w:val="00C3667F"/>
    <w:rsid w:val="00C53D5B"/>
    <w:rsid w:val="00C56382"/>
    <w:rsid w:val="00C572A2"/>
    <w:rsid w:val="00C57D44"/>
    <w:rsid w:val="00C644B1"/>
    <w:rsid w:val="00C653A9"/>
    <w:rsid w:val="00C67524"/>
    <w:rsid w:val="00C7219A"/>
    <w:rsid w:val="00C741E6"/>
    <w:rsid w:val="00C754A1"/>
    <w:rsid w:val="00C768DA"/>
    <w:rsid w:val="00C849D7"/>
    <w:rsid w:val="00C937E5"/>
    <w:rsid w:val="00CB3E12"/>
    <w:rsid w:val="00CC03A1"/>
    <w:rsid w:val="00CC2BF4"/>
    <w:rsid w:val="00CC7700"/>
    <w:rsid w:val="00CC7A3F"/>
    <w:rsid w:val="00CD658E"/>
    <w:rsid w:val="00CF7C5C"/>
    <w:rsid w:val="00D01448"/>
    <w:rsid w:val="00D02225"/>
    <w:rsid w:val="00D0430A"/>
    <w:rsid w:val="00D057D9"/>
    <w:rsid w:val="00D10505"/>
    <w:rsid w:val="00D11953"/>
    <w:rsid w:val="00D120DC"/>
    <w:rsid w:val="00D1719A"/>
    <w:rsid w:val="00D253EA"/>
    <w:rsid w:val="00D263F9"/>
    <w:rsid w:val="00D33E5E"/>
    <w:rsid w:val="00D42BED"/>
    <w:rsid w:val="00D43120"/>
    <w:rsid w:val="00D5338D"/>
    <w:rsid w:val="00D64248"/>
    <w:rsid w:val="00D775DB"/>
    <w:rsid w:val="00D80B2D"/>
    <w:rsid w:val="00D90701"/>
    <w:rsid w:val="00D910DD"/>
    <w:rsid w:val="00DA3065"/>
    <w:rsid w:val="00DA38B6"/>
    <w:rsid w:val="00DA7B87"/>
    <w:rsid w:val="00DC16BD"/>
    <w:rsid w:val="00DC2B6C"/>
    <w:rsid w:val="00DC53E2"/>
    <w:rsid w:val="00DC6907"/>
    <w:rsid w:val="00DC6EE8"/>
    <w:rsid w:val="00DD1937"/>
    <w:rsid w:val="00DD77F9"/>
    <w:rsid w:val="00DE0B2F"/>
    <w:rsid w:val="00E04F23"/>
    <w:rsid w:val="00E170D0"/>
    <w:rsid w:val="00E17995"/>
    <w:rsid w:val="00E20D12"/>
    <w:rsid w:val="00E3254B"/>
    <w:rsid w:val="00E550F7"/>
    <w:rsid w:val="00E5560C"/>
    <w:rsid w:val="00E57E76"/>
    <w:rsid w:val="00E60423"/>
    <w:rsid w:val="00E6058F"/>
    <w:rsid w:val="00E729CC"/>
    <w:rsid w:val="00E75AF8"/>
    <w:rsid w:val="00E90132"/>
    <w:rsid w:val="00E9038B"/>
    <w:rsid w:val="00EB0335"/>
    <w:rsid w:val="00EB36E4"/>
    <w:rsid w:val="00EC2243"/>
    <w:rsid w:val="00EC28FC"/>
    <w:rsid w:val="00ED630B"/>
    <w:rsid w:val="00EE1314"/>
    <w:rsid w:val="00EE1968"/>
    <w:rsid w:val="00EE56B2"/>
    <w:rsid w:val="00EE5A66"/>
    <w:rsid w:val="00EE5E5D"/>
    <w:rsid w:val="00F04567"/>
    <w:rsid w:val="00F122FE"/>
    <w:rsid w:val="00F32765"/>
    <w:rsid w:val="00F330F2"/>
    <w:rsid w:val="00F336E5"/>
    <w:rsid w:val="00F45EEF"/>
    <w:rsid w:val="00F50BE3"/>
    <w:rsid w:val="00F51C07"/>
    <w:rsid w:val="00F534B6"/>
    <w:rsid w:val="00F54C1F"/>
    <w:rsid w:val="00F5783C"/>
    <w:rsid w:val="00F63638"/>
    <w:rsid w:val="00F662F7"/>
    <w:rsid w:val="00F7196A"/>
    <w:rsid w:val="00F71F1B"/>
    <w:rsid w:val="00F85F67"/>
    <w:rsid w:val="00FA6B3B"/>
    <w:rsid w:val="00FE0B0C"/>
    <w:rsid w:val="00FF1D4A"/>
    <w:rsid w:val="01F7411B"/>
    <w:rsid w:val="02333A55"/>
    <w:rsid w:val="15705B82"/>
    <w:rsid w:val="18D3AC15"/>
    <w:rsid w:val="33F623A3"/>
    <w:rsid w:val="35EEF775"/>
    <w:rsid w:val="3A0261BD"/>
    <w:rsid w:val="4354F766"/>
    <w:rsid w:val="49D2C54A"/>
    <w:rsid w:val="4C526A7D"/>
    <w:rsid w:val="51196F9E"/>
    <w:rsid w:val="5A978247"/>
    <w:rsid w:val="6293A325"/>
    <w:rsid w:val="65ABA3D5"/>
    <w:rsid w:val="6A56641C"/>
    <w:rsid w:val="6CC905D5"/>
    <w:rsid w:val="70FC3754"/>
    <w:rsid w:val="71B99A69"/>
    <w:rsid w:val="7453138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D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7196A"/>
    <w:pPr>
      <w:spacing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7196A"/>
    <w:rPr>
      <w:rFonts w:ascii="Times New Roman" w:eastAsia="Times New Roman" w:hAnsi="Times New Roman" w:cs="Times New Roman"/>
      <w:sz w:val="20"/>
      <w:szCs w:val="20"/>
      <w:lang w:eastAsia="nl-NL"/>
    </w:rPr>
  </w:style>
  <w:style w:type="character" w:styleId="FootnoteReference">
    <w:name w:val="footnote reference"/>
    <w:basedOn w:val="DefaultParagraphFont"/>
    <w:uiPriority w:val="99"/>
    <w:semiHidden/>
    <w:unhideWhenUsed/>
    <w:rsid w:val="00F7196A"/>
    <w:rPr>
      <w:vertAlign w:val="superscript"/>
    </w:rPr>
  </w:style>
  <w:style w:type="character" w:styleId="CommentReference">
    <w:name w:val="annotation reference"/>
    <w:basedOn w:val="DefaultParagraphFont"/>
    <w:uiPriority w:val="99"/>
    <w:semiHidden/>
    <w:unhideWhenUsed/>
    <w:rsid w:val="00077FB3"/>
    <w:rPr>
      <w:sz w:val="16"/>
      <w:szCs w:val="16"/>
    </w:rPr>
  </w:style>
  <w:style w:type="paragraph" w:styleId="CommentText">
    <w:name w:val="annotation text"/>
    <w:basedOn w:val="Normal"/>
    <w:link w:val="CommentTextChar"/>
    <w:uiPriority w:val="99"/>
    <w:unhideWhenUsed/>
    <w:rsid w:val="00077FB3"/>
    <w:pPr>
      <w:spacing w:line="240" w:lineRule="auto"/>
    </w:pPr>
    <w:rPr>
      <w:sz w:val="20"/>
      <w:szCs w:val="20"/>
      <w:lang w:eastAsia="bg-BG"/>
    </w:rPr>
  </w:style>
  <w:style w:type="character" w:customStyle="1" w:styleId="CommentTextChar">
    <w:name w:val="Comment Text Char"/>
    <w:basedOn w:val="DefaultParagraphFont"/>
    <w:link w:val="CommentText"/>
    <w:uiPriority w:val="99"/>
    <w:rsid w:val="00077FB3"/>
    <w:rPr>
      <w:rFonts w:ascii="Verdana" w:eastAsia="Times New Roman" w:hAnsi="Verdana"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A2245B"/>
    <w:rPr>
      <w:b/>
      <w:bCs/>
      <w:lang w:eastAsia="nl-NL"/>
    </w:rPr>
  </w:style>
  <w:style w:type="character" w:customStyle="1" w:styleId="CommentSubjectChar">
    <w:name w:val="Comment Subject Char"/>
    <w:basedOn w:val="CommentTextChar"/>
    <w:link w:val="CommentSubject"/>
    <w:uiPriority w:val="99"/>
    <w:semiHidden/>
    <w:rsid w:val="00A2245B"/>
    <w:rPr>
      <w:rFonts w:ascii="Verdana" w:eastAsia="Times New Roman" w:hAnsi="Verdana" w:cs="Times New Roman"/>
      <w:b/>
      <w:bCs/>
      <w:sz w:val="20"/>
      <w:szCs w:val="20"/>
      <w:lang w:eastAsia="nl-NL"/>
    </w:rPr>
  </w:style>
  <w:style w:type="paragraph" w:styleId="Revision">
    <w:name w:val="Revision"/>
    <w:hidden/>
    <w:uiPriority w:val="99"/>
    <w:semiHidden/>
    <w:rsid w:val="00D120DC"/>
    <w:pPr>
      <w:spacing w:after="0" w:line="240" w:lineRule="auto"/>
    </w:pPr>
    <w:rPr>
      <w:rFonts w:ascii="Verdana" w:eastAsia="Times New Roman" w:hAnsi="Verdana" w:cs="Times New Roman"/>
      <w:sz w:val="18"/>
      <w:szCs w:val="24"/>
      <w:lang w:eastAsia="nl-NL"/>
    </w:rPr>
  </w:style>
  <w:style w:type="character" w:customStyle="1" w:styleId="11jpr">
    <w:name w:val="_11jpr"/>
    <w:basedOn w:val="DefaultParagraphFont"/>
    <w:rsid w:val="00F336E5"/>
  </w:style>
  <w:style w:type="paragraph" w:styleId="ListParagraph">
    <w:name w:val="List Paragraph"/>
    <w:basedOn w:val="Normal"/>
    <w:uiPriority w:val="34"/>
    <w:qFormat/>
    <w:rsid w:val="00527095"/>
    <w:pPr>
      <w:ind w:left="720"/>
      <w:contextualSpacing/>
    </w:pPr>
  </w:style>
  <w:style w:type="character" w:styleId="Emphasis">
    <w:name w:val="Emphasis"/>
    <w:basedOn w:val="DefaultParagraphFont"/>
    <w:uiPriority w:val="20"/>
    <w:qFormat/>
    <w:rsid w:val="00527095"/>
    <w:rPr>
      <w:i/>
      <w:iCs/>
    </w:rPr>
  </w:style>
  <w:style w:type="character" w:customStyle="1" w:styleId="cf01">
    <w:name w:val="cf01"/>
    <w:basedOn w:val="DefaultParagraphFont"/>
    <w:rsid w:val="00527095"/>
    <w:rPr>
      <w:rFonts w:ascii="Segoe UI" w:hAnsi="Segoe UI" w:cs="Segoe UI" w:hint="default"/>
      <w:color w:val="0000FF"/>
      <w:sz w:val="18"/>
      <w:szCs w:val="18"/>
    </w:rPr>
  </w:style>
  <w:style w:type="character" w:styleId="FollowedHyperlink">
    <w:name w:val="FollowedHyperlink"/>
    <w:basedOn w:val="DefaultParagraphFont"/>
    <w:uiPriority w:val="99"/>
    <w:semiHidden/>
    <w:unhideWhenUsed/>
    <w:rsid w:val="00142D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259160">
      <w:bodyDiv w:val="1"/>
      <w:marLeft w:val="0"/>
      <w:marRight w:val="0"/>
      <w:marTop w:val="0"/>
      <w:marBottom w:val="0"/>
      <w:divBdr>
        <w:top w:val="none" w:sz="0" w:space="0" w:color="auto"/>
        <w:left w:val="none" w:sz="0" w:space="0" w:color="auto"/>
        <w:bottom w:val="none" w:sz="0" w:space="0" w:color="auto"/>
        <w:right w:val="none" w:sz="0" w:space="0" w:color="auto"/>
      </w:divBdr>
    </w:div>
    <w:div w:id="984965531">
      <w:bodyDiv w:val="1"/>
      <w:marLeft w:val="0"/>
      <w:marRight w:val="0"/>
      <w:marTop w:val="0"/>
      <w:marBottom w:val="0"/>
      <w:divBdr>
        <w:top w:val="none" w:sz="0" w:space="0" w:color="auto"/>
        <w:left w:val="none" w:sz="0" w:space="0" w:color="auto"/>
        <w:bottom w:val="none" w:sz="0" w:space="0" w:color="auto"/>
        <w:right w:val="none" w:sz="0" w:space="0" w:color="auto"/>
      </w:divBdr>
      <w:divsChild>
        <w:div w:id="1668286639">
          <w:marLeft w:val="0"/>
          <w:marRight w:val="0"/>
          <w:marTop w:val="0"/>
          <w:marBottom w:val="0"/>
          <w:divBdr>
            <w:top w:val="none" w:sz="0" w:space="0" w:color="auto"/>
            <w:left w:val="none" w:sz="0" w:space="0" w:color="auto"/>
            <w:bottom w:val="none" w:sz="0" w:space="0" w:color="auto"/>
            <w:right w:val="none" w:sz="0" w:space="0" w:color="auto"/>
          </w:divBdr>
        </w:div>
      </w:divsChild>
    </w:div>
    <w:div w:id="1060514408">
      <w:bodyDiv w:val="1"/>
      <w:marLeft w:val="0"/>
      <w:marRight w:val="0"/>
      <w:marTop w:val="0"/>
      <w:marBottom w:val="0"/>
      <w:divBdr>
        <w:top w:val="none" w:sz="0" w:space="0" w:color="auto"/>
        <w:left w:val="none" w:sz="0" w:space="0" w:color="auto"/>
        <w:bottom w:val="none" w:sz="0" w:space="0" w:color="auto"/>
        <w:right w:val="none" w:sz="0" w:space="0" w:color="auto"/>
      </w:divBdr>
    </w:div>
    <w:div w:id="1138186807">
      <w:bodyDiv w:val="1"/>
      <w:marLeft w:val="0"/>
      <w:marRight w:val="0"/>
      <w:marTop w:val="0"/>
      <w:marBottom w:val="0"/>
      <w:divBdr>
        <w:top w:val="none" w:sz="0" w:space="0" w:color="auto"/>
        <w:left w:val="none" w:sz="0" w:space="0" w:color="auto"/>
        <w:bottom w:val="none" w:sz="0" w:space="0" w:color="auto"/>
        <w:right w:val="none" w:sz="0" w:space="0" w:color="auto"/>
      </w:divBdr>
    </w:div>
    <w:div w:id="1140225069">
      <w:bodyDiv w:val="1"/>
      <w:marLeft w:val="0"/>
      <w:marRight w:val="0"/>
      <w:marTop w:val="0"/>
      <w:marBottom w:val="0"/>
      <w:divBdr>
        <w:top w:val="none" w:sz="0" w:space="0" w:color="auto"/>
        <w:left w:val="none" w:sz="0" w:space="0" w:color="auto"/>
        <w:bottom w:val="none" w:sz="0" w:space="0" w:color="auto"/>
        <w:right w:val="none" w:sz="0" w:space="0" w:color="auto"/>
      </w:divBdr>
    </w:div>
    <w:div w:id="1654405168">
      <w:bodyDiv w:val="1"/>
      <w:marLeft w:val="0"/>
      <w:marRight w:val="0"/>
      <w:marTop w:val="0"/>
      <w:marBottom w:val="0"/>
      <w:divBdr>
        <w:top w:val="none" w:sz="0" w:space="0" w:color="auto"/>
        <w:left w:val="none" w:sz="0" w:space="0" w:color="auto"/>
        <w:bottom w:val="none" w:sz="0" w:space="0" w:color="auto"/>
        <w:right w:val="none" w:sz="0" w:space="0" w:color="auto"/>
      </w:divBdr>
    </w:div>
    <w:div w:id="182304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2045</ap:Words>
  <ap:Characters>11253</ap:Characters>
  <ap:DocSecurity>0</ap:DocSecurity>
  <ap:Lines>93</ap:Lines>
  <ap:Paragraphs>26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Kamerbrief humanitaire airdrops Gaza</vt:lpstr>
      <vt:lpstr>Kamerbrief humanitaire airdrops Gaza</vt:lpstr>
    </vt:vector>
  </ap:TitlesOfParts>
  <ap:LinksUpToDate>false</ap:LinksUpToDate>
  <ap:CharactersWithSpaces>13272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2024-11-08T10:36:00.0000000Z</dcterms:created>
  <dcterms:modified xsi:type="dcterms:W3CDTF">2024-11-12T08:34:00.0000000Z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0x0101009C7CE436063D44E9BE7DC0259EF7C32F006EB9F9836A634AE58B6169785FD3936F00D8EBB22FD6970B4F9F6AB8BA3A59DDD9</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cd1c90cd-7308-4562-8ba4-d89aabe1fca1</vt:lpwstr>
  </property>
  <property fmtid="{D5CDD505-2E9C-101B-9397-08002B2CF9AE}" pid="8" name="_docset_NoMedatataSyncRequired">
    <vt:lpwstr>False</vt:lpwstr>
  </property>
  <property fmtid="{D5CDD505-2E9C-101B-9397-08002B2CF9AE}" pid="9" name="DepartementDirectie">
    <vt:lpwstr>5;#DSH|5653a7bc-d0da-46fa-94d9-a6cfa00027fd</vt:lpwstr>
  </property>
  <property fmtid="{D5CDD505-2E9C-101B-9397-08002B2CF9AE}" pid="10" name="BsRubricering">
    <vt:lpwstr/>
  </property>
  <property fmtid="{D5CDD505-2E9C-101B-9397-08002B2CF9AE}" pid="11" name="BsTypeDocument">
    <vt:lpwstr/>
  </property>
  <property fmtid="{D5CDD505-2E9C-101B-9397-08002B2CF9AE}" pid="12" name="n7e1752c52f54c38a7d7dd6f35c9ddb2">
    <vt:lpwstr>DSH|5653a7bc-d0da-46fa-94d9-a6cfa00027fd</vt:lpwstr>
  </property>
  <property fmtid="{D5CDD505-2E9C-101B-9397-08002B2CF9AE}" pid="13" name="OpgesteldDoorDisplay">
    <vt:lpwstr>Nijman, Luuk</vt:lpwstr>
  </property>
  <property fmtid="{D5CDD505-2E9C-101B-9397-08002B2CF9AE}" pid="14" name="OpgesteldDoor">
    <vt:lpwstr>427;#Nijman, Luuk</vt:lpwstr>
  </property>
  <property fmtid="{D5CDD505-2E9C-101B-9397-08002B2CF9AE}" pid="15" name="ReferentieKamer">
    <vt:lpwstr>Min-BuZa.2024.910</vt:lpwstr>
  </property>
  <property fmtid="{D5CDD505-2E9C-101B-9397-08002B2CF9AE}" pid="16" name="TaxCatchAll">
    <vt:lpwstr>5;#DSH|5653a7bc-d0da-46fa-94d9-a6cfa00027fd</vt:lpwstr>
  </property>
  <property fmtid="{D5CDD505-2E9C-101B-9397-08002B2CF9AE}" pid="17" name="UiterlijkBij">
    <vt:lpwstr/>
  </property>
  <property fmtid="{D5CDD505-2E9C-101B-9397-08002B2CF9AE}" pid="18" name="BinnengekomenOp">
    <vt:filetime>2024-03-06T08:47:04Z</vt:filetime>
  </property>
  <property fmtid="{D5CDD505-2E9C-101B-9397-08002B2CF9AE}" pid="19" name="BZForumOrganisation">
    <vt:lpwstr>2;#Not applicable|0049e722-bfb1-4a3f-9d08-af7366a9af40</vt:lpwstr>
  </property>
  <property fmtid="{D5CDD505-2E9C-101B-9397-08002B2CF9AE}" pid="20" name="Kernwoorden">
    <vt:lpwstr/>
  </property>
  <property fmtid="{D5CDD505-2E9C-101B-9397-08002B2CF9AE}" pid="21" name="Thema">
    <vt:lpwstr/>
  </property>
  <property fmtid="{D5CDD505-2E9C-101B-9397-08002B2CF9AE}" pid="22" name="BZTheme">
    <vt:lpwstr>7;#Military and civil cooperation|b8dca804-e27b-465f-bf91-3b704e18e8a2</vt:lpwstr>
  </property>
  <property fmtid="{D5CDD505-2E9C-101B-9397-08002B2CF9AE}" pid="23" name="BZCountryState">
    <vt:lpwstr>8;#Germany|0b1c626f-21ec-4bba-be13-5681feaf0b9c</vt:lpwstr>
  </property>
  <property fmtid="{D5CDD505-2E9C-101B-9397-08002B2CF9AE}" pid="24" name="BZMarking">
    <vt:lpwstr>5;#NO MARKING|0a4eb9ae-69eb-4d9e-b573-43ab99ef8592</vt:lpwstr>
  </property>
  <property fmtid="{D5CDD505-2E9C-101B-9397-08002B2CF9AE}" pid="25" name="BZClassification">
    <vt:lpwstr>4;#UNCLASSIFIED (U)|284e6a62-15ab-4017-be27-a1e965f4e940</vt:lpwstr>
  </property>
  <property fmtid="{D5CDD505-2E9C-101B-9397-08002B2CF9AE}" pid="26" name="Auteur">
    <vt:lpwstr/>
  </property>
</Properties>
</file>