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75"/>
        <w:gridCol w:w="660"/>
        <w:gridCol w:w="3236"/>
      </w:tblGrid>
      <w:tr w:rsidR="00291127" w:rsidTr="00D02B11" w14:paraId="6C068526" w14:textId="77777777">
        <w:trPr>
          <w:gridAfter w:val="1"/>
          <w:wAfter w:w="3236" w:type="dxa"/>
        </w:trPr>
        <w:tc>
          <w:tcPr>
            <w:tcW w:w="6452" w:type="dxa"/>
            <w:gridSpan w:val="2"/>
            <w:tcBorders>
              <w:top w:val="nil"/>
              <w:left w:val="nil"/>
              <w:bottom w:val="nil"/>
              <w:right w:val="nil"/>
            </w:tcBorders>
            <w:vAlign w:val="center"/>
          </w:tcPr>
          <w:p w:rsidR="00291127" w:rsidP="00D02B11" w:rsidRDefault="00291127" w14:paraId="397D03DB"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660" w:type="dxa"/>
            <w:tcBorders>
              <w:top w:val="nil"/>
              <w:left w:val="nil"/>
              <w:bottom w:val="nil"/>
              <w:right w:val="nil"/>
            </w:tcBorders>
          </w:tcPr>
          <w:p w:rsidR="00291127" w:rsidP="00D02B11" w:rsidRDefault="00291127" w14:paraId="0C09B8E3"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291127" w:rsidTr="00D02B11" w14:paraId="1173EDD8" w14:textId="77777777">
        <w:trPr>
          <w:cantSplit/>
        </w:trPr>
        <w:tc>
          <w:tcPr>
            <w:tcW w:w="10348" w:type="dxa"/>
            <w:gridSpan w:val="4"/>
            <w:tcBorders>
              <w:top w:val="single" w:color="auto" w:sz="4" w:space="0"/>
              <w:left w:val="nil"/>
              <w:bottom w:val="nil"/>
              <w:right w:val="nil"/>
            </w:tcBorders>
          </w:tcPr>
          <w:p w:rsidR="00291127" w:rsidP="00D02B11" w:rsidRDefault="00291127" w14:paraId="512EF4D8"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Pr>
                <w:rFonts w:ascii="Times New Roman" w:hAnsi="Times New Roman"/>
                <w:b w:val="0"/>
              </w:rPr>
              <w:t>2024-2025</w:t>
            </w:r>
          </w:p>
        </w:tc>
      </w:tr>
      <w:tr w:rsidR="00291127" w:rsidTr="00D02B11" w14:paraId="49C0A451" w14:textId="77777777">
        <w:trPr>
          <w:cantSplit/>
        </w:trPr>
        <w:tc>
          <w:tcPr>
            <w:tcW w:w="10348" w:type="dxa"/>
            <w:gridSpan w:val="4"/>
            <w:tcBorders>
              <w:top w:val="nil"/>
              <w:left w:val="nil"/>
              <w:bottom w:val="nil"/>
              <w:right w:val="nil"/>
            </w:tcBorders>
          </w:tcPr>
          <w:p w:rsidR="00291127" w:rsidP="00D02B11" w:rsidRDefault="00291127" w14:paraId="2778361C" w14:textId="77777777">
            <w:pPr>
              <w:pStyle w:val="Amendement"/>
              <w:tabs>
                <w:tab w:val="clear" w:pos="3310"/>
                <w:tab w:val="clear" w:pos="3600"/>
              </w:tabs>
              <w:rPr>
                <w:rFonts w:ascii="Times New Roman" w:hAnsi="Times New Roman"/>
                <w:b w:val="0"/>
              </w:rPr>
            </w:pPr>
          </w:p>
        </w:tc>
      </w:tr>
      <w:tr w:rsidR="00291127" w:rsidTr="00D02B11" w14:paraId="25F3D08A" w14:textId="77777777">
        <w:trPr>
          <w:cantSplit/>
        </w:trPr>
        <w:tc>
          <w:tcPr>
            <w:tcW w:w="10348" w:type="dxa"/>
            <w:gridSpan w:val="4"/>
            <w:tcBorders>
              <w:top w:val="nil"/>
              <w:left w:val="nil"/>
              <w:bottom w:val="single" w:color="auto" w:sz="4" w:space="0"/>
              <w:right w:val="nil"/>
            </w:tcBorders>
          </w:tcPr>
          <w:p w:rsidR="00291127" w:rsidP="00D02B11" w:rsidRDefault="00291127" w14:paraId="7E6C9096" w14:textId="77777777">
            <w:pPr>
              <w:pStyle w:val="Amendement"/>
              <w:tabs>
                <w:tab w:val="clear" w:pos="3310"/>
                <w:tab w:val="clear" w:pos="3600"/>
              </w:tabs>
              <w:rPr>
                <w:rFonts w:ascii="Times New Roman" w:hAnsi="Times New Roman"/>
              </w:rPr>
            </w:pPr>
          </w:p>
        </w:tc>
      </w:tr>
      <w:tr w:rsidR="00291127" w:rsidTr="00D02B11" w14:paraId="62881AC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291127" w:rsidP="00D02B11" w:rsidRDefault="00291127" w14:paraId="15941654" w14:textId="77777777">
            <w:pPr>
              <w:pStyle w:val="Amendement"/>
              <w:tabs>
                <w:tab w:val="clear" w:pos="3310"/>
                <w:tab w:val="clear" w:pos="3600"/>
              </w:tabs>
              <w:rPr>
                <w:rFonts w:ascii="Times New Roman" w:hAnsi="Times New Roman"/>
              </w:rPr>
            </w:pPr>
          </w:p>
        </w:tc>
        <w:tc>
          <w:tcPr>
            <w:tcW w:w="7371" w:type="dxa"/>
            <w:gridSpan w:val="3"/>
          </w:tcPr>
          <w:p w:rsidRPr="00783215" w:rsidR="00291127" w:rsidP="00D02B11" w:rsidRDefault="00291127" w14:paraId="6D293FF9" w14:textId="77777777">
            <w:pPr>
              <w:suppressAutoHyphens/>
              <w:ind w:left="-70"/>
              <w:rPr>
                <w:b/>
              </w:rPr>
            </w:pPr>
          </w:p>
        </w:tc>
      </w:tr>
      <w:tr w:rsidR="00291127" w:rsidTr="00D02B11" w14:paraId="52CBAC7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291127" w:rsidP="00D02B11" w:rsidRDefault="00291127" w14:paraId="1A785715" w14:textId="77777777">
            <w:pPr>
              <w:pStyle w:val="Amendement"/>
              <w:tabs>
                <w:tab w:val="clear" w:pos="3310"/>
                <w:tab w:val="clear" w:pos="3600"/>
              </w:tabs>
              <w:rPr>
                <w:rFonts w:ascii="Times New Roman" w:hAnsi="Times New Roman"/>
              </w:rPr>
            </w:pPr>
            <w:r>
              <w:rPr>
                <w:rFonts w:ascii="Times New Roman" w:hAnsi="Times New Roman"/>
              </w:rPr>
              <w:t>36 602</w:t>
            </w:r>
          </w:p>
        </w:tc>
        <w:tc>
          <w:tcPr>
            <w:tcW w:w="7371" w:type="dxa"/>
            <w:gridSpan w:val="3"/>
          </w:tcPr>
          <w:p w:rsidRPr="00896512" w:rsidR="00291127" w:rsidP="00D02B11" w:rsidRDefault="00291127" w14:paraId="15B16DBD" w14:textId="77777777">
            <w:pPr>
              <w:rPr>
                <w:b/>
                <w:bCs/>
                <w:szCs w:val="24"/>
              </w:rPr>
            </w:pPr>
            <w:r w:rsidRPr="00896512">
              <w:rPr>
                <w:b/>
                <w:bCs/>
                <w:szCs w:val="24"/>
              </w:rPr>
              <w:t>Wijziging van enkele belastingwetten en enige andere wetten (Belastingplan 2025)</w:t>
            </w:r>
          </w:p>
        </w:tc>
      </w:tr>
      <w:tr w:rsidR="00291127" w:rsidTr="00D02B11" w14:paraId="2163736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291127" w:rsidP="00D02B11" w:rsidRDefault="00291127" w14:paraId="6AA47C5D" w14:textId="77777777">
            <w:pPr>
              <w:pStyle w:val="Amendement"/>
              <w:tabs>
                <w:tab w:val="clear" w:pos="3310"/>
                <w:tab w:val="clear" w:pos="3600"/>
              </w:tabs>
              <w:rPr>
                <w:rFonts w:ascii="Times New Roman" w:hAnsi="Times New Roman"/>
              </w:rPr>
            </w:pPr>
          </w:p>
        </w:tc>
        <w:tc>
          <w:tcPr>
            <w:tcW w:w="7371" w:type="dxa"/>
            <w:gridSpan w:val="3"/>
          </w:tcPr>
          <w:p w:rsidRPr="00783215" w:rsidR="00291127" w:rsidP="00D02B11" w:rsidRDefault="00291127" w14:paraId="4343F6E4" w14:textId="77777777">
            <w:pPr>
              <w:pStyle w:val="Amendement"/>
              <w:tabs>
                <w:tab w:val="clear" w:pos="3310"/>
                <w:tab w:val="clear" w:pos="3600"/>
              </w:tabs>
              <w:ind w:left="-70"/>
              <w:rPr>
                <w:rFonts w:ascii="Times New Roman" w:hAnsi="Times New Roman"/>
              </w:rPr>
            </w:pPr>
          </w:p>
        </w:tc>
      </w:tr>
      <w:tr w:rsidR="00291127" w:rsidTr="00D02B11" w14:paraId="589E9E2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291127" w:rsidP="00D02B11" w:rsidRDefault="00291127" w14:paraId="7F4E0EF3" w14:textId="77777777">
            <w:pPr>
              <w:pStyle w:val="Amendement"/>
              <w:tabs>
                <w:tab w:val="clear" w:pos="3310"/>
                <w:tab w:val="clear" w:pos="3600"/>
              </w:tabs>
              <w:rPr>
                <w:rFonts w:ascii="Times New Roman" w:hAnsi="Times New Roman"/>
              </w:rPr>
            </w:pPr>
          </w:p>
        </w:tc>
        <w:tc>
          <w:tcPr>
            <w:tcW w:w="7371" w:type="dxa"/>
            <w:gridSpan w:val="3"/>
          </w:tcPr>
          <w:p w:rsidRPr="00C035D4" w:rsidR="00291127" w:rsidP="00D02B11" w:rsidRDefault="00291127" w14:paraId="70A081C0" w14:textId="77777777">
            <w:pPr>
              <w:pStyle w:val="Amendement"/>
              <w:tabs>
                <w:tab w:val="clear" w:pos="3310"/>
                <w:tab w:val="clear" w:pos="3600"/>
              </w:tabs>
              <w:ind w:left="-70"/>
              <w:rPr>
                <w:rFonts w:ascii="Times New Roman" w:hAnsi="Times New Roman"/>
              </w:rPr>
            </w:pPr>
          </w:p>
        </w:tc>
      </w:tr>
      <w:tr w:rsidR="00291127" w:rsidTr="00D02B11" w14:paraId="5AE3674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291127" w:rsidP="00D02B11" w:rsidRDefault="00291127" w14:paraId="582644AA" w14:textId="5936950F">
            <w:pPr>
              <w:pStyle w:val="Amendement"/>
              <w:tabs>
                <w:tab w:val="clear" w:pos="3310"/>
                <w:tab w:val="clear" w:pos="3600"/>
              </w:tabs>
              <w:rPr>
                <w:rFonts w:ascii="Times New Roman" w:hAnsi="Times New Roman"/>
              </w:rPr>
            </w:pPr>
            <w:r w:rsidRPr="00C035D4">
              <w:rPr>
                <w:rFonts w:ascii="Times New Roman" w:hAnsi="Times New Roman"/>
              </w:rPr>
              <w:t xml:space="preserve">Nr. </w:t>
            </w:r>
            <w:r w:rsidR="00052649">
              <w:rPr>
                <w:rFonts w:ascii="Times New Roman" w:hAnsi="Times New Roman"/>
                <w:caps/>
              </w:rPr>
              <w:t>84</w:t>
            </w:r>
          </w:p>
        </w:tc>
        <w:tc>
          <w:tcPr>
            <w:tcW w:w="7371" w:type="dxa"/>
            <w:gridSpan w:val="3"/>
          </w:tcPr>
          <w:p w:rsidRPr="00C035D4" w:rsidR="00291127" w:rsidP="00D02B11" w:rsidRDefault="00291127" w14:paraId="4F250952" w14:textId="2E1EA27F">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w:t>
            </w:r>
            <w:r w:rsidR="00337B60">
              <w:rPr>
                <w:rFonts w:ascii="Times New Roman" w:hAnsi="Times New Roman"/>
                <w:caps/>
              </w:rPr>
              <w:t>De leden maatoug en stultiens</w:t>
            </w:r>
          </w:p>
        </w:tc>
      </w:tr>
      <w:tr w:rsidR="00291127" w:rsidTr="00D02B11" w14:paraId="53B16B1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291127" w:rsidP="00D02B11" w:rsidRDefault="00291127" w14:paraId="60FDFC7C" w14:textId="77777777">
            <w:pPr>
              <w:pStyle w:val="Amendement"/>
              <w:tabs>
                <w:tab w:val="clear" w:pos="3310"/>
                <w:tab w:val="clear" w:pos="3600"/>
              </w:tabs>
              <w:rPr>
                <w:rFonts w:ascii="Times New Roman" w:hAnsi="Times New Roman"/>
              </w:rPr>
            </w:pPr>
          </w:p>
        </w:tc>
        <w:tc>
          <w:tcPr>
            <w:tcW w:w="7371" w:type="dxa"/>
            <w:gridSpan w:val="3"/>
          </w:tcPr>
          <w:p w:rsidR="00291127" w:rsidP="00D02B11" w:rsidRDefault="00291127" w14:paraId="0ACC1E41" w14:textId="62E87B4F">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052649">
              <w:rPr>
                <w:rFonts w:ascii="Times New Roman" w:hAnsi="Times New Roman"/>
                <w:b w:val="0"/>
              </w:rPr>
              <w:t>11 november 2024</w:t>
            </w:r>
          </w:p>
        </w:tc>
      </w:tr>
      <w:tr w:rsidR="00291127" w:rsidTr="00D02B11" w14:paraId="513A8D3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291127" w:rsidP="00D02B11" w:rsidRDefault="00291127" w14:paraId="58665C7F" w14:textId="77777777">
            <w:pPr>
              <w:pStyle w:val="Amendement"/>
              <w:tabs>
                <w:tab w:val="clear" w:pos="3310"/>
                <w:tab w:val="clear" w:pos="3600"/>
              </w:tabs>
              <w:rPr>
                <w:rFonts w:ascii="Times New Roman" w:hAnsi="Times New Roman"/>
              </w:rPr>
            </w:pPr>
          </w:p>
        </w:tc>
        <w:tc>
          <w:tcPr>
            <w:tcW w:w="7371" w:type="dxa"/>
            <w:gridSpan w:val="3"/>
          </w:tcPr>
          <w:p w:rsidR="00291127" w:rsidP="00D02B11" w:rsidRDefault="00291127" w14:paraId="69F759BD" w14:textId="77777777">
            <w:pPr>
              <w:pStyle w:val="Amendement"/>
              <w:tabs>
                <w:tab w:val="clear" w:pos="3310"/>
                <w:tab w:val="clear" w:pos="3600"/>
              </w:tabs>
              <w:ind w:left="-70"/>
              <w:rPr>
                <w:rFonts w:ascii="Times New Roman" w:hAnsi="Times New Roman"/>
                <w:b w:val="0"/>
              </w:rPr>
            </w:pPr>
          </w:p>
        </w:tc>
      </w:tr>
      <w:tr w:rsidRPr="00EA69AC" w:rsidR="00291127" w:rsidTr="00D02B11" w14:paraId="1FC8415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4"/>
          </w:tcPr>
          <w:p w:rsidRPr="00EA69AC" w:rsidR="00291127" w:rsidP="00D02B11" w:rsidRDefault="00291127" w14:paraId="4E4748FF" w14:textId="736B4FED">
            <w:pPr>
              <w:ind w:firstLine="284"/>
            </w:pPr>
            <w:r w:rsidRPr="00EA69AC">
              <w:t>De ondergetekende</w:t>
            </w:r>
            <w:r w:rsidR="00072317">
              <w:t>n</w:t>
            </w:r>
            <w:r w:rsidRPr="00EA69AC">
              <w:t xml:space="preserve"> </w:t>
            </w:r>
            <w:r w:rsidR="00072317">
              <w:t>stellen</w:t>
            </w:r>
            <w:r w:rsidRPr="00EA69AC">
              <w:t xml:space="preserve"> het volgende amendement voor:</w:t>
            </w:r>
          </w:p>
        </w:tc>
      </w:tr>
    </w:tbl>
    <w:p w:rsidRPr="00EA69AC" w:rsidR="00291127" w:rsidP="00291127" w:rsidRDefault="00291127" w14:paraId="607EA2BB" w14:textId="77777777"/>
    <w:p w:rsidRPr="00EA69AC" w:rsidR="00291127" w:rsidP="00291127" w:rsidRDefault="00291127" w14:paraId="7535C5C2" w14:textId="77777777">
      <w:r w:rsidRPr="00EA69AC">
        <w:t>I</w:t>
      </w:r>
    </w:p>
    <w:p w:rsidRPr="00EA69AC" w:rsidR="00291127" w:rsidP="00291127" w:rsidRDefault="00291127" w14:paraId="2AF09DE9" w14:textId="77777777"/>
    <w:p w:rsidR="00291127" w:rsidP="00291127" w:rsidRDefault="00291127" w14:paraId="6BE6C5D7" w14:textId="77777777">
      <w:pPr>
        <w:ind w:firstLine="284"/>
      </w:pPr>
      <w:r>
        <w:t>In artikel I wordt na onderdeel C een onderdeel ingevoegd, luidende:</w:t>
      </w:r>
    </w:p>
    <w:p w:rsidR="00291127" w:rsidP="00291127" w:rsidRDefault="00291127" w14:paraId="0F40ACEA" w14:textId="77777777"/>
    <w:p w:rsidR="00291127" w:rsidP="00291127" w:rsidRDefault="00291127" w14:paraId="3F363E63" w14:textId="77777777">
      <w:r>
        <w:t>Ca</w:t>
      </w:r>
    </w:p>
    <w:p w:rsidR="00291127" w:rsidP="00291127" w:rsidRDefault="00291127" w14:paraId="1F042A58" w14:textId="77777777"/>
    <w:p w:rsidR="00291127" w:rsidP="00072317" w:rsidRDefault="00291127" w14:paraId="7DD9254B" w14:textId="71C3285E">
      <w:pPr>
        <w:ind w:firstLine="284"/>
      </w:pPr>
      <w:r>
        <w:t>Artikel 3.12 vervalt.</w:t>
      </w:r>
    </w:p>
    <w:p w:rsidR="00291127" w:rsidP="00291127" w:rsidRDefault="00291127" w14:paraId="0E789859" w14:textId="77777777"/>
    <w:p w:rsidR="00291127" w:rsidP="00291127" w:rsidRDefault="00291127" w14:paraId="4379499A" w14:textId="77777777">
      <w:r>
        <w:t>II</w:t>
      </w:r>
    </w:p>
    <w:p w:rsidR="00291127" w:rsidP="00291127" w:rsidRDefault="00291127" w14:paraId="1F09666C" w14:textId="77777777"/>
    <w:p w:rsidR="00291127" w:rsidP="00291127" w:rsidRDefault="00291127" w14:paraId="46AB1008" w14:textId="77777777">
      <w:pPr>
        <w:ind w:firstLine="284"/>
      </w:pPr>
      <w:r>
        <w:t>Na artikel VII wordt een artikel ingevoegd, luidende:</w:t>
      </w:r>
    </w:p>
    <w:p w:rsidR="00291127" w:rsidP="00291127" w:rsidRDefault="00291127" w14:paraId="2B92D1BB" w14:textId="77777777"/>
    <w:p w:rsidRPr="00D02B11" w:rsidR="00291127" w:rsidP="00291127" w:rsidRDefault="00291127" w14:paraId="3A84D012" w14:textId="77777777">
      <w:pPr>
        <w:rPr>
          <w:b/>
          <w:bCs/>
        </w:rPr>
      </w:pPr>
      <w:r w:rsidRPr="00896512">
        <w:rPr>
          <w:b/>
          <w:bCs/>
        </w:rPr>
        <w:t>ARTIKEL VII</w:t>
      </w:r>
      <w:r>
        <w:rPr>
          <w:b/>
          <w:bCs/>
        </w:rPr>
        <w:t>a</w:t>
      </w:r>
    </w:p>
    <w:p w:rsidR="00291127" w:rsidP="00291127" w:rsidRDefault="00291127" w14:paraId="142F13EA" w14:textId="77777777"/>
    <w:p w:rsidR="00291127" w:rsidP="00291127" w:rsidRDefault="00291127" w14:paraId="6D1BB586" w14:textId="77777777">
      <w:pPr>
        <w:ind w:firstLine="284"/>
      </w:pPr>
      <w:r>
        <w:t>In de Invoeringswet Wet inkomstenbelasting 2001 vervalt hoofdstuk 2, artikel I, onderdeel E.</w:t>
      </w:r>
    </w:p>
    <w:p w:rsidR="00291127" w:rsidP="00291127" w:rsidRDefault="00291127" w14:paraId="5B0FB463" w14:textId="77777777"/>
    <w:p w:rsidR="00291127" w:rsidP="00291127" w:rsidRDefault="00291127" w14:paraId="04882A96" w14:textId="77777777">
      <w:r>
        <w:t xml:space="preserve">III </w:t>
      </w:r>
    </w:p>
    <w:p w:rsidR="00291127" w:rsidP="00291127" w:rsidRDefault="00291127" w14:paraId="76D67031" w14:textId="77777777"/>
    <w:p w:rsidR="00291127" w:rsidP="00291127" w:rsidRDefault="00291127" w14:paraId="1B9AEE61" w14:textId="77777777">
      <w:pPr>
        <w:ind w:firstLine="284"/>
      </w:pPr>
      <w:r>
        <w:t>In artikel XV, onderdeel E, onder 1, wordt na “eerste lid” ingevoegd “vervalt “en 3.12” en”.</w:t>
      </w:r>
    </w:p>
    <w:p w:rsidR="00291127" w:rsidP="00291127" w:rsidRDefault="00291127" w14:paraId="21B7CC57" w14:textId="77777777">
      <w:pPr>
        <w:rPr>
          <w:b/>
        </w:rPr>
      </w:pPr>
    </w:p>
    <w:p w:rsidRPr="00EA69AC" w:rsidR="00291127" w:rsidP="00291127" w:rsidRDefault="00291127" w14:paraId="2326FBED" w14:textId="77777777">
      <w:pPr>
        <w:rPr>
          <w:b/>
        </w:rPr>
      </w:pPr>
      <w:r w:rsidRPr="00EA69AC">
        <w:rPr>
          <w:b/>
        </w:rPr>
        <w:t>Toelichting</w:t>
      </w:r>
    </w:p>
    <w:p w:rsidRPr="00EA69AC" w:rsidR="00291127" w:rsidP="00291127" w:rsidRDefault="00291127" w14:paraId="299B702A" w14:textId="77777777"/>
    <w:p w:rsidR="00291127" w:rsidP="00291127" w:rsidRDefault="00291127" w14:paraId="4B2AD685" w14:textId="77777777">
      <w:pPr>
        <w:widowControl/>
      </w:pPr>
      <w:r>
        <w:rPr>
          <w:i/>
          <w:iCs/>
        </w:rPr>
        <w:t xml:space="preserve">Afschaffing landbouwvrijstelling (onderdelen I tot en met III) </w:t>
      </w:r>
    </w:p>
    <w:p w:rsidR="00291127" w:rsidP="00291127" w:rsidRDefault="00291127" w14:paraId="1C44A5B9" w14:textId="77777777">
      <w:pPr>
        <w:widowControl/>
      </w:pPr>
    </w:p>
    <w:p w:rsidR="00291127" w:rsidP="00291127" w:rsidRDefault="00291127" w14:paraId="7E57863B" w14:textId="0579DC77">
      <w:pPr>
        <w:widowControl/>
      </w:pPr>
      <w:r w:rsidRPr="00291127">
        <w:t xml:space="preserve">Dit amendement is bedoeld om </w:t>
      </w:r>
      <w:r>
        <w:t>een</w:t>
      </w:r>
      <w:r w:rsidRPr="00291127">
        <w:t xml:space="preserve"> overbodige vrijstelling</w:t>
      </w:r>
      <w:r w:rsidR="00D26643">
        <w:t xml:space="preserve"> </w:t>
      </w:r>
      <w:r w:rsidRPr="00291127">
        <w:t>in het belastingstelsel te schrappen, namelijk de landbouwvrijstelling. Het Nederlandse belastingstelsel bevat zeer veel vrijstellingen, aftrekposten en regelingen die ondoelmatig, inefficiënt of simpelweg overbodig zijn. Dit leidt tot grote complexiteit en onrechtvaardige uitkomsten.</w:t>
      </w:r>
      <w:r>
        <w:t xml:space="preserve"> De landbouwvrijstelling is daar een schoolvoorbeeld van.</w:t>
      </w:r>
      <w:r w:rsidRPr="00291127">
        <w:t xml:space="preserve"> De landbouwvrijstelling zorgt ervoor dat eigenaren van landbouwgrond die die grond verkopen geen belasting hoeven af te dragen over de winst die zij daarbij maken, in tegenstelling tot de eigenaren van andere soorten grond of bedrijfsmiddelen.</w:t>
      </w:r>
      <w:r w:rsidRPr="00816F24" w:rsidR="00816F24">
        <w:t xml:space="preserve"> </w:t>
      </w:r>
      <w:r w:rsidR="00816F24">
        <w:t>Deze maatregel had</w:t>
      </w:r>
      <w:r w:rsidR="00AC7AA7">
        <w:t xml:space="preserve"> ooit</w:t>
      </w:r>
      <w:r w:rsidR="00816F24">
        <w:t xml:space="preserve"> als doel om </w:t>
      </w:r>
      <w:r w:rsidR="00AC7AA7">
        <w:t xml:space="preserve">fiscale gelijkheid te bereiken tussen eigenaren van landbouwgrond die hun land zelf bewerkten en degenen die het verpachtten. Met de invoering van </w:t>
      </w:r>
      <w:r w:rsidRPr="00D26643" w:rsidR="00D26643">
        <w:t xml:space="preserve">de Wet inkomstenbelasting </w:t>
      </w:r>
      <w:r w:rsidR="00D26643">
        <w:t xml:space="preserve">in </w:t>
      </w:r>
      <w:r w:rsidRPr="00D26643" w:rsidR="00D26643">
        <w:t>2001</w:t>
      </w:r>
      <w:r w:rsidR="00D26643">
        <w:t xml:space="preserve">is geregeld dat ook </w:t>
      </w:r>
      <w:r w:rsidRPr="00D26643" w:rsidR="00D26643">
        <w:t>iemand die zijn grond verpacht belasting</w:t>
      </w:r>
      <w:r w:rsidR="00D26643">
        <w:t xml:space="preserve"> moet betalen</w:t>
      </w:r>
      <w:r w:rsidRPr="00D26643" w:rsidR="00D26643">
        <w:t xml:space="preserve"> over winst bij verkoop</w:t>
      </w:r>
      <w:r w:rsidR="00D26643">
        <w:t xml:space="preserve">, net zoals dat altijd al moest bij landbouwgrond. Hiermee is het beleidsdoel, het opheffen van fiscale ongelijkheid, behaald. </w:t>
      </w:r>
      <w:r w:rsidR="00B2511B">
        <w:t>De vele evaluaties van de regeling laten dan ook duidelijk zien dat de landbouwvrijstelling geen bestaansrecht (meer) heeft.</w:t>
      </w:r>
    </w:p>
    <w:p w:rsidR="00291127" w:rsidP="00291127" w:rsidRDefault="00291127" w14:paraId="1FEDD841" w14:textId="77777777">
      <w:pPr>
        <w:widowControl/>
      </w:pPr>
    </w:p>
    <w:p w:rsidR="00291127" w:rsidP="00291127" w:rsidRDefault="00291127" w14:paraId="45748F4C" w14:textId="2F0B8138">
      <w:pPr>
        <w:widowControl/>
        <w:rPr>
          <w:b/>
          <w:bCs/>
        </w:rPr>
      </w:pPr>
      <w:r>
        <w:lastRenderedPageBreak/>
        <w:t xml:space="preserve">Dit amendement beoogt </w:t>
      </w:r>
      <w:r w:rsidR="00B2511B">
        <w:t>daarom</w:t>
      </w:r>
      <w:r w:rsidR="00D26643">
        <w:t xml:space="preserve"> </w:t>
      </w:r>
      <w:r>
        <w:t>de landbouwvrijstelling zonder overgangsrecht af te schaffen per 1 januari 2025. In verband met de afschaffing van de landbouwvrijstelling komt tevens hoofdstuk 2, artikel I, onderdeel E, van de Invoeringswet Wet inkomstenbelasting 2001 (dat dan overbodig wordt) te vervallen. Dit onderdeel bepaalt dat de beschikkingen die zijn afgegeven op basis van artikel 70 van de Wet op de inkomstenbelasting 1964 van betekenis blijven voor de toepassing van de landbouwvrijstelling voor de Wet inkomstenbelasting 2001.</w:t>
      </w:r>
    </w:p>
    <w:p w:rsidR="00291127" w:rsidP="00291127" w:rsidRDefault="00291127" w14:paraId="23AA2E6D" w14:textId="77777777"/>
    <w:p w:rsidR="00291127" w:rsidP="00291127" w:rsidRDefault="00291127" w14:paraId="52C3E0F1" w14:textId="77777777">
      <w:pPr>
        <w:rPr>
          <w:i/>
          <w:iCs/>
        </w:rPr>
      </w:pPr>
      <w:r>
        <w:rPr>
          <w:i/>
          <w:iCs/>
        </w:rPr>
        <w:t>Budgettaire gevolgen</w:t>
      </w:r>
    </w:p>
    <w:p w:rsidR="00291127" w:rsidP="00291127" w:rsidRDefault="00291127" w14:paraId="3F99531F" w14:textId="77777777">
      <w:pPr>
        <w:rPr>
          <w:highlight w:val="yellow"/>
        </w:rPr>
      </w:pPr>
      <w:r>
        <w:t>De budgettaire gevolgen van de afschaffing van de landbouwvrijstelling zonder overgangsrecht worden in onderstaande tabel voor de eerste drie jaar na afschaffing gegeven en voor 2064. De opbrengst loopt na 2064 nog (zeer) traag omhoog.</w:t>
      </w:r>
      <w:r>
        <w:rPr>
          <w:bCs/>
        </w:rPr>
        <w:t xml:space="preserve"> Bij de raming is uitgegaan van het standaard gedrags- en anticipatie-effect zoals beschreven in de publicatie ‘Gedragseffecten belastingmaatregelen’ van het CPB.</w:t>
      </w:r>
      <w:r>
        <w:rPr>
          <w:rStyle w:val="Voetnootmarkering"/>
          <w:bCs/>
        </w:rPr>
        <w:footnoteReference w:id="1"/>
      </w:r>
    </w:p>
    <w:p w:rsidR="00291127" w:rsidP="00291127" w:rsidRDefault="00291127" w14:paraId="7816905E" w14:textId="77777777">
      <w:pPr>
        <w:tabs>
          <w:tab w:val="left" w:pos="3106"/>
        </w:tabs>
        <w:rPr>
          <w:b/>
        </w:rPr>
      </w:pPr>
    </w:p>
    <w:tbl>
      <w:tblPr>
        <w:tblW w:w="10065" w:type="dxa"/>
        <w:tblCellMar>
          <w:left w:w="70" w:type="dxa"/>
          <w:right w:w="70" w:type="dxa"/>
        </w:tblCellMar>
        <w:tblLook w:val="04A0" w:firstRow="1" w:lastRow="0" w:firstColumn="1" w:lastColumn="0" w:noHBand="0" w:noVBand="1"/>
      </w:tblPr>
      <w:tblGrid>
        <w:gridCol w:w="3828"/>
        <w:gridCol w:w="2257"/>
        <w:gridCol w:w="855"/>
        <w:gridCol w:w="855"/>
        <w:gridCol w:w="855"/>
        <w:gridCol w:w="1415"/>
      </w:tblGrid>
      <w:tr w:rsidRPr="00896512" w:rsidR="00291127" w:rsidTr="00D02B11" w14:paraId="604BEFD6" w14:textId="77777777">
        <w:trPr>
          <w:trHeight w:val="259"/>
        </w:trPr>
        <w:tc>
          <w:tcPr>
            <w:tcW w:w="3828" w:type="dxa"/>
            <w:tcBorders>
              <w:top w:val="single" w:color="000000" w:sz="8" w:space="0"/>
              <w:left w:val="nil"/>
              <w:bottom w:val="single" w:color="000000" w:sz="8" w:space="0"/>
              <w:right w:val="nil"/>
            </w:tcBorders>
            <w:shd w:val="clear" w:color="auto" w:fill="A6A6A6"/>
            <w:vAlign w:val="center"/>
            <w:hideMark/>
          </w:tcPr>
          <w:p w:rsidRPr="00896512" w:rsidR="00291127" w:rsidP="00D02B11" w:rsidRDefault="00291127" w14:paraId="14AD6AA0" w14:textId="77777777">
            <w:pPr>
              <w:rPr>
                <w:color w:val="FFFFFF"/>
                <w:szCs w:val="24"/>
              </w:rPr>
            </w:pPr>
            <w:r w:rsidRPr="00896512">
              <w:rPr>
                <w:color w:val="000000"/>
                <w:szCs w:val="24"/>
              </w:rPr>
              <w:t>In mln EUR en in prijzen 2024</w:t>
            </w:r>
          </w:p>
        </w:tc>
        <w:tc>
          <w:tcPr>
            <w:tcW w:w="2257" w:type="dxa"/>
            <w:tcBorders>
              <w:top w:val="single" w:color="000000" w:sz="8" w:space="0"/>
              <w:left w:val="nil"/>
              <w:bottom w:val="single" w:color="000000" w:sz="8" w:space="0"/>
              <w:right w:val="nil"/>
            </w:tcBorders>
            <w:shd w:val="clear" w:color="auto" w:fill="A6A6A6"/>
            <w:vAlign w:val="center"/>
            <w:hideMark/>
          </w:tcPr>
          <w:p w:rsidRPr="00896512" w:rsidR="00291127" w:rsidP="00D02B11" w:rsidRDefault="00291127" w14:paraId="5BE034FF" w14:textId="77777777">
            <w:pPr>
              <w:jc w:val="center"/>
              <w:rPr>
                <w:color w:val="FFFFFF"/>
                <w:szCs w:val="24"/>
              </w:rPr>
            </w:pPr>
            <w:r w:rsidRPr="00896512">
              <w:rPr>
                <w:color w:val="FFFFFF"/>
                <w:szCs w:val="24"/>
              </w:rPr>
              <w:t>2025</w:t>
            </w:r>
          </w:p>
        </w:tc>
        <w:tc>
          <w:tcPr>
            <w:tcW w:w="0" w:type="auto"/>
            <w:tcBorders>
              <w:top w:val="single" w:color="000000" w:sz="8" w:space="0"/>
              <w:left w:val="nil"/>
              <w:bottom w:val="single" w:color="000000" w:sz="8" w:space="0"/>
              <w:right w:val="nil"/>
            </w:tcBorders>
            <w:shd w:val="clear" w:color="auto" w:fill="A6A6A6"/>
            <w:vAlign w:val="center"/>
            <w:hideMark/>
          </w:tcPr>
          <w:p w:rsidRPr="00896512" w:rsidR="00291127" w:rsidP="00D02B11" w:rsidRDefault="00291127" w14:paraId="435DEF4E" w14:textId="77777777">
            <w:pPr>
              <w:jc w:val="center"/>
              <w:rPr>
                <w:color w:val="FFFFFF"/>
                <w:szCs w:val="24"/>
              </w:rPr>
            </w:pPr>
            <w:r w:rsidRPr="00896512">
              <w:rPr>
                <w:color w:val="FFFFFF"/>
                <w:szCs w:val="24"/>
              </w:rPr>
              <w:t>2026</w:t>
            </w:r>
          </w:p>
        </w:tc>
        <w:tc>
          <w:tcPr>
            <w:tcW w:w="0" w:type="auto"/>
            <w:tcBorders>
              <w:top w:val="single" w:color="000000" w:sz="8" w:space="0"/>
              <w:left w:val="nil"/>
              <w:bottom w:val="single" w:color="000000" w:sz="8" w:space="0"/>
              <w:right w:val="nil"/>
            </w:tcBorders>
            <w:shd w:val="clear" w:color="auto" w:fill="A6A6A6"/>
            <w:vAlign w:val="center"/>
            <w:hideMark/>
          </w:tcPr>
          <w:p w:rsidRPr="00896512" w:rsidR="00291127" w:rsidP="00D02B11" w:rsidRDefault="00291127" w14:paraId="05B266EB" w14:textId="77777777">
            <w:pPr>
              <w:jc w:val="center"/>
              <w:rPr>
                <w:color w:val="FFFFFF"/>
                <w:szCs w:val="24"/>
              </w:rPr>
            </w:pPr>
            <w:r w:rsidRPr="00896512">
              <w:rPr>
                <w:color w:val="FFFFFF"/>
                <w:szCs w:val="24"/>
              </w:rPr>
              <w:t>2027</w:t>
            </w:r>
          </w:p>
        </w:tc>
        <w:tc>
          <w:tcPr>
            <w:tcW w:w="0" w:type="auto"/>
            <w:tcBorders>
              <w:top w:val="single" w:color="000000" w:sz="8" w:space="0"/>
              <w:left w:val="nil"/>
              <w:bottom w:val="single" w:color="000000" w:sz="8" w:space="0"/>
              <w:right w:val="nil"/>
            </w:tcBorders>
            <w:shd w:val="clear" w:color="auto" w:fill="A6A6A6"/>
            <w:vAlign w:val="center"/>
            <w:hideMark/>
          </w:tcPr>
          <w:p w:rsidRPr="00896512" w:rsidR="00291127" w:rsidP="00D02B11" w:rsidRDefault="00291127" w14:paraId="28230835" w14:textId="77777777">
            <w:pPr>
              <w:jc w:val="center"/>
              <w:rPr>
                <w:color w:val="FFFFFF"/>
                <w:szCs w:val="24"/>
              </w:rPr>
            </w:pPr>
            <w:r w:rsidRPr="00896512">
              <w:rPr>
                <w:color w:val="FFFFFF"/>
                <w:szCs w:val="24"/>
              </w:rPr>
              <w:t>2028</w:t>
            </w:r>
          </w:p>
        </w:tc>
        <w:tc>
          <w:tcPr>
            <w:tcW w:w="1415" w:type="dxa"/>
            <w:tcBorders>
              <w:top w:val="single" w:color="000000" w:sz="8" w:space="0"/>
              <w:left w:val="nil"/>
              <w:bottom w:val="single" w:color="000000" w:sz="8" w:space="0"/>
              <w:right w:val="nil"/>
            </w:tcBorders>
            <w:shd w:val="clear" w:color="auto" w:fill="A6A6A6"/>
            <w:hideMark/>
          </w:tcPr>
          <w:p w:rsidRPr="00896512" w:rsidR="00291127" w:rsidP="00D02B11" w:rsidRDefault="00291127" w14:paraId="62FEB3FE" w14:textId="77777777">
            <w:pPr>
              <w:jc w:val="center"/>
              <w:rPr>
                <w:color w:val="FFFFFF"/>
                <w:szCs w:val="24"/>
              </w:rPr>
            </w:pPr>
            <w:r w:rsidRPr="00896512">
              <w:rPr>
                <w:color w:val="FFFFFF"/>
                <w:szCs w:val="24"/>
              </w:rPr>
              <w:t>Struc (2064)</w:t>
            </w:r>
          </w:p>
        </w:tc>
      </w:tr>
      <w:tr w:rsidRPr="00896512" w:rsidR="00291127" w:rsidTr="00D02B11" w14:paraId="67086C17" w14:textId="77777777">
        <w:trPr>
          <w:trHeight w:val="259"/>
        </w:trPr>
        <w:tc>
          <w:tcPr>
            <w:tcW w:w="3828" w:type="dxa"/>
            <w:noWrap/>
            <w:vAlign w:val="bottom"/>
            <w:hideMark/>
          </w:tcPr>
          <w:p w:rsidRPr="00896512" w:rsidR="00291127" w:rsidP="00D02B11" w:rsidRDefault="00291127" w14:paraId="5C3CD967" w14:textId="77777777">
            <w:pPr>
              <w:rPr>
                <w:color w:val="000000"/>
                <w:szCs w:val="24"/>
              </w:rPr>
            </w:pPr>
            <w:r w:rsidRPr="00896512">
              <w:rPr>
                <w:color w:val="000000"/>
                <w:szCs w:val="24"/>
              </w:rPr>
              <w:t xml:space="preserve">Opbrengst met gedrag </w:t>
            </w:r>
          </w:p>
        </w:tc>
        <w:tc>
          <w:tcPr>
            <w:tcW w:w="2257" w:type="dxa"/>
            <w:noWrap/>
            <w:vAlign w:val="center"/>
            <w:hideMark/>
          </w:tcPr>
          <w:p w:rsidRPr="00896512" w:rsidR="00291127" w:rsidP="00D02B11" w:rsidRDefault="00291127" w14:paraId="256D3D81" w14:textId="77777777">
            <w:pPr>
              <w:jc w:val="center"/>
              <w:rPr>
                <w:color w:val="000000"/>
                <w:szCs w:val="24"/>
              </w:rPr>
            </w:pPr>
            <w:r w:rsidRPr="00896512">
              <w:rPr>
                <w:color w:val="000000"/>
                <w:szCs w:val="24"/>
              </w:rPr>
              <w:t>115</w:t>
            </w:r>
          </w:p>
        </w:tc>
        <w:tc>
          <w:tcPr>
            <w:tcW w:w="0" w:type="auto"/>
            <w:noWrap/>
            <w:vAlign w:val="center"/>
            <w:hideMark/>
          </w:tcPr>
          <w:p w:rsidRPr="00896512" w:rsidR="00291127" w:rsidP="00D02B11" w:rsidRDefault="00291127" w14:paraId="6ADD45B8" w14:textId="77777777">
            <w:pPr>
              <w:jc w:val="center"/>
              <w:rPr>
                <w:color w:val="000000"/>
                <w:szCs w:val="24"/>
              </w:rPr>
            </w:pPr>
            <w:r w:rsidRPr="00896512">
              <w:rPr>
                <w:color w:val="000000"/>
                <w:szCs w:val="24"/>
              </w:rPr>
              <w:t>124</w:t>
            </w:r>
          </w:p>
        </w:tc>
        <w:tc>
          <w:tcPr>
            <w:tcW w:w="0" w:type="auto"/>
            <w:noWrap/>
            <w:vAlign w:val="center"/>
            <w:hideMark/>
          </w:tcPr>
          <w:p w:rsidRPr="00896512" w:rsidR="00291127" w:rsidP="00D02B11" w:rsidRDefault="00291127" w14:paraId="45C8851A" w14:textId="77777777">
            <w:pPr>
              <w:jc w:val="center"/>
              <w:rPr>
                <w:color w:val="000000"/>
                <w:szCs w:val="24"/>
              </w:rPr>
            </w:pPr>
            <w:r w:rsidRPr="00896512">
              <w:rPr>
                <w:color w:val="000000"/>
                <w:szCs w:val="24"/>
              </w:rPr>
              <w:t>132</w:t>
            </w:r>
          </w:p>
        </w:tc>
        <w:tc>
          <w:tcPr>
            <w:tcW w:w="0" w:type="auto"/>
            <w:noWrap/>
            <w:vAlign w:val="bottom"/>
            <w:hideMark/>
          </w:tcPr>
          <w:p w:rsidRPr="00896512" w:rsidR="00291127" w:rsidP="00D02B11" w:rsidRDefault="00291127" w14:paraId="38A70772" w14:textId="77777777">
            <w:pPr>
              <w:jc w:val="center"/>
              <w:rPr>
                <w:color w:val="000000"/>
                <w:szCs w:val="24"/>
              </w:rPr>
            </w:pPr>
            <w:r w:rsidRPr="00896512">
              <w:rPr>
                <w:color w:val="000000"/>
                <w:szCs w:val="24"/>
              </w:rPr>
              <w:t>139</w:t>
            </w:r>
          </w:p>
        </w:tc>
        <w:tc>
          <w:tcPr>
            <w:tcW w:w="1415" w:type="dxa"/>
            <w:hideMark/>
          </w:tcPr>
          <w:p w:rsidRPr="00896512" w:rsidR="00291127" w:rsidP="00D02B11" w:rsidRDefault="00291127" w14:paraId="7AD56173" w14:textId="77777777">
            <w:pPr>
              <w:jc w:val="center"/>
              <w:rPr>
                <w:color w:val="000000"/>
                <w:szCs w:val="24"/>
              </w:rPr>
            </w:pPr>
            <w:r w:rsidRPr="00896512">
              <w:rPr>
                <w:color w:val="000000"/>
                <w:szCs w:val="24"/>
              </w:rPr>
              <w:t>239</w:t>
            </w:r>
          </w:p>
        </w:tc>
      </w:tr>
      <w:tr w:rsidRPr="00896512" w:rsidR="00291127" w:rsidTr="00D02B11" w14:paraId="28042061" w14:textId="77777777">
        <w:trPr>
          <w:trHeight w:val="259"/>
        </w:trPr>
        <w:tc>
          <w:tcPr>
            <w:tcW w:w="3828" w:type="dxa"/>
            <w:tcBorders>
              <w:top w:val="nil"/>
              <w:left w:val="nil"/>
              <w:bottom w:val="single" w:color="auto" w:sz="8" w:space="0"/>
              <w:right w:val="nil"/>
            </w:tcBorders>
            <w:noWrap/>
            <w:vAlign w:val="bottom"/>
            <w:hideMark/>
          </w:tcPr>
          <w:p w:rsidRPr="00896512" w:rsidR="00291127" w:rsidP="00D02B11" w:rsidRDefault="00291127" w14:paraId="49279D2D" w14:textId="77777777">
            <w:pPr>
              <w:rPr>
                <w:color w:val="000000"/>
                <w:szCs w:val="24"/>
              </w:rPr>
            </w:pPr>
          </w:p>
        </w:tc>
        <w:tc>
          <w:tcPr>
            <w:tcW w:w="2257" w:type="dxa"/>
            <w:tcBorders>
              <w:top w:val="nil"/>
              <w:left w:val="nil"/>
              <w:bottom w:val="single" w:color="auto" w:sz="8" w:space="0"/>
              <w:right w:val="nil"/>
            </w:tcBorders>
            <w:noWrap/>
            <w:vAlign w:val="bottom"/>
            <w:hideMark/>
          </w:tcPr>
          <w:p w:rsidRPr="00896512" w:rsidR="00291127" w:rsidP="00D02B11" w:rsidRDefault="00291127" w14:paraId="0FC593A1" w14:textId="77777777">
            <w:pPr>
              <w:rPr>
                <w:color w:val="000000"/>
                <w:szCs w:val="24"/>
              </w:rPr>
            </w:pPr>
            <w:r w:rsidRPr="00896512">
              <w:rPr>
                <w:color w:val="000000"/>
                <w:szCs w:val="24"/>
              </w:rPr>
              <w:t> </w:t>
            </w:r>
          </w:p>
        </w:tc>
        <w:tc>
          <w:tcPr>
            <w:tcW w:w="0" w:type="auto"/>
            <w:tcBorders>
              <w:top w:val="nil"/>
              <w:left w:val="nil"/>
              <w:bottom w:val="single" w:color="auto" w:sz="8" w:space="0"/>
              <w:right w:val="nil"/>
            </w:tcBorders>
            <w:noWrap/>
            <w:vAlign w:val="bottom"/>
            <w:hideMark/>
          </w:tcPr>
          <w:p w:rsidRPr="00896512" w:rsidR="00291127" w:rsidP="00D02B11" w:rsidRDefault="00291127" w14:paraId="29BD3785" w14:textId="77777777">
            <w:pPr>
              <w:rPr>
                <w:color w:val="000000"/>
                <w:szCs w:val="24"/>
              </w:rPr>
            </w:pPr>
            <w:r w:rsidRPr="00896512">
              <w:rPr>
                <w:color w:val="000000"/>
                <w:szCs w:val="24"/>
              </w:rPr>
              <w:t> </w:t>
            </w:r>
          </w:p>
        </w:tc>
        <w:tc>
          <w:tcPr>
            <w:tcW w:w="0" w:type="auto"/>
            <w:tcBorders>
              <w:top w:val="nil"/>
              <w:left w:val="nil"/>
              <w:bottom w:val="single" w:color="auto" w:sz="8" w:space="0"/>
              <w:right w:val="nil"/>
            </w:tcBorders>
            <w:noWrap/>
            <w:vAlign w:val="bottom"/>
            <w:hideMark/>
          </w:tcPr>
          <w:p w:rsidRPr="00896512" w:rsidR="00291127" w:rsidP="00D02B11" w:rsidRDefault="00291127" w14:paraId="5B07AD5A" w14:textId="77777777">
            <w:pPr>
              <w:rPr>
                <w:color w:val="000000"/>
                <w:szCs w:val="24"/>
              </w:rPr>
            </w:pPr>
            <w:r w:rsidRPr="00896512">
              <w:rPr>
                <w:color w:val="000000"/>
                <w:szCs w:val="24"/>
              </w:rPr>
              <w:t> </w:t>
            </w:r>
          </w:p>
        </w:tc>
        <w:tc>
          <w:tcPr>
            <w:tcW w:w="0" w:type="auto"/>
            <w:tcBorders>
              <w:top w:val="nil"/>
              <w:left w:val="nil"/>
              <w:bottom w:val="single" w:color="auto" w:sz="8" w:space="0"/>
              <w:right w:val="nil"/>
            </w:tcBorders>
            <w:noWrap/>
            <w:vAlign w:val="bottom"/>
            <w:hideMark/>
          </w:tcPr>
          <w:p w:rsidRPr="00896512" w:rsidR="00291127" w:rsidP="00D02B11" w:rsidRDefault="00291127" w14:paraId="50922CD6" w14:textId="77777777">
            <w:pPr>
              <w:rPr>
                <w:color w:val="000000"/>
                <w:szCs w:val="24"/>
              </w:rPr>
            </w:pPr>
            <w:r w:rsidRPr="00896512">
              <w:rPr>
                <w:color w:val="000000"/>
                <w:szCs w:val="24"/>
              </w:rPr>
              <w:t> </w:t>
            </w:r>
          </w:p>
        </w:tc>
        <w:tc>
          <w:tcPr>
            <w:tcW w:w="1415" w:type="dxa"/>
            <w:tcBorders>
              <w:top w:val="nil"/>
              <w:left w:val="nil"/>
              <w:bottom w:val="single" w:color="auto" w:sz="8" w:space="0"/>
              <w:right w:val="nil"/>
            </w:tcBorders>
          </w:tcPr>
          <w:p w:rsidRPr="00896512" w:rsidR="00291127" w:rsidP="00D02B11" w:rsidRDefault="00291127" w14:paraId="12CEF11A" w14:textId="77777777">
            <w:pPr>
              <w:rPr>
                <w:color w:val="000000"/>
                <w:szCs w:val="24"/>
              </w:rPr>
            </w:pPr>
          </w:p>
        </w:tc>
      </w:tr>
    </w:tbl>
    <w:p w:rsidR="00291127" w:rsidP="00291127" w:rsidRDefault="00291127" w14:paraId="415AE9FA" w14:textId="77777777">
      <w:pPr>
        <w:tabs>
          <w:tab w:val="left" w:pos="3106"/>
        </w:tabs>
        <w:rPr>
          <w:b/>
        </w:rPr>
      </w:pPr>
    </w:p>
    <w:p w:rsidR="00291127" w:rsidP="00291127" w:rsidRDefault="00291127" w14:paraId="57CEF343" w14:textId="77777777">
      <w:pPr>
        <w:rPr>
          <w:i/>
          <w:iCs/>
        </w:rPr>
      </w:pPr>
      <w:r>
        <w:rPr>
          <w:i/>
          <w:iCs/>
        </w:rPr>
        <w:t xml:space="preserve">Uitvoeringsgevolgen </w:t>
      </w:r>
    </w:p>
    <w:p w:rsidR="00291127" w:rsidP="00291127" w:rsidRDefault="00F86312" w14:paraId="39572A35" w14:textId="73F87218">
      <w:r>
        <w:t xml:space="preserve">De voorgestelde maatregel zorgt </w:t>
      </w:r>
      <w:r w:rsidR="00D22E71">
        <w:t xml:space="preserve">op termijn voor een structurele complexiteitsreductie in de uitvoering. Op korte termijn </w:t>
      </w:r>
      <w:r w:rsidR="00BC2D14">
        <w:t>zal de maatregel tot extra discussies leiden.</w:t>
      </w:r>
    </w:p>
    <w:p w:rsidRPr="00EA69AC" w:rsidR="00291127" w:rsidP="00291127" w:rsidRDefault="00291127" w14:paraId="5FFAF710" w14:textId="77777777"/>
    <w:p w:rsidR="00273C63" w:rsidRDefault="00F86312" w14:paraId="7D951ED0" w14:textId="1E5DAC7C">
      <w:r>
        <w:t>Maatoug</w:t>
      </w:r>
    </w:p>
    <w:p w:rsidR="00337B60" w:rsidRDefault="00337B60" w14:paraId="6210C049" w14:textId="63570E1B">
      <w:r>
        <w:t>Stultiens</w:t>
      </w:r>
    </w:p>
    <w:sectPr w:rsidR="00337B60" w:rsidSect="00291127">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865BC" w14:textId="77777777" w:rsidR="00E64060" w:rsidRDefault="00E64060" w:rsidP="00291127">
      <w:r>
        <w:separator/>
      </w:r>
    </w:p>
  </w:endnote>
  <w:endnote w:type="continuationSeparator" w:id="0">
    <w:p w14:paraId="6F93AEAC" w14:textId="77777777" w:rsidR="00E64060" w:rsidRDefault="00E64060" w:rsidP="00291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449D6" w14:textId="77777777" w:rsidR="00E64060" w:rsidRDefault="00E64060" w:rsidP="00291127">
      <w:r>
        <w:separator/>
      </w:r>
    </w:p>
  </w:footnote>
  <w:footnote w:type="continuationSeparator" w:id="0">
    <w:p w14:paraId="3F6FA31B" w14:textId="77777777" w:rsidR="00E64060" w:rsidRDefault="00E64060" w:rsidP="00291127">
      <w:r>
        <w:continuationSeparator/>
      </w:r>
    </w:p>
  </w:footnote>
  <w:footnote w:id="1">
    <w:p w14:paraId="22A6F0DD" w14:textId="77777777" w:rsidR="00291127" w:rsidRPr="00896512" w:rsidRDefault="00291127" w:rsidP="00291127">
      <w:pPr>
        <w:pStyle w:val="Voetnoottekst"/>
        <w:rPr>
          <w:sz w:val="20"/>
        </w:rPr>
      </w:pPr>
      <w:r w:rsidRPr="00896512">
        <w:rPr>
          <w:rStyle w:val="Voetnootmarkering"/>
          <w:sz w:val="20"/>
        </w:rPr>
        <w:footnoteRef/>
      </w:r>
      <w:r w:rsidRPr="00896512">
        <w:rPr>
          <w:sz w:val="20"/>
        </w:rPr>
        <w:t xml:space="preserve"> Zie </w:t>
      </w:r>
      <w:hyperlink r:id="rId1" w:history="1">
        <w:r w:rsidRPr="00896512">
          <w:rPr>
            <w:rStyle w:val="Hyperlink"/>
            <w:sz w:val="20"/>
          </w:rPr>
          <w:t>Gedragseffecten belastingmaatregelen (cpb.nl)</w:t>
        </w:r>
      </w:hyperlink>
      <w:r w:rsidRPr="00896512">
        <w:rPr>
          <w:sz w:val="20"/>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127"/>
    <w:rsid w:val="00052649"/>
    <w:rsid w:val="00072317"/>
    <w:rsid w:val="00273C63"/>
    <w:rsid w:val="00291127"/>
    <w:rsid w:val="002F059D"/>
    <w:rsid w:val="002F1EEB"/>
    <w:rsid w:val="0031452A"/>
    <w:rsid w:val="00337B60"/>
    <w:rsid w:val="005D0E68"/>
    <w:rsid w:val="005D613B"/>
    <w:rsid w:val="0071791B"/>
    <w:rsid w:val="00756F9F"/>
    <w:rsid w:val="00816F24"/>
    <w:rsid w:val="0094696C"/>
    <w:rsid w:val="00AC7AA7"/>
    <w:rsid w:val="00B2511B"/>
    <w:rsid w:val="00BC2D14"/>
    <w:rsid w:val="00BD3335"/>
    <w:rsid w:val="00D22E71"/>
    <w:rsid w:val="00D26643"/>
    <w:rsid w:val="00E64060"/>
    <w:rsid w:val="00F8631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701B1"/>
  <w15:chartTrackingRefBased/>
  <w15:docId w15:val="{1374C743-904E-3F49-87E8-44F00B433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91127"/>
    <w:pPr>
      <w:widowControl w:val="0"/>
      <w:spacing w:after="0" w:line="240" w:lineRule="auto"/>
    </w:pPr>
    <w:rPr>
      <w:rFonts w:ascii="Times New Roman" w:eastAsia="Times New Roman" w:hAnsi="Times New Roman" w:cs="Times New Roman"/>
      <w:kern w:val="0"/>
      <w:szCs w:val="20"/>
      <w:lang w:eastAsia="nl-NL"/>
      <w14:ligatures w14:val="none"/>
    </w:rPr>
  </w:style>
  <w:style w:type="paragraph" w:styleId="Kop1">
    <w:name w:val="heading 1"/>
    <w:basedOn w:val="Standaard"/>
    <w:next w:val="Standaard"/>
    <w:link w:val="Kop1Char"/>
    <w:uiPriority w:val="9"/>
    <w:qFormat/>
    <w:rsid w:val="00291127"/>
    <w:pPr>
      <w:keepNext/>
      <w:keepLines/>
      <w:widowControl/>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291127"/>
    <w:pPr>
      <w:keepNext/>
      <w:keepLines/>
      <w:widowControl/>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291127"/>
    <w:pPr>
      <w:keepNext/>
      <w:keepLines/>
      <w:widowControl/>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291127"/>
    <w:pPr>
      <w:keepNext/>
      <w:keepLines/>
      <w:widowControl/>
      <w:spacing w:before="80" w:after="40" w:line="278" w:lineRule="auto"/>
      <w:outlineLvl w:val="3"/>
    </w:pPr>
    <w:rPr>
      <w:rFonts w:asciiTheme="minorHAnsi" w:eastAsiaTheme="majorEastAsia" w:hAnsiTheme="minorHAnsi" w:cstheme="majorBidi"/>
      <w:i/>
      <w:iCs/>
      <w:color w:val="0F4761" w:themeColor="accent1" w:themeShade="BF"/>
      <w:kern w:val="2"/>
      <w:szCs w:val="24"/>
      <w:lang w:eastAsia="en-US"/>
      <w14:ligatures w14:val="standardContextual"/>
    </w:rPr>
  </w:style>
  <w:style w:type="paragraph" w:styleId="Kop5">
    <w:name w:val="heading 5"/>
    <w:basedOn w:val="Standaard"/>
    <w:next w:val="Standaard"/>
    <w:link w:val="Kop5Char"/>
    <w:uiPriority w:val="9"/>
    <w:semiHidden/>
    <w:unhideWhenUsed/>
    <w:qFormat/>
    <w:rsid w:val="00291127"/>
    <w:pPr>
      <w:keepNext/>
      <w:keepLines/>
      <w:widowControl/>
      <w:spacing w:before="80" w:after="40" w:line="278" w:lineRule="auto"/>
      <w:outlineLvl w:val="4"/>
    </w:pPr>
    <w:rPr>
      <w:rFonts w:asciiTheme="minorHAnsi" w:eastAsiaTheme="majorEastAsia" w:hAnsiTheme="minorHAnsi" w:cstheme="majorBidi"/>
      <w:color w:val="0F4761" w:themeColor="accent1" w:themeShade="BF"/>
      <w:kern w:val="2"/>
      <w:szCs w:val="24"/>
      <w:lang w:eastAsia="en-US"/>
      <w14:ligatures w14:val="standardContextual"/>
    </w:rPr>
  </w:style>
  <w:style w:type="paragraph" w:styleId="Kop6">
    <w:name w:val="heading 6"/>
    <w:basedOn w:val="Standaard"/>
    <w:next w:val="Standaard"/>
    <w:link w:val="Kop6Char"/>
    <w:uiPriority w:val="9"/>
    <w:semiHidden/>
    <w:unhideWhenUsed/>
    <w:qFormat/>
    <w:rsid w:val="00291127"/>
    <w:pPr>
      <w:keepNext/>
      <w:keepLines/>
      <w:widowControl/>
      <w:spacing w:before="40" w:line="278" w:lineRule="auto"/>
      <w:outlineLvl w:val="5"/>
    </w:pPr>
    <w:rPr>
      <w:rFonts w:asciiTheme="minorHAnsi" w:eastAsiaTheme="majorEastAsia" w:hAnsiTheme="minorHAnsi" w:cstheme="majorBidi"/>
      <w:i/>
      <w:iCs/>
      <w:color w:val="595959" w:themeColor="text1" w:themeTint="A6"/>
      <w:kern w:val="2"/>
      <w:szCs w:val="24"/>
      <w:lang w:eastAsia="en-US"/>
      <w14:ligatures w14:val="standardContextual"/>
    </w:rPr>
  </w:style>
  <w:style w:type="paragraph" w:styleId="Kop7">
    <w:name w:val="heading 7"/>
    <w:basedOn w:val="Standaard"/>
    <w:next w:val="Standaard"/>
    <w:link w:val="Kop7Char"/>
    <w:uiPriority w:val="9"/>
    <w:semiHidden/>
    <w:unhideWhenUsed/>
    <w:qFormat/>
    <w:rsid w:val="00291127"/>
    <w:pPr>
      <w:keepNext/>
      <w:keepLines/>
      <w:widowControl/>
      <w:spacing w:before="40" w:line="278" w:lineRule="auto"/>
      <w:outlineLvl w:val="6"/>
    </w:pPr>
    <w:rPr>
      <w:rFonts w:asciiTheme="minorHAnsi" w:eastAsiaTheme="majorEastAsia" w:hAnsiTheme="minorHAnsi" w:cstheme="majorBidi"/>
      <w:color w:val="595959" w:themeColor="text1" w:themeTint="A6"/>
      <w:kern w:val="2"/>
      <w:szCs w:val="24"/>
      <w:lang w:eastAsia="en-US"/>
      <w14:ligatures w14:val="standardContextual"/>
    </w:rPr>
  </w:style>
  <w:style w:type="paragraph" w:styleId="Kop8">
    <w:name w:val="heading 8"/>
    <w:basedOn w:val="Standaard"/>
    <w:next w:val="Standaard"/>
    <w:link w:val="Kop8Char"/>
    <w:uiPriority w:val="9"/>
    <w:semiHidden/>
    <w:unhideWhenUsed/>
    <w:qFormat/>
    <w:rsid w:val="00291127"/>
    <w:pPr>
      <w:keepNext/>
      <w:keepLines/>
      <w:widowControl/>
      <w:spacing w:line="278" w:lineRule="auto"/>
      <w:outlineLvl w:val="7"/>
    </w:pPr>
    <w:rPr>
      <w:rFonts w:asciiTheme="minorHAnsi" w:eastAsiaTheme="majorEastAsia" w:hAnsiTheme="minorHAnsi" w:cstheme="majorBidi"/>
      <w:i/>
      <w:iCs/>
      <w:color w:val="272727" w:themeColor="text1" w:themeTint="D8"/>
      <w:kern w:val="2"/>
      <w:szCs w:val="24"/>
      <w:lang w:eastAsia="en-US"/>
      <w14:ligatures w14:val="standardContextual"/>
    </w:rPr>
  </w:style>
  <w:style w:type="paragraph" w:styleId="Kop9">
    <w:name w:val="heading 9"/>
    <w:basedOn w:val="Standaard"/>
    <w:next w:val="Standaard"/>
    <w:link w:val="Kop9Char"/>
    <w:uiPriority w:val="9"/>
    <w:semiHidden/>
    <w:unhideWhenUsed/>
    <w:qFormat/>
    <w:rsid w:val="00291127"/>
    <w:pPr>
      <w:keepNext/>
      <w:keepLines/>
      <w:widowControl/>
      <w:spacing w:line="278" w:lineRule="auto"/>
      <w:outlineLvl w:val="8"/>
    </w:pPr>
    <w:rPr>
      <w:rFonts w:asciiTheme="minorHAnsi" w:eastAsiaTheme="majorEastAsia" w:hAnsiTheme="minorHAnsi" w:cstheme="majorBidi"/>
      <w:color w:val="272727" w:themeColor="text1" w:themeTint="D8"/>
      <w:kern w:val="2"/>
      <w:szCs w:val="24"/>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9112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9112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9112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9112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9112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9112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9112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9112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91127"/>
    <w:rPr>
      <w:rFonts w:eastAsiaTheme="majorEastAsia" w:cstheme="majorBidi"/>
      <w:color w:val="272727" w:themeColor="text1" w:themeTint="D8"/>
    </w:rPr>
  </w:style>
  <w:style w:type="paragraph" w:styleId="Titel">
    <w:name w:val="Title"/>
    <w:basedOn w:val="Standaard"/>
    <w:next w:val="Standaard"/>
    <w:link w:val="TitelChar"/>
    <w:uiPriority w:val="10"/>
    <w:qFormat/>
    <w:rsid w:val="00291127"/>
    <w:pPr>
      <w:widowControl/>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29112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91127"/>
    <w:pPr>
      <w:widowControl/>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29112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91127"/>
    <w:pPr>
      <w:widowControl/>
      <w:spacing w:before="160" w:after="160" w:line="278" w:lineRule="auto"/>
      <w:jc w:val="center"/>
    </w:pPr>
    <w:rPr>
      <w:rFonts w:asciiTheme="minorHAnsi" w:eastAsiaTheme="minorHAnsi" w:hAnsiTheme="minorHAnsi" w:cstheme="minorBidi"/>
      <w:i/>
      <w:iCs/>
      <w:color w:val="404040" w:themeColor="text1" w:themeTint="BF"/>
      <w:kern w:val="2"/>
      <w:szCs w:val="24"/>
      <w:lang w:eastAsia="en-US"/>
      <w14:ligatures w14:val="standardContextual"/>
    </w:rPr>
  </w:style>
  <w:style w:type="character" w:customStyle="1" w:styleId="CitaatChar">
    <w:name w:val="Citaat Char"/>
    <w:basedOn w:val="Standaardalinea-lettertype"/>
    <w:link w:val="Citaat"/>
    <w:uiPriority w:val="29"/>
    <w:rsid w:val="00291127"/>
    <w:rPr>
      <w:i/>
      <w:iCs/>
      <w:color w:val="404040" w:themeColor="text1" w:themeTint="BF"/>
    </w:rPr>
  </w:style>
  <w:style w:type="paragraph" w:styleId="Lijstalinea">
    <w:name w:val="List Paragraph"/>
    <w:basedOn w:val="Standaard"/>
    <w:uiPriority w:val="34"/>
    <w:qFormat/>
    <w:rsid w:val="00291127"/>
    <w:pPr>
      <w:widowControl/>
      <w:spacing w:after="160" w:line="278" w:lineRule="auto"/>
      <w:ind w:left="720"/>
      <w:contextualSpacing/>
    </w:pPr>
    <w:rPr>
      <w:rFonts w:asciiTheme="minorHAnsi" w:eastAsiaTheme="minorHAnsi" w:hAnsiTheme="minorHAnsi" w:cstheme="minorBidi"/>
      <w:kern w:val="2"/>
      <w:szCs w:val="24"/>
      <w:lang w:eastAsia="en-US"/>
      <w14:ligatures w14:val="standardContextual"/>
    </w:rPr>
  </w:style>
  <w:style w:type="character" w:styleId="Intensievebenadrukking">
    <w:name w:val="Intense Emphasis"/>
    <w:basedOn w:val="Standaardalinea-lettertype"/>
    <w:uiPriority w:val="21"/>
    <w:qFormat/>
    <w:rsid w:val="00291127"/>
    <w:rPr>
      <w:i/>
      <w:iCs/>
      <w:color w:val="0F4761" w:themeColor="accent1" w:themeShade="BF"/>
    </w:rPr>
  </w:style>
  <w:style w:type="paragraph" w:styleId="Duidelijkcitaat">
    <w:name w:val="Intense Quote"/>
    <w:basedOn w:val="Standaard"/>
    <w:next w:val="Standaard"/>
    <w:link w:val="DuidelijkcitaatChar"/>
    <w:uiPriority w:val="30"/>
    <w:qFormat/>
    <w:rsid w:val="00291127"/>
    <w:pPr>
      <w:widowControl/>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Cs w:val="24"/>
      <w:lang w:eastAsia="en-US"/>
      <w14:ligatures w14:val="standardContextual"/>
    </w:rPr>
  </w:style>
  <w:style w:type="character" w:customStyle="1" w:styleId="DuidelijkcitaatChar">
    <w:name w:val="Duidelijk citaat Char"/>
    <w:basedOn w:val="Standaardalinea-lettertype"/>
    <w:link w:val="Duidelijkcitaat"/>
    <w:uiPriority w:val="30"/>
    <w:rsid w:val="00291127"/>
    <w:rPr>
      <w:i/>
      <w:iCs/>
      <w:color w:val="0F4761" w:themeColor="accent1" w:themeShade="BF"/>
    </w:rPr>
  </w:style>
  <w:style w:type="character" w:styleId="Intensieveverwijzing">
    <w:name w:val="Intense Reference"/>
    <w:basedOn w:val="Standaardalinea-lettertype"/>
    <w:uiPriority w:val="32"/>
    <w:qFormat/>
    <w:rsid w:val="00291127"/>
    <w:rPr>
      <w:b/>
      <w:bCs/>
      <w:smallCaps/>
      <w:color w:val="0F4761" w:themeColor="accent1" w:themeShade="BF"/>
      <w:spacing w:val="5"/>
    </w:rPr>
  </w:style>
  <w:style w:type="paragraph" w:styleId="Voetnoottekst">
    <w:name w:val="footnote text"/>
    <w:basedOn w:val="Standaard"/>
    <w:link w:val="VoetnoottekstChar"/>
    <w:semiHidden/>
    <w:rsid w:val="00291127"/>
  </w:style>
  <w:style w:type="character" w:customStyle="1" w:styleId="VoetnoottekstChar">
    <w:name w:val="Voetnoottekst Char"/>
    <w:basedOn w:val="Standaardalinea-lettertype"/>
    <w:link w:val="Voetnoottekst"/>
    <w:semiHidden/>
    <w:rsid w:val="00291127"/>
    <w:rPr>
      <w:rFonts w:ascii="Times New Roman" w:eastAsia="Times New Roman" w:hAnsi="Times New Roman" w:cs="Times New Roman"/>
      <w:kern w:val="0"/>
      <w:szCs w:val="20"/>
      <w:lang w:eastAsia="nl-NL"/>
      <w14:ligatures w14:val="none"/>
    </w:rPr>
  </w:style>
  <w:style w:type="paragraph" w:customStyle="1" w:styleId="Amendement">
    <w:name w:val="Amendement"/>
    <w:rsid w:val="00291127"/>
    <w:pPr>
      <w:widowControl w:val="0"/>
      <w:tabs>
        <w:tab w:val="left" w:pos="3310"/>
        <w:tab w:val="left" w:pos="3600"/>
      </w:tabs>
      <w:suppressAutoHyphens/>
      <w:spacing w:after="0" w:line="240" w:lineRule="auto"/>
    </w:pPr>
    <w:rPr>
      <w:rFonts w:ascii="Courier New" w:eastAsia="Times New Roman" w:hAnsi="Courier New" w:cs="Times New Roman"/>
      <w:b/>
      <w:kern w:val="0"/>
      <w:szCs w:val="20"/>
      <w:lang w:eastAsia="nl-NL"/>
      <w14:ligatures w14:val="none"/>
    </w:rPr>
  </w:style>
  <w:style w:type="character" w:styleId="Hyperlink">
    <w:name w:val="Hyperlink"/>
    <w:basedOn w:val="Standaardalinea-lettertype"/>
    <w:uiPriority w:val="99"/>
    <w:semiHidden/>
    <w:unhideWhenUsed/>
    <w:rsid w:val="00291127"/>
    <w:rPr>
      <w:color w:val="0000FF"/>
      <w:u w:val="single"/>
    </w:rPr>
  </w:style>
  <w:style w:type="character" w:styleId="Voetnootmarkering">
    <w:name w:val="footnote reference"/>
    <w:basedOn w:val="Standaardalinea-lettertype"/>
    <w:semiHidden/>
    <w:unhideWhenUsed/>
    <w:rsid w:val="00291127"/>
    <w:rPr>
      <w:vertAlign w:val="superscript"/>
    </w:rPr>
  </w:style>
  <w:style w:type="paragraph" w:styleId="Revisie">
    <w:name w:val="Revision"/>
    <w:hidden/>
    <w:uiPriority w:val="99"/>
    <w:semiHidden/>
    <w:rsid w:val="00B2511B"/>
    <w:pPr>
      <w:spacing w:after="0" w:line="240" w:lineRule="auto"/>
    </w:pPr>
    <w:rPr>
      <w:rFonts w:ascii="Times New Roman" w:eastAsia="Times New Roman" w:hAnsi="Times New Roman" w:cs="Times New Roman"/>
      <w:kern w:val="0"/>
      <w:szCs w:val="2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notes" Target="footnotes.xml" Id="rId7"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theme" Target="theme/theme1.xml" Id="rId10" /><Relationship Type="http://schemas.openxmlformats.org/officeDocument/2006/relationships/styles" Target="styles.xml" Id="rId4" /><Relationship Type="http://schemas.openxmlformats.org/officeDocument/2006/relationships/fontTable" Target="fontTable.xml" Id="rId9" /></Relationships>
</file>

<file path=word/_rels/footnotes.xml.rels><?xml version="1.0" encoding="UTF-8" standalone="yes"?>
<Relationships xmlns="http://schemas.openxmlformats.org/package/2006/relationships"><Relationship Id="rId1" Type="http://schemas.openxmlformats.org/officeDocument/2006/relationships/hyperlink" Target="https://www.cpb.nl/sites/default/files/omnidownload/CPB-publicatie-gedragseffecten-belastingmaatregelen.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499</ap:Words>
  <ap:Characters>2748</ap:Characters>
  <ap:DocSecurity>0</ap:DocSecurity>
  <ap:Lines>22</ap:Lines>
  <ap:Paragraphs>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3241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2024-11-11T16:40:00.0000000Z</dcterms:created>
  <dcterms:modified xsi:type="dcterms:W3CDTF">2024-11-11T16:40:00.0000000Z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0x010100C3552AC4DBC9B14F92FEFEEFC193B25B</vt:lpwstr>
  </property>
</Properties>
</file>