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DE272F" w:rsidRDefault="00EE2A9D" w14:paraId="689B80B8" w14:textId="77777777">
          <w:pPr>
            <w:spacing w:line="240" w:lineRule="atLeast"/>
          </w:pPr>
        </w:p>
        <w:p w:rsidR="00241BB9" w:rsidP="00DE272F" w:rsidRDefault="00255639" w14:paraId="30A5F3E1" w14:textId="77777777">
          <w:pPr>
            <w:spacing w:line="240" w:lineRule="atLeast"/>
          </w:pPr>
        </w:p>
      </w:sdtContent>
    </w:sdt>
    <w:p w:rsidR="00CD5856" w:rsidP="00DE272F" w:rsidRDefault="00255639" w14:paraId="6989BAD4" w14:textId="77777777">
      <w:pPr>
        <w:spacing w:line="240" w:lineRule="atLeast"/>
      </w:pPr>
      <w:r>
        <w:tab/>
      </w:r>
    </w:p>
    <w:p w:rsidR="00EF2284" w:rsidP="00DE272F" w:rsidRDefault="00EF2284" w14:paraId="63D14AC7" w14:textId="77777777">
      <w:pPr>
        <w:spacing w:line="240" w:lineRule="atLeast"/>
      </w:pPr>
    </w:p>
    <w:p w:rsidR="00CD5856" w:rsidP="00DE272F" w:rsidRDefault="00CD5856" w14:paraId="6F2EA67B" w14:textId="77777777">
      <w:pPr>
        <w:spacing w:line="240" w:lineRule="atLeast"/>
      </w:pPr>
    </w:p>
    <w:p w:rsidR="00CD5856" w:rsidP="00DE272F" w:rsidRDefault="00CD5856" w14:paraId="6BB5B5FD" w14:textId="77777777">
      <w:pPr>
        <w:spacing w:line="240" w:lineRule="atLeast"/>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DE272F" w:rsidRDefault="00255639" w14:paraId="3513AE1C" w14:textId="77777777">
      <w:pPr>
        <w:pStyle w:val="Huisstijl-Aanhef"/>
        <w:spacing w:before="0" w:after="0" w:line="240" w:lineRule="atLeast"/>
      </w:pPr>
      <w:r>
        <w:t>Geachte voorzitter,</w:t>
      </w:r>
    </w:p>
    <w:p w:rsidR="005A1548" w:rsidP="00DE272F" w:rsidRDefault="005A1548" w14:paraId="4F0B441C" w14:textId="77777777">
      <w:pPr>
        <w:pStyle w:val="Huisstijl-Aanhef"/>
        <w:spacing w:before="0" w:after="0" w:line="240" w:lineRule="atLeast"/>
      </w:pPr>
    </w:p>
    <w:p w:rsidR="00877F86" w:rsidP="00DE272F" w:rsidRDefault="00255639" w14:paraId="7E40BB23" w14:textId="77777777">
      <w:pPr>
        <w:spacing w:line="240" w:lineRule="atLeast"/>
      </w:pPr>
      <w:r>
        <w:t>Met deze brief informeer ik uw Kamer dat de volgende geneesmiddelen voorlopig in de sluis blijven staan, omdat het Zorginstituut Nederland</w:t>
      </w:r>
      <w:r>
        <w:t xml:space="preserve"> (hierna: het Zorginstituut) negatief heeft geadviseerd over pakketopname van deze middelen. Deze middelen blijven daarmee uitgezonderd van het basispakket. Het gaat om:</w:t>
      </w:r>
    </w:p>
    <w:p w:rsidR="00877F86" w:rsidP="00DE272F" w:rsidRDefault="00255639" w14:paraId="14582D2C" w14:textId="77777777">
      <w:pPr>
        <w:pStyle w:val="Lijstalinea"/>
        <w:numPr>
          <w:ilvl w:val="0"/>
          <w:numId w:val="2"/>
        </w:numPr>
        <w:suppressAutoHyphens/>
        <w:spacing w:line="240" w:lineRule="atLeast"/>
      </w:pPr>
      <w:r w:rsidRPr="001A7EDA">
        <w:t>Relatlimab</w:t>
      </w:r>
      <w:r>
        <w:t>-n</w:t>
      </w:r>
      <w:r w:rsidRPr="001A7EDA">
        <w:t>ivolumab (</w:t>
      </w:r>
      <w:r>
        <w:t xml:space="preserve">merknaam: </w:t>
      </w:r>
      <w:r w:rsidRPr="001A7EDA">
        <w:t>Opdualag)</w:t>
      </w:r>
      <w:r>
        <w:t xml:space="preserve"> </w:t>
      </w:r>
      <w:bookmarkStart w:name="_Hlk177544446" w:id="0"/>
      <w:r>
        <w:t>voor de behandeling van melanoom, een type h</w:t>
      </w:r>
      <w:r>
        <w:t>uidkanker</w:t>
      </w:r>
      <w:bookmarkEnd w:id="0"/>
      <w:r>
        <w:t>;</w:t>
      </w:r>
      <w:r>
        <w:tab/>
      </w:r>
      <w:r w:rsidRPr="001A7EDA">
        <w:t xml:space="preserve"> </w:t>
      </w:r>
    </w:p>
    <w:p w:rsidR="00877F86" w:rsidP="00DE272F" w:rsidRDefault="00255639" w14:paraId="15C9A36A" w14:textId="77777777">
      <w:pPr>
        <w:pStyle w:val="Lijstalinea"/>
        <w:numPr>
          <w:ilvl w:val="0"/>
          <w:numId w:val="2"/>
        </w:numPr>
        <w:suppressAutoHyphens/>
        <w:spacing w:line="240" w:lineRule="atLeast"/>
      </w:pPr>
      <w:bookmarkStart w:name="_Hlk177126742" w:id="1"/>
      <w:r>
        <w:t>G</w:t>
      </w:r>
      <w:r w:rsidRPr="001A7EDA">
        <w:t>lofitama</w:t>
      </w:r>
      <w:r>
        <w:t>b</w:t>
      </w:r>
      <w:r w:rsidRPr="001A7EDA">
        <w:t xml:space="preserve"> </w:t>
      </w:r>
      <w:bookmarkEnd w:id="1"/>
      <w:r w:rsidRPr="001A7EDA">
        <w:t>(</w:t>
      </w:r>
      <w:r>
        <w:t xml:space="preserve">merknaam: </w:t>
      </w:r>
      <w:r w:rsidRPr="001A7EDA">
        <w:t>Columvi)</w:t>
      </w:r>
      <w:r>
        <w:t xml:space="preserve"> </w:t>
      </w:r>
      <w:bookmarkStart w:name="_Hlk177544492" w:id="2"/>
      <w:r>
        <w:t>voor de behandeling van DLBCL, een vorm van lymfklierkanker</w:t>
      </w:r>
      <w:bookmarkEnd w:id="2"/>
      <w:r>
        <w:t xml:space="preserve">; </w:t>
      </w:r>
    </w:p>
    <w:p w:rsidR="00877F86" w:rsidP="00DE272F" w:rsidRDefault="00255639" w14:paraId="738ED659" w14:textId="77777777">
      <w:pPr>
        <w:pStyle w:val="Lijstalinea"/>
        <w:numPr>
          <w:ilvl w:val="0"/>
          <w:numId w:val="2"/>
        </w:numPr>
        <w:suppressAutoHyphens/>
        <w:spacing w:line="240" w:lineRule="atLeast"/>
      </w:pPr>
      <w:bookmarkStart w:name="_Hlk177123088" w:id="3"/>
      <w:r>
        <w:t>L</w:t>
      </w:r>
      <w:r w:rsidRPr="001A7EDA">
        <w:t xml:space="preserve">oncastuximab tesirine </w:t>
      </w:r>
      <w:bookmarkEnd w:id="3"/>
      <w:r w:rsidRPr="001A7EDA">
        <w:t>(</w:t>
      </w:r>
      <w:r>
        <w:t xml:space="preserve">merknaam: </w:t>
      </w:r>
      <w:r w:rsidRPr="001A7EDA">
        <w:t>Zylonta)</w:t>
      </w:r>
      <w:r>
        <w:t xml:space="preserve"> voor </w:t>
      </w:r>
      <w:bookmarkStart w:name="_Hlk177544546" w:id="4"/>
      <w:r>
        <w:t xml:space="preserve">de behandeling van een </w:t>
      </w:r>
      <w:bookmarkStart w:name="_Hlk177387240" w:id="5"/>
      <w:r>
        <w:t>DLBCL en HGBL</w:t>
      </w:r>
      <w:bookmarkEnd w:id="5"/>
      <w:r>
        <w:t>, vormen van lymfklierkanker</w:t>
      </w:r>
      <w:bookmarkEnd w:id="4"/>
      <w:r>
        <w:t>;</w:t>
      </w:r>
    </w:p>
    <w:p w:rsidR="00877F86" w:rsidP="00DE272F" w:rsidRDefault="00255639" w14:paraId="49C2010D" w14:textId="77777777">
      <w:pPr>
        <w:pStyle w:val="Lijstalinea"/>
        <w:numPr>
          <w:ilvl w:val="0"/>
          <w:numId w:val="2"/>
        </w:numPr>
        <w:suppressAutoHyphens/>
        <w:spacing w:line="240" w:lineRule="atLeast"/>
      </w:pPr>
      <w:bookmarkStart w:name="_Hlk177123274" w:id="6"/>
      <w:r>
        <w:t>N</w:t>
      </w:r>
      <w:r w:rsidRPr="001A7EDA">
        <w:t xml:space="preserve">iraparib-abirateron </w:t>
      </w:r>
      <w:bookmarkEnd w:id="6"/>
      <w:r w:rsidRPr="001A7EDA">
        <w:t>(</w:t>
      </w:r>
      <w:r>
        <w:t xml:space="preserve">merknaam: </w:t>
      </w:r>
      <w:r w:rsidRPr="001A7EDA">
        <w:t>Akee</w:t>
      </w:r>
      <w:r w:rsidRPr="001A7EDA">
        <w:t>ga)</w:t>
      </w:r>
      <w:r>
        <w:t xml:space="preserve"> voor </w:t>
      </w:r>
      <w:bookmarkStart w:name="_Hlk177544586" w:id="7"/>
      <w:r>
        <w:t>de behandeling van uitgezaaide prostaatkanker</w:t>
      </w:r>
      <w:bookmarkEnd w:id="7"/>
      <w:r>
        <w:t>;</w:t>
      </w:r>
    </w:p>
    <w:p w:rsidR="00877F86" w:rsidP="00DE272F" w:rsidRDefault="00255639" w14:paraId="32AF3F24" w14:textId="77777777">
      <w:pPr>
        <w:pStyle w:val="Lijstalinea"/>
        <w:numPr>
          <w:ilvl w:val="0"/>
          <w:numId w:val="2"/>
        </w:numPr>
        <w:suppressAutoHyphens/>
        <w:spacing w:line="240" w:lineRule="atLeast"/>
      </w:pPr>
      <w:r>
        <w:t>Olaparib (merknaam: Lynparza) voor de behandeling van uitgezaaide prostaatkanker;</w:t>
      </w:r>
    </w:p>
    <w:p w:rsidR="00877F86" w:rsidP="00DE272F" w:rsidRDefault="00255639" w14:paraId="081625BE" w14:textId="77777777">
      <w:pPr>
        <w:pStyle w:val="Lijstalinea"/>
        <w:numPr>
          <w:ilvl w:val="0"/>
          <w:numId w:val="2"/>
        </w:numPr>
        <w:suppressAutoHyphens/>
        <w:spacing w:line="240" w:lineRule="atLeast"/>
      </w:pPr>
      <w:r>
        <w:t>T</w:t>
      </w:r>
      <w:r w:rsidRPr="001A7EDA">
        <w:t>eclistamab</w:t>
      </w:r>
      <w:r>
        <w:t xml:space="preserve"> (merknaam: </w:t>
      </w:r>
      <w:r w:rsidRPr="001A7EDA">
        <w:t>Tecvayli</w:t>
      </w:r>
      <w:r>
        <w:t xml:space="preserve">) </w:t>
      </w:r>
      <w:bookmarkStart w:name="_Hlk177544632" w:id="8"/>
      <w:r>
        <w:t>voor de behandeling van m</w:t>
      </w:r>
      <w:r w:rsidRPr="00C826A6">
        <w:t>ultipel myeloom (MM), ook wel bekend als de ziekte van Kahle</w:t>
      </w:r>
      <w:r w:rsidRPr="00C826A6">
        <w:t>r</w:t>
      </w:r>
      <w:bookmarkEnd w:id="8"/>
      <w:r>
        <w:t>.</w:t>
      </w:r>
    </w:p>
    <w:p w:rsidR="00EF2284" w:rsidP="00DE272F" w:rsidRDefault="00EF2284" w14:paraId="54B29F72" w14:textId="77777777">
      <w:pPr>
        <w:spacing w:line="240" w:lineRule="atLeast"/>
      </w:pPr>
    </w:p>
    <w:p w:rsidR="005A1548" w:rsidP="00DE272F" w:rsidRDefault="00255639" w14:paraId="639BC5CF" w14:textId="77777777">
      <w:pPr>
        <w:spacing w:line="240" w:lineRule="atLeast"/>
      </w:pPr>
      <w:proofErr w:type="spellStart"/>
      <w:r>
        <w:t>R</w:t>
      </w:r>
      <w:r w:rsidRPr="001A7EDA">
        <w:t>elatlimab</w:t>
      </w:r>
      <w:r>
        <w:t>-n</w:t>
      </w:r>
      <w:r w:rsidRPr="001A7EDA">
        <w:t>ivolumab</w:t>
      </w:r>
      <w:proofErr w:type="spellEnd"/>
      <w:r>
        <w:t xml:space="preserve">, </w:t>
      </w:r>
      <w:proofErr w:type="spellStart"/>
      <w:r>
        <w:t>g</w:t>
      </w:r>
      <w:r w:rsidRPr="001A7EDA">
        <w:t>lofitama</w:t>
      </w:r>
      <w:r>
        <w:t>b</w:t>
      </w:r>
      <w:proofErr w:type="spellEnd"/>
      <w:r>
        <w:t xml:space="preserve">, </w:t>
      </w:r>
      <w:proofErr w:type="spellStart"/>
      <w:r>
        <w:t>l</w:t>
      </w:r>
      <w:r w:rsidRPr="001A7EDA">
        <w:t>oncastuximab</w:t>
      </w:r>
      <w:proofErr w:type="spellEnd"/>
      <w:r w:rsidRPr="001A7EDA">
        <w:t xml:space="preserve"> </w:t>
      </w:r>
      <w:proofErr w:type="spellStart"/>
      <w:r w:rsidRPr="001A7EDA">
        <w:t>tesirine</w:t>
      </w:r>
      <w:proofErr w:type="spellEnd"/>
      <w:r>
        <w:t>, n</w:t>
      </w:r>
      <w:r w:rsidRPr="001A7EDA">
        <w:t>iraparib-abirateron</w:t>
      </w:r>
      <w:r>
        <w:t>, o</w:t>
      </w:r>
      <w:r w:rsidRPr="004F0FFB">
        <w:t>laparib</w:t>
      </w:r>
      <w:r>
        <w:t xml:space="preserve"> en teclistamab zijn – als onderdeel van de sluisprocedure – beoordeeld door het Zorginstituut.</w:t>
      </w:r>
      <w:r>
        <w:rPr>
          <w:rStyle w:val="Voetnootmarkering"/>
        </w:rPr>
        <w:footnoteReference w:id="1"/>
      </w:r>
      <w:r>
        <w:t xml:space="preserve"> Uit de beoordeling door het Zorginstituut blijkt dat de effectiviteit van </w:t>
      </w:r>
      <w:r w:rsidRPr="001A7EDA">
        <w:t>relatlimab</w:t>
      </w:r>
      <w:r>
        <w:t>-n</w:t>
      </w:r>
      <w:r w:rsidRPr="001A7EDA">
        <w:t>ivolumab</w:t>
      </w:r>
      <w:r>
        <w:t>, g</w:t>
      </w:r>
      <w:r w:rsidRPr="001A7EDA">
        <w:t>lofitama</w:t>
      </w:r>
      <w:r>
        <w:t>b, l</w:t>
      </w:r>
      <w:r w:rsidRPr="001A7EDA">
        <w:t>oncastuximab tesirine</w:t>
      </w:r>
      <w:r>
        <w:t>, n</w:t>
      </w:r>
      <w:r w:rsidRPr="001A7EDA">
        <w:t>iraparib-abirateron</w:t>
      </w:r>
      <w:r>
        <w:t xml:space="preserve"> en o</w:t>
      </w:r>
      <w:r w:rsidRPr="004F0FFB">
        <w:t>l</w:t>
      </w:r>
      <w:r w:rsidRPr="004F0FFB">
        <w:t>aparib</w:t>
      </w:r>
      <w:r>
        <w:t xml:space="preserve"> niet is bewezen en dat deze middelen niet voldoen aan de </w:t>
      </w:r>
      <w:r w:rsidRPr="00336B4B">
        <w:t>het</w:t>
      </w:r>
      <w:r>
        <w:t xml:space="preserve"> </w:t>
      </w:r>
      <w:r w:rsidRPr="00336B4B">
        <w:t>wettelijke criterium ‘stand van de wetenschap en praktijk’</w:t>
      </w:r>
      <w:r>
        <w:t>.</w:t>
      </w:r>
      <w:r>
        <w:rPr>
          <w:rStyle w:val="Voetnootmarkering"/>
        </w:rPr>
        <w:footnoteReference w:id="2"/>
      </w:r>
      <w:r>
        <w:t xml:space="preserve"> </w:t>
      </w:r>
    </w:p>
    <w:p w:rsidR="00DE272F" w:rsidP="00DE272F" w:rsidRDefault="00DE272F" w14:paraId="6A007787" w14:textId="77777777">
      <w:pPr>
        <w:spacing w:line="240" w:lineRule="atLeast"/>
      </w:pPr>
    </w:p>
    <w:p w:rsidR="00877F86" w:rsidP="00DE272F" w:rsidRDefault="00255639" w14:paraId="2EF67460" w14:textId="77777777">
      <w:pPr>
        <w:spacing w:line="240" w:lineRule="atLeast"/>
      </w:pPr>
      <w:r>
        <w:lastRenderedPageBreak/>
        <w:t xml:space="preserve">Dat betekent dat deze middelen op basis van het bewijs geen therapeutische meerwaarde of gelijke waarde hebben ten opzichte </w:t>
      </w:r>
      <w:r>
        <w:t>van de standaardbehandeling.</w:t>
      </w:r>
      <w:r>
        <w:rPr>
          <w:rStyle w:val="Voetnootmarkering"/>
        </w:rPr>
        <w:footnoteReference w:id="3"/>
      </w:r>
      <w:r>
        <w:t xml:space="preserve"> Voor o</w:t>
      </w:r>
      <w:r w:rsidRPr="004F0FFB">
        <w:t>laparib</w:t>
      </w:r>
      <w:r>
        <w:t xml:space="preserve"> geldt daarbij dat de leverancier niet is meegegaan in het advies van </w:t>
      </w:r>
      <w:r w:rsidR="00715486">
        <w:t>het</w:t>
      </w:r>
      <w:r>
        <w:t xml:space="preserve"> EMA (</w:t>
      </w:r>
      <w:r w:rsidRPr="00715486">
        <w:rPr>
          <w:i/>
          <w:iCs/>
        </w:rPr>
        <w:t>European Medicines Agency</w:t>
      </w:r>
      <w:r>
        <w:t xml:space="preserve">) over de studieopzet. Mede hierdoor is niet aangetoond dat dit geneesmiddel voldoet aan de </w:t>
      </w:r>
      <w:r w:rsidR="00E82481">
        <w:t>‘</w:t>
      </w:r>
      <w:r>
        <w:t>stand van weten</w:t>
      </w:r>
      <w:r>
        <w:t>schap en praktijk</w:t>
      </w:r>
      <w:r w:rsidR="00E82481">
        <w:t>’</w:t>
      </w:r>
      <w:r>
        <w:t>.</w:t>
      </w:r>
    </w:p>
    <w:p w:rsidR="00877F86" w:rsidP="00DE272F" w:rsidRDefault="00877F86" w14:paraId="3FDB43CB" w14:textId="77777777">
      <w:pPr>
        <w:spacing w:line="240" w:lineRule="atLeast"/>
      </w:pPr>
    </w:p>
    <w:p w:rsidR="00877F86" w:rsidP="00DE272F" w:rsidRDefault="00255639" w14:paraId="59C49012" w14:textId="77777777">
      <w:pPr>
        <w:spacing w:line="240" w:lineRule="atLeast"/>
      </w:pPr>
      <w:r>
        <w:t>Voor t</w:t>
      </w:r>
      <w:r w:rsidRPr="001A7EDA">
        <w:t>eclistamab</w:t>
      </w:r>
      <w:r>
        <w:t xml:space="preserve"> geldt dat wel wordt voldaan aan de </w:t>
      </w:r>
      <w:r w:rsidRPr="00336B4B">
        <w:t>het</w:t>
      </w:r>
      <w:r>
        <w:t xml:space="preserve"> </w:t>
      </w:r>
      <w:r w:rsidRPr="00336B4B">
        <w:t>wettelijke criterium</w:t>
      </w:r>
      <w:r>
        <w:t xml:space="preserve">  ‘stand van de wetenschap en praktijk’, maar dat de </w:t>
      </w:r>
      <w:r w:rsidRPr="00336B4B">
        <w:t xml:space="preserve">kosteneffectiviteitsanalyse </w:t>
      </w:r>
      <w:r w:rsidR="00715486">
        <w:t xml:space="preserve">van </w:t>
      </w:r>
      <w:r w:rsidRPr="00336B4B">
        <w:t xml:space="preserve">de </w:t>
      </w:r>
      <w:r>
        <w:t>leverancier</w:t>
      </w:r>
      <w:r w:rsidRPr="00336B4B">
        <w:t xml:space="preserve"> </w:t>
      </w:r>
      <w:r>
        <w:t>van onvoldoende kwaliteit is. Het Zorginstituut kan daardoo</w:t>
      </w:r>
      <w:r>
        <w:t xml:space="preserve">r </w:t>
      </w:r>
      <w:r w:rsidRPr="008B7F68">
        <w:t>geen uitspraak doen over de</w:t>
      </w:r>
      <w:r>
        <w:t xml:space="preserve"> </w:t>
      </w:r>
      <w:r w:rsidRPr="008B7F68">
        <w:t>kosteneffectiviteit en geen advies geven ten behoeve van eventuele</w:t>
      </w:r>
      <w:r>
        <w:t xml:space="preserve"> </w:t>
      </w:r>
      <w:r w:rsidRPr="008B7F68">
        <w:t>prijsonderhandelingen.</w:t>
      </w:r>
      <w:r>
        <w:t xml:space="preserve"> Het Zorginstituut adviseert mij daarom om deze geneesmiddelen (nu) niet op te nemen in het basispakket, en dat advies volg ik.</w:t>
      </w:r>
    </w:p>
    <w:p w:rsidR="00877F86" w:rsidP="00DE272F" w:rsidRDefault="00877F86" w14:paraId="64D7EDC2" w14:textId="77777777">
      <w:pPr>
        <w:tabs>
          <w:tab w:val="left" w:pos="5540"/>
        </w:tabs>
        <w:spacing w:line="240" w:lineRule="atLeast"/>
      </w:pPr>
    </w:p>
    <w:p w:rsidR="00877F86" w:rsidP="00DE272F" w:rsidRDefault="00255639" w14:paraId="4AC928E8" w14:textId="77777777">
      <w:pPr>
        <w:tabs>
          <w:tab w:val="left" w:pos="5540"/>
        </w:tabs>
        <w:spacing w:line="240" w:lineRule="atLeast"/>
      </w:pPr>
      <w:r>
        <w:t xml:space="preserve">Dit betekent dat patiënten voorlopig aangewezen zullen blijven op de standaardbehandeling. Ik begrijp dat dit een teleurstellend bericht kan zijn voor patiënten, als zij hun hoop op één van deze middelen hadden gevestigd. Ik vind het echter belangrijk dat </w:t>
      </w:r>
      <w:r>
        <w:t xml:space="preserve">we alleen zorg vergoeden die tenminste net zo effectief is als de standaardbehandeling. </w:t>
      </w:r>
    </w:p>
    <w:p w:rsidR="00877F86" w:rsidP="00DE272F" w:rsidRDefault="00877F86" w14:paraId="223328AC" w14:textId="77777777">
      <w:pPr>
        <w:tabs>
          <w:tab w:val="left" w:pos="5540"/>
        </w:tabs>
        <w:spacing w:line="240" w:lineRule="atLeast"/>
      </w:pPr>
    </w:p>
    <w:p w:rsidR="00877F86" w:rsidP="00DE272F" w:rsidRDefault="00255639" w14:paraId="1FAC008A" w14:textId="77777777">
      <w:pPr>
        <w:tabs>
          <w:tab w:val="left" w:pos="5540"/>
        </w:tabs>
        <w:spacing w:line="240" w:lineRule="atLeast"/>
      </w:pPr>
      <w:r>
        <w:t>Opgeteld bij twee eerdere middelen waar dit voor geldt</w:t>
      </w:r>
      <w:r>
        <w:rPr>
          <w:rStyle w:val="Voetnootmarkering"/>
        </w:rPr>
        <w:footnoteReference w:id="4"/>
      </w:r>
      <w:r>
        <w:t>, zijn er nu zeven sluisgeneesmiddelen waarvan het Zorginstituut heeft geconcludeerd dat deze niet voldoen aan</w:t>
      </w:r>
      <w:r>
        <w:t xml:space="preserve"> de </w:t>
      </w:r>
      <w:r w:rsidR="00715486">
        <w:t>‘</w:t>
      </w:r>
      <w:r>
        <w:t>stand van wetenschap en praktijk</w:t>
      </w:r>
      <w:r w:rsidR="00715486">
        <w:t>’</w:t>
      </w:r>
      <w:r>
        <w:t xml:space="preserve">. Voor al deze geneesmiddelen geldt dat deze in de sluis blijven staan, tenzij de leverancier aanvullende of nieuwe informatie heeft ingediend en het Zorginstituut tot een positief advies kan komen. Wanneer middelen lang in de sluis staan, kan dat dus ook </w:t>
      </w:r>
      <w:r>
        <w:t xml:space="preserve">komen doordat zij simpelweg niet effectief zijn. Dat lijkt me een belangrijke nuancering in de discussie over de doorlooptijden van de sluis. </w:t>
      </w:r>
    </w:p>
    <w:p w:rsidR="00877F86" w:rsidP="00DE272F" w:rsidRDefault="00877F86" w14:paraId="249D6E80" w14:textId="77777777">
      <w:pPr>
        <w:tabs>
          <w:tab w:val="left" w:pos="5540"/>
        </w:tabs>
        <w:spacing w:line="240" w:lineRule="atLeast"/>
      </w:pPr>
    </w:p>
    <w:p w:rsidR="00715486" w:rsidP="00DE272F" w:rsidRDefault="00255639" w14:paraId="46A4D919" w14:textId="77777777">
      <w:pPr>
        <w:tabs>
          <w:tab w:val="left" w:pos="5540"/>
        </w:tabs>
        <w:spacing w:line="240" w:lineRule="atLeast"/>
      </w:pPr>
      <w:r>
        <w:t xml:space="preserve">Ik wijs er in dit licht ook op dat er momenteel geneesmiddelen in de sluis zitten, </w:t>
      </w:r>
      <w:r w:rsidRPr="00F049EF">
        <w:t>waar</w:t>
      </w:r>
      <w:r>
        <w:t xml:space="preserve">van </w:t>
      </w:r>
      <w:r w:rsidRPr="00F049EF">
        <w:t>de doorlooptijd in he</w:t>
      </w:r>
      <w:r w:rsidRPr="00F049EF">
        <w:t xml:space="preserve">t voortraject al </w:t>
      </w:r>
      <w:r>
        <w:t xml:space="preserve">lange tijd </w:t>
      </w:r>
      <w:r w:rsidRPr="00F049EF">
        <w:t>oploopt</w:t>
      </w:r>
      <w:r>
        <w:t>, omdat de leverancier überhaupt geen dossier aanlevert bij het Zorginstituut. Dit geldt voor tenminste acht middelen. Voor deze acht middelen is gedurende een periode van drie jaar of langer tot op heden geen dossier ing</w:t>
      </w:r>
      <w:r>
        <w:t xml:space="preserve">ediend bij het Zorginstituut. </w:t>
      </w:r>
      <w:r w:rsidRPr="00F049EF">
        <w:t>Dit is zichtbaar in het Dashboard doorlooptijden geneesmiddelen.</w:t>
      </w:r>
      <w:r>
        <w:rPr>
          <w:rStyle w:val="Voetnootmarkering"/>
        </w:rPr>
        <w:footnoteReference w:id="5"/>
      </w:r>
    </w:p>
    <w:p w:rsidR="00E82481" w:rsidP="00DE272F" w:rsidRDefault="00E82481" w14:paraId="3D29818E" w14:textId="77777777">
      <w:pPr>
        <w:tabs>
          <w:tab w:val="left" w:pos="5540"/>
        </w:tabs>
        <w:spacing w:line="240" w:lineRule="atLeast"/>
      </w:pPr>
    </w:p>
    <w:p w:rsidR="00EF2284" w:rsidP="00DE272F" w:rsidRDefault="00255639" w14:paraId="7C5BE685" w14:textId="77777777">
      <w:pPr>
        <w:spacing w:line="240" w:lineRule="atLeast"/>
      </w:pPr>
      <w:r>
        <w:t>Voor t</w:t>
      </w:r>
      <w:r w:rsidRPr="00BA1C0B">
        <w:t>eclistamab</w:t>
      </w:r>
      <w:r>
        <w:t xml:space="preserve"> geldt ook dat de sluis wordt gecontinueerd</w:t>
      </w:r>
      <w:r w:rsidR="00E82481">
        <w:t>,</w:t>
      </w:r>
      <w:r>
        <w:t xml:space="preserve"> omdat geen uitspraak gedaan kan worden over kosteneffectiviteit van het middel en het wel </w:t>
      </w:r>
    </w:p>
    <w:p w:rsidR="00715486" w:rsidP="00DE272F" w:rsidRDefault="00255639" w14:paraId="6CA77686" w14:textId="77777777">
      <w:pPr>
        <w:spacing w:line="240" w:lineRule="atLeast"/>
      </w:pPr>
      <w:r>
        <w:t>een mi</w:t>
      </w:r>
      <w:r>
        <w:t xml:space="preserve">ddel is met een hoog financieel risico. </w:t>
      </w:r>
    </w:p>
    <w:p w:rsidR="00715486" w:rsidP="00DE272F" w:rsidRDefault="00715486" w14:paraId="6F7AD668" w14:textId="77777777">
      <w:pPr>
        <w:spacing w:line="240" w:lineRule="atLeast"/>
      </w:pPr>
    </w:p>
    <w:p w:rsidR="00DE272F" w:rsidP="00DE272F" w:rsidRDefault="00DE272F" w14:paraId="56804AFE" w14:textId="77777777">
      <w:pPr>
        <w:spacing w:line="240" w:lineRule="atLeast"/>
      </w:pPr>
    </w:p>
    <w:p w:rsidR="00D2647F" w:rsidP="00DE272F" w:rsidRDefault="00255639" w14:paraId="12C9CBD1" w14:textId="77777777">
      <w:pPr>
        <w:spacing w:line="240" w:lineRule="atLeast"/>
      </w:pPr>
      <w:r>
        <w:lastRenderedPageBreak/>
        <w:t>Indien leveranciers nieuwe data kunnen aanleveren,</w:t>
      </w:r>
      <w:r w:rsidRPr="00947502">
        <w:t xml:space="preserve"> </w:t>
      </w:r>
      <w:r>
        <w:t xml:space="preserve">is een herbeoordeling </w:t>
      </w:r>
      <w:r w:rsidRPr="00947502">
        <w:t>altijd mogelijk</w:t>
      </w:r>
      <w:r>
        <w:t>.</w:t>
      </w:r>
    </w:p>
    <w:p w:rsidR="00DE272F" w:rsidP="00DE272F" w:rsidRDefault="00DE272F" w14:paraId="629CC6B9" w14:textId="77777777">
      <w:pPr>
        <w:pStyle w:val="Huisstijl-Slotzin"/>
        <w:contextualSpacing/>
      </w:pPr>
      <w:bookmarkStart w:name="_Hlk168993446" w:id="10"/>
      <w:bookmarkStart w:name="_Hlk155879847" w:id="11"/>
      <w:r>
        <w:t>Hoogachtend,</w:t>
      </w:r>
    </w:p>
    <w:p w:rsidR="00DE272F" w:rsidP="00DE272F" w:rsidRDefault="00DE272F" w14:paraId="33809115" w14:textId="77777777">
      <w:pPr>
        <w:pStyle w:val="Huisstijl-Ondertekeningvervolg"/>
        <w:contextualSpacing/>
        <w:rPr>
          <w:i w:val="0"/>
          <w:iCs/>
        </w:rPr>
      </w:pPr>
    </w:p>
    <w:p w:rsidR="00DE272F" w:rsidP="00DE272F" w:rsidRDefault="00DE272F" w14:paraId="664A9F5A"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DE272F" w:rsidP="00DE272F" w:rsidRDefault="00DE272F" w14:paraId="57D03FE6" w14:textId="77777777">
      <w:pPr>
        <w:pStyle w:val="Huisstijl-Ondertekeningvervolg"/>
        <w:rPr>
          <w:i w:val="0"/>
          <w:iCs/>
        </w:rPr>
      </w:pPr>
      <w:r w:rsidRPr="00313F54">
        <w:rPr>
          <w:i w:val="0"/>
          <w:iCs/>
        </w:rPr>
        <w:t>Welzijn en Sport,</w:t>
      </w:r>
    </w:p>
    <w:p w:rsidRPr="00691361" w:rsidR="00DE272F" w:rsidP="00DE272F" w:rsidRDefault="00DE272F" w14:paraId="6B302C39" w14:textId="77777777">
      <w:pPr>
        <w:pStyle w:val="Huisstijl-Ondertekening"/>
      </w:pPr>
    </w:p>
    <w:p w:rsidRPr="00691361" w:rsidR="00DE272F" w:rsidP="00DE272F" w:rsidRDefault="00DE272F" w14:paraId="321D8676" w14:textId="77777777">
      <w:pPr>
        <w:pStyle w:val="Huisstijl-Ondertekeningvervolg"/>
        <w:rPr>
          <w:i w:val="0"/>
        </w:rPr>
      </w:pPr>
    </w:p>
    <w:p w:rsidRPr="00691361" w:rsidR="00DE272F" w:rsidP="00DE272F" w:rsidRDefault="00DE272F" w14:paraId="31BC2B2B" w14:textId="77777777">
      <w:pPr>
        <w:pStyle w:val="Huisstijl-Ondertekeningvervolg"/>
        <w:rPr>
          <w:i w:val="0"/>
        </w:rPr>
      </w:pPr>
    </w:p>
    <w:p w:rsidRPr="00691361" w:rsidR="00DE272F" w:rsidP="00DE272F" w:rsidRDefault="00DE272F" w14:paraId="1AD0E358" w14:textId="77777777">
      <w:pPr>
        <w:pStyle w:val="Huisstijl-Ondertekeningvervolg"/>
        <w:rPr>
          <w:i w:val="0"/>
        </w:rPr>
      </w:pPr>
    </w:p>
    <w:p w:rsidRPr="00691361" w:rsidR="00DE272F" w:rsidP="00DE272F" w:rsidRDefault="00DE272F" w14:paraId="5AAE6ED3" w14:textId="77777777">
      <w:pPr>
        <w:pStyle w:val="Huisstijl-Ondertekeningvervolg"/>
        <w:rPr>
          <w:i w:val="0"/>
          <w:u w:val="single"/>
        </w:rPr>
      </w:pPr>
    </w:p>
    <w:p w:rsidRPr="00691361" w:rsidR="00DE272F" w:rsidP="00DE272F" w:rsidRDefault="00DE272F" w14:paraId="70DE75E8" w14:textId="77777777">
      <w:pPr>
        <w:pStyle w:val="Huisstijl-Ondertekeningvervolg"/>
        <w:rPr>
          <w:i w:val="0"/>
        </w:rPr>
      </w:pPr>
    </w:p>
    <w:bookmarkEnd w:id="10"/>
    <w:p w:rsidRPr="00DE17B0" w:rsidR="00DE272F" w:rsidP="00DE272F" w:rsidRDefault="00DE272F" w14:paraId="215E3CA5" w14:textId="77777777">
      <w:pPr>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11"/>
    <w:p w:rsidR="00C95CA9" w:rsidP="00DE272F" w:rsidRDefault="00DE272F" w14:paraId="3749470E" w14:textId="77777777">
      <w:pPr>
        <w:tabs>
          <w:tab w:val="left" w:pos="3218"/>
        </w:tabs>
        <w:spacing w:line="240" w:lineRule="atLeast"/>
        <w:rPr>
          <w:noProof/>
        </w:rPr>
      </w:pPr>
      <w:r>
        <w:rPr>
          <w:noProof/>
        </w:rPr>
        <w:tab/>
      </w:r>
    </w:p>
    <w:p w:rsidR="00235AED" w:rsidP="00DE272F" w:rsidRDefault="00235AED" w14:paraId="1137B802" w14:textId="77777777">
      <w:pPr>
        <w:spacing w:line="240" w:lineRule="atLeast"/>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82FCF" w14:textId="77777777" w:rsidR="0006282B" w:rsidRDefault="0006282B">
      <w:pPr>
        <w:spacing w:line="240" w:lineRule="auto"/>
      </w:pPr>
      <w:r>
        <w:separator/>
      </w:r>
    </w:p>
  </w:endnote>
  <w:endnote w:type="continuationSeparator" w:id="0">
    <w:p w14:paraId="38CB67CB" w14:textId="77777777" w:rsidR="0006282B" w:rsidRDefault="000628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7873" w14:textId="77777777" w:rsidR="00DC7639" w:rsidRDefault="00255639">
    <w:pPr>
      <w:pStyle w:val="Voettekst"/>
    </w:pPr>
    <w:r>
      <w:rPr>
        <w:noProof/>
        <w:lang w:val="en-US" w:eastAsia="en-US" w:bidi="ar-SA"/>
      </w:rPr>
      <w:pict w14:anchorId="16DAC3B8">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12D8D638" w14:textId="77777777" w:rsidR="00DC7639" w:rsidRDefault="00255639"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AE8FD" w14:textId="77777777" w:rsidR="0006282B" w:rsidRDefault="0006282B">
      <w:pPr>
        <w:spacing w:line="240" w:lineRule="auto"/>
      </w:pPr>
      <w:r>
        <w:separator/>
      </w:r>
    </w:p>
  </w:footnote>
  <w:footnote w:type="continuationSeparator" w:id="0">
    <w:p w14:paraId="5A6F5936" w14:textId="77777777" w:rsidR="0006282B" w:rsidRDefault="0006282B">
      <w:pPr>
        <w:spacing w:line="240" w:lineRule="auto"/>
      </w:pPr>
      <w:r>
        <w:continuationSeparator/>
      </w:r>
    </w:p>
  </w:footnote>
  <w:footnote w:id="1">
    <w:p w14:paraId="6B14C460" w14:textId="77777777" w:rsidR="00877F86" w:rsidRPr="00EF2284" w:rsidRDefault="00255639" w:rsidP="00877F86">
      <w:pPr>
        <w:pStyle w:val="Voetnoottekst"/>
        <w:rPr>
          <w:sz w:val="15"/>
          <w:szCs w:val="15"/>
        </w:rPr>
      </w:pPr>
      <w:bookmarkStart w:id="9" w:name="_Hlk177974941"/>
      <w:r w:rsidRPr="00EF2284">
        <w:rPr>
          <w:rStyle w:val="Voetnootmarkering"/>
          <w:sz w:val="15"/>
          <w:szCs w:val="15"/>
        </w:rPr>
        <w:footnoteRef/>
      </w:r>
      <w:r w:rsidRPr="00EF2284">
        <w:rPr>
          <w:sz w:val="15"/>
          <w:szCs w:val="15"/>
        </w:rPr>
        <w:t xml:space="preserve"> Bij de beoordeling van geneesmiddelen beoordeelt het Zorginstituut als eerste of het geneesmiddel in voldoende mate aangetoond effectief is (voldoet aan stand van wetenschap en prak</w:t>
      </w:r>
      <w:r w:rsidRPr="00EF2284">
        <w:rPr>
          <w:sz w:val="15"/>
          <w:szCs w:val="15"/>
        </w:rPr>
        <w:t>tijk). Indien dit het geval is, volgt een integrale beoordeling aan de hand van de vier pakketcriteria: effectiviteit, kosteneffectiviteit, noodzakelijkheid en uitvoerbaarheid. Uit deze beoordeling kan een advies volgen van het Zorginstituut aan de Ministe</w:t>
      </w:r>
      <w:r w:rsidRPr="00EF2284">
        <w:rPr>
          <w:sz w:val="15"/>
          <w:szCs w:val="15"/>
        </w:rPr>
        <w:t>r om te onderhandelen over de prijs.</w:t>
      </w:r>
    </w:p>
    <w:bookmarkEnd w:id="9"/>
  </w:footnote>
  <w:footnote w:id="2">
    <w:p w14:paraId="16BE9282" w14:textId="77777777" w:rsidR="00877F86" w:rsidRPr="00EF2284" w:rsidRDefault="00255639" w:rsidP="00877F86">
      <w:pPr>
        <w:pStyle w:val="Voetnoottekst"/>
        <w:rPr>
          <w:sz w:val="15"/>
          <w:szCs w:val="15"/>
        </w:rPr>
      </w:pPr>
      <w:r w:rsidRPr="00EF2284">
        <w:rPr>
          <w:rStyle w:val="Voetnootmarkering"/>
          <w:sz w:val="15"/>
          <w:szCs w:val="15"/>
        </w:rPr>
        <w:footnoteRef/>
      </w:r>
      <w:r w:rsidRPr="00EF2284">
        <w:rPr>
          <w:sz w:val="15"/>
          <w:szCs w:val="15"/>
        </w:rPr>
        <w:t xml:space="preserve"> Art. 2.1 lid 2 Besluit zorgverzekering.</w:t>
      </w:r>
    </w:p>
  </w:footnote>
  <w:footnote w:id="3">
    <w:p w14:paraId="280753FA" w14:textId="77777777" w:rsidR="00877F86" w:rsidRPr="00EF2284" w:rsidRDefault="00255639" w:rsidP="00877F86">
      <w:pPr>
        <w:pStyle w:val="Voetnoottekst"/>
        <w:rPr>
          <w:sz w:val="15"/>
          <w:szCs w:val="15"/>
        </w:rPr>
      </w:pPr>
      <w:r w:rsidRPr="00EF2284">
        <w:rPr>
          <w:rStyle w:val="Voetnootmarkering"/>
          <w:sz w:val="15"/>
          <w:szCs w:val="15"/>
        </w:rPr>
        <w:footnoteRef/>
      </w:r>
      <w:r w:rsidRPr="00EF2284">
        <w:rPr>
          <w:sz w:val="15"/>
          <w:szCs w:val="15"/>
        </w:rPr>
        <w:t xml:space="preserve"> Bij de registratie van een geneesmiddel heeft het EMA (</w:t>
      </w:r>
      <w:r w:rsidRPr="00EF2284">
        <w:rPr>
          <w:i/>
          <w:iCs/>
          <w:sz w:val="15"/>
          <w:szCs w:val="15"/>
        </w:rPr>
        <w:t>European Medicines Agency</w:t>
      </w:r>
      <w:r w:rsidRPr="00EF2284">
        <w:rPr>
          <w:sz w:val="15"/>
          <w:szCs w:val="15"/>
        </w:rPr>
        <w:t xml:space="preserve">) het geneesmiddel beoordeeld op de werkzaamheid en veiligheid. Voor pakketopname staat echter een andere vraag centraal: leidt de behandeling met het geneesmiddel, gelet op de werkzaamheid en veiligheid, tot een relevante (meer)waarde voor de patiënt ten </w:t>
      </w:r>
      <w:r w:rsidRPr="00EF2284">
        <w:rPr>
          <w:sz w:val="15"/>
          <w:szCs w:val="15"/>
        </w:rPr>
        <w:t xml:space="preserve">opzichte van de standaardbehandeling of de gebruikelijke behandeling? Dit betekent dat een op de markt toegelaten specialistisch geneesmiddel niet per definitie aan de eisen van de stand van wetenschap en praktijk hoeft te voldoen. </w:t>
      </w:r>
      <w:hyperlink r:id="rId1" w:history="1">
        <w:r w:rsidRPr="00EF2284">
          <w:rPr>
            <w:rStyle w:val="Hyperlink"/>
            <w:sz w:val="15"/>
            <w:szCs w:val="15"/>
          </w:rPr>
          <w:t>Rapport ‘Criteria voor beoordeling therapeutische waarde’, 2014.</w:t>
        </w:r>
      </w:hyperlink>
      <w:r w:rsidRPr="00EF2284">
        <w:rPr>
          <w:sz w:val="15"/>
          <w:szCs w:val="15"/>
        </w:rPr>
        <w:t xml:space="preserve"> </w:t>
      </w:r>
    </w:p>
  </w:footnote>
  <w:footnote w:id="4">
    <w:p w14:paraId="3C2D73FD" w14:textId="77777777" w:rsidR="00877F86" w:rsidRPr="00EF2284" w:rsidRDefault="00255639" w:rsidP="00877F86">
      <w:pPr>
        <w:pStyle w:val="Voetnoottekst"/>
        <w:rPr>
          <w:sz w:val="15"/>
          <w:szCs w:val="15"/>
        </w:rPr>
      </w:pPr>
      <w:r w:rsidRPr="00EF2284">
        <w:rPr>
          <w:rStyle w:val="Voetnootmarkering"/>
          <w:sz w:val="15"/>
          <w:szCs w:val="15"/>
        </w:rPr>
        <w:footnoteRef/>
      </w:r>
      <w:r w:rsidRPr="00EF2284">
        <w:rPr>
          <w:sz w:val="15"/>
          <w:szCs w:val="15"/>
        </w:rPr>
        <w:t xml:space="preserve"> Pralsetinib (Gavreto) voor de behandeling van bepaalde patiënten met niet-kleincellige longkanker (NSCLC).</w:t>
      </w:r>
    </w:p>
    <w:p w14:paraId="36C78667" w14:textId="77777777" w:rsidR="00877F86" w:rsidRPr="00EF2284" w:rsidRDefault="00255639" w:rsidP="00877F86">
      <w:pPr>
        <w:pStyle w:val="Voetnoottekst"/>
        <w:rPr>
          <w:sz w:val="15"/>
          <w:szCs w:val="15"/>
        </w:rPr>
      </w:pPr>
      <w:r w:rsidRPr="00EF2284">
        <w:rPr>
          <w:sz w:val="15"/>
          <w:szCs w:val="15"/>
        </w:rPr>
        <w:t>Abemaciclib (Verzenios) in combinatie met endocriene therapie, voor de adjuvante behandeling van volwassen patiënten met hormoonreceptor (HR)-positi</w:t>
      </w:r>
      <w:r w:rsidRPr="00EF2284">
        <w:rPr>
          <w:sz w:val="15"/>
          <w:szCs w:val="15"/>
        </w:rPr>
        <w:t>eve, humane epidermale groeifactorreceptor 2 (HER2)-negatieve, klierpositieve vroege borstkanker met een hoog risico op recidief.</w:t>
      </w:r>
    </w:p>
  </w:footnote>
  <w:footnote w:id="5">
    <w:p w14:paraId="1F7C00ED" w14:textId="77777777" w:rsidR="00877F86" w:rsidRPr="00CD5D1D" w:rsidRDefault="00255639" w:rsidP="00877F86">
      <w:pPr>
        <w:pStyle w:val="Voetnoottekst"/>
        <w:rPr>
          <w:sz w:val="14"/>
          <w:szCs w:val="14"/>
        </w:rPr>
      </w:pPr>
      <w:r w:rsidRPr="00EF2284">
        <w:rPr>
          <w:rStyle w:val="Voetnootmarkering"/>
          <w:sz w:val="15"/>
          <w:szCs w:val="15"/>
        </w:rPr>
        <w:footnoteRef/>
      </w:r>
      <w:r w:rsidRPr="00EF2284">
        <w:rPr>
          <w:sz w:val="15"/>
          <w:szCs w:val="15"/>
        </w:rPr>
        <w:t xml:space="preserve"> </w:t>
      </w:r>
      <w:hyperlink r:id="rId2" w:history="1">
        <w:r w:rsidRPr="00EF2284">
          <w:rPr>
            <w:rStyle w:val="Hyperlink"/>
            <w:sz w:val="15"/>
            <w:szCs w:val="15"/>
          </w:rPr>
          <w:t>Dashboard Doorlooptijden Geneesmi</w:t>
        </w:r>
        <w:r w:rsidRPr="00EF2284">
          <w:rPr>
            <w:rStyle w:val="Hyperlink"/>
            <w:sz w:val="15"/>
            <w:szCs w:val="15"/>
          </w:rPr>
          <w:t>ddelen | Prijsvorming | Farmatec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000C" w14:textId="77777777" w:rsidR="00CD5856" w:rsidRDefault="00255639">
    <w:pPr>
      <w:pStyle w:val="Koptekst"/>
    </w:pPr>
    <w:r>
      <w:rPr>
        <w:noProof/>
        <w:lang w:eastAsia="nl-NL" w:bidi="ar-SA"/>
      </w:rPr>
      <w:drawing>
        <wp:anchor distT="0" distB="0" distL="114300" distR="114300" simplePos="0" relativeHeight="251652096" behindDoc="1" locked="0" layoutInCell="1" allowOverlap="1" wp14:anchorId="58466AFF">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20839BEB">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740153B2">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696EC596" w14:textId="77777777" w:rsidR="00CD5856" w:rsidRDefault="00255639">
                <w:pPr>
                  <w:pStyle w:val="Huisstijl-AfzendgegevensW1"/>
                </w:pPr>
                <w:r>
                  <w:t>Bezoekadres</w:t>
                </w:r>
              </w:p>
              <w:p w14:paraId="599F0A32" w14:textId="77777777" w:rsidR="00CD5856" w:rsidRDefault="00255639">
                <w:pPr>
                  <w:pStyle w:val="Huisstijl-Afzendgegevens"/>
                </w:pPr>
                <w:r>
                  <w:t>Parnassusplein 5</w:t>
                </w:r>
              </w:p>
              <w:p w14:paraId="4556FFEC" w14:textId="77777777" w:rsidR="00CD5856" w:rsidRDefault="00255639">
                <w:pPr>
                  <w:pStyle w:val="Huisstijl-Afzendgegevens"/>
                </w:pPr>
                <w:r>
                  <w:t>2511</w:t>
                </w:r>
                <w:r w:rsidR="008D59C5" w:rsidRPr="008D59C5">
                  <w:t xml:space="preserve"> </w:t>
                </w:r>
                <w:r>
                  <w:t>VX</w:t>
                </w:r>
                <w:r w:rsidR="00E1490C">
                  <w:t xml:space="preserve">  </w:t>
                </w:r>
                <w:r w:rsidR="008D59C5" w:rsidRPr="008D59C5">
                  <w:t>Den Haag</w:t>
                </w:r>
              </w:p>
              <w:p w14:paraId="35A4DFD2" w14:textId="77777777" w:rsidR="00CD5856" w:rsidRDefault="00255639">
                <w:pPr>
                  <w:pStyle w:val="Huisstijl-Afzendgegevens"/>
                </w:pPr>
                <w:r w:rsidRPr="008D59C5">
                  <w:t>www.rijksoverheid.nl</w:t>
                </w:r>
              </w:p>
              <w:p w14:paraId="112B4206" w14:textId="77777777" w:rsidR="00D2647F" w:rsidRDefault="00D2647F">
                <w:pPr>
                  <w:pStyle w:val="Huisstijl-Afzendgegevens"/>
                </w:pPr>
              </w:p>
              <w:p w14:paraId="4390A5A3" w14:textId="77777777" w:rsidR="00EF2284" w:rsidRDefault="00EF2284">
                <w:pPr>
                  <w:pStyle w:val="Huisstijl-Afzendgegevens"/>
                </w:pPr>
              </w:p>
              <w:p w14:paraId="1F2F46AB" w14:textId="77777777" w:rsidR="00215CB5" w:rsidRDefault="00255639">
                <w:pPr>
                  <w:pStyle w:val="Huisstijl-ReferentiegegevenskopW1"/>
                </w:pPr>
                <w:r w:rsidRPr="008D59C5">
                  <w:t>Bijlage(n)</w:t>
                </w:r>
              </w:p>
              <w:p w14:paraId="73B6C989" w14:textId="77777777" w:rsidR="00EF2284" w:rsidRDefault="00EF2284" w:rsidP="00EF2284">
                <w:pPr>
                  <w:pStyle w:val="Huisstijl-Referentiegegevens"/>
                </w:pPr>
                <w:r>
                  <w:t>6</w:t>
                </w:r>
              </w:p>
              <w:p w14:paraId="465E8E8C" w14:textId="77777777" w:rsidR="00EF2284" w:rsidRPr="00EF2284" w:rsidRDefault="00EF2284" w:rsidP="00EF2284">
                <w:pPr>
                  <w:pStyle w:val="Huisstijl-Referentiegegevens"/>
                </w:pPr>
              </w:p>
              <w:p w14:paraId="348F5B6A" w14:textId="77777777" w:rsidR="00CD5856" w:rsidRDefault="00255639">
                <w:pPr>
                  <w:pStyle w:val="Huisstijl-ReferentiegegevenskopW1"/>
                </w:pPr>
                <w:r>
                  <w:t>Kenmerk afzender</w:t>
                </w:r>
              </w:p>
              <w:p w14:paraId="7AB2C114" w14:textId="77777777" w:rsidR="00CD5856" w:rsidRDefault="00255639">
                <w:pPr>
                  <w:pStyle w:val="Huisstijl-Referentiegegevens"/>
                </w:pPr>
                <w:r w:rsidRPr="009E6F3E">
                  <w:t>3988541</w:t>
                </w:r>
                <w:r>
                  <w:t>-</w:t>
                </w:r>
                <w:r w:rsidRPr="009E6F3E">
                  <w:t>1073807</w:t>
                </w:r>
                <w:r>
                  <w:t>-GMT</w:t>
                </w:r>
              </w:p>
              <w:p w14:paraId="36A618B9" w14:textId="77777777" w:rsidR="00EF2284" w:rsidRDefault="00EF2284">
                <w:pPr>
                  <w:pStyle w:val="Huisstijl-Referentiegegevens"/>
                </w:pPr>
              </w:p>
              <w:p w14:paraId="1D0F3FCF" w14:textId="77777777" w:rsidR="00EF2284" w:rsidRDefault="00EF2284">
                <w:pPr>
                  <w:pStyle w:val="Huisstijl-Referentiegegevens"/>
                </w:pPr>
              </w:p>
              <w:p w14:paraId="6D0FB06D" w14:textId="77777777" w:rsidR="00EF2284" w:rsidRDefault="00EF2284">
                <w:pPr>
                  <w:pStyle w:val="Huisstijl-Referentiegegevens"/>
                </w:pPr>
              </w:p>
              <w:p w14:paraId="0DF049B3" w14:textId="77777777" w:rsidR="00CD5856" w:rsidRDefault="00255639">
                <w:pPr>
                  <w:pStyle w:val="Huisstijl-Algemenevoorwaarden"/>
                </w:pPr>
                <w:r>
                  <w:t xml:space="preserve">Correspondentie uitsluitend richten aan het retouradres met vermelding van de datum en het </w:t>
                </w:r>
                <w:r>
                  <w:t>kenmerk van deze brief.</w:t>
                </w:r>
              </w:p>
              <w:p w14:paraId="5648147E" w14:textId="77777777" w:rsidR="00CD5856" w:rsidRDefault="00CD5856"/>
            </w:txbxContent>
          </v:textbox>
          <w10:wrap anchorx="page" anchory="page"/>
        </v:shape>
      </w:pict>
    </w:r>
    <w:r>
      <w:rPr>
        <w:lang w:eastAsia="nl-NL" w:bidi="ar-SA"/>
      </w:rPr>
      <w:pict w14:anchorId="71F4BEE2">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1024750B" w14:textId="7DF48DEE" w:rsidR="00CD5856" w:rsidRDefault="00255639">
                <w:pPr>
                  <w:pStyle w:val="Huisstijl-Datumenbetreft"/>
                  <w:tabs>
                    <w:tab w:val="clear" w:pos="737"/>
                    <w:tab w:val="left" w:pos="-5954"/>
                    <w:tab w:val="left" w:pos="-5670"/>
                    <w:tab w:val="left" w:pos="1134"/>
                  </w:tabs>
                </w:pPr>
                <w:r>
                  <w:t>Datum</w:t>
                </w:r>
                <w:r w:rsidR="00E1490C">
                  <w:tab/>
                </w:r>
                <w:r>
                  <w:t>7 november 2024</w:t>
                </w:r>
              </w:p>
              <w:p w14:paraId="61AAD573" w14:textId="77777777" w:rsidR="00CD5856" w:rsidRDefault="00255639">
                <w:pPr>
                  <w:pStyle w:val="Huisstijl-Datumenbetreft"/>
                  <w:tabs>
                    <w:tab w:val="clear" w:pos="737"/>
                    <w:tab w:val="left" w:pos="-5954"/>
                    <w:tab w:val="left" w:pos="-5670"/>
                    <w:tab w:val="left" w:pos="1134"/>
                  </w:tabs>
                </w:pPr>
                <w:r>
                  <w:t>Betreft</w:t>
                </w:r>
                <w:r w:rsidR="00E1490C">
                  <w:tab/>
                </w:r>
                <w:r w:rsidR="00877F86" w:rsidRPr="00877F86">
                  <w:t>Continuering van de sluis voor zes geneesmiddelen</w:t>
                </w:r>
              </w:p>
              <w:p w14:paraId="71CB8E4A"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554BE19B">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19F40A88" w14:textId="77777777" w:rsidR="00CD5856" w:rsidRDefault="00CD5856">
                <w:pPr>
                  <w:pStyle w:val="Huisstijl-Toezendgegevens"/>
                </w:pPr>
              </w:p>
            </w:txbxContent>
          </v:textbox>
          <w10:wrap anchorx="page" anchory="page"/>
        </v:shape>
      </w:pict>
    </w:r>
    <w:r>
      <w:rPr>
        <w:lang w:eastAsia="nl-NL" w:bidi="ar-SA"/>
      </w:rPr>
      <w:pict w14:anchorId="5B1ADABD">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62006412" w14:textId="77777777" w:rsidR="00CD5856" w:rsidRDefault="00255639">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30465FED">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1C06DD39" w14:textId="77777777" w:rsidR="00CD5856" w:rsidRDefault="00255639">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6CC4" w14:textId="77777777" w:rsidR="00CD5856" w:rsidRDefault="00255639">
    <w:pPr>
      <w:pStyle w:val="Koptekst"/>
    </w:pPr>
    <w:r>
      <w:rPr>
        <w:lang w:eastAsia="nl-NL" w:bidi="ar-SA"/>
      </w:rPr>
      <w:pict w14:anchorId="61931B4B">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1E9A952E" w14:textId="77777777" w:rsidR="00CD5856" w:rsidRDefault="00255639">
                <w:pPr>
                  <w:pStyle w:val="Huisstijl-ReferentiegegevenskopW2"/>
                </w:pPr>
                <w:r w:rsidRPr="008D59C5">
                  <w:t>Kenmerk</w:t>
                </w:r>
              </w:p>
              <w:p w14:paraId="2B59CB65" w14:textId="77777777" w:rsidR="00C95CA9" w:rsidRPr="00C95CA9" w:rsidRDefault="00255639" w:rsidP="00C95CA9">
                <w:pPr>
                  <w:pStyle w:val="Huisstijl-Referentiegegevens"/>
                </w:pPr>
                <w:r w:rsidRPr="00C95CA9">
                  <w:t>3988541-1073807-GMT</w:t>
                </w:r>
              </w:p>
              <w:p w14:paraId="2EDCB8AF" w14:textId="77777777" w:rsidR="00CD5856" w:rsidRDefault="00CD5856">
                <w:pPr>
                  <w:pStyle w:val="Huisstijl-Referentiegegevens"/>
                </w:pPr>
              </w:p>
            </w:txbxContent>
          </v:textbox>
          <w10:wrap anchorx="page" anchory="page"/>
        </v:shape>
      </w:pict>
    </w:r>
    <w:r>
      <w:rPr>
        <w:lang w:eastAsia="nl-NL" w:bidi="ar-SA"/>
      </w:rPr>
      <w:pict w14:anchorId="638B07F3">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4B9B7ACF" w14:textId="224EE3CF" w:rsidR="00CD5856" w:rsidRDefault="00255639">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E82481">
                  <w:fldChar w:fldCharType="begin"/>
                </w:r>
                <w:r>
                  <w:instrText xml:space="preserve"> SECTIONPAGES  \* Arabic  \* MERGEFORMAT </w:instrText>
                </w:r>
                <w:r w:rsidR="00E82481">
                  <w:fldChar w:fldCharType="separate"/>
                </w:r>
                <w:r>
                  <w:rPr>
                    <w:noProof/>
                  </w:rPr>
                  <w:t>3</w:t>
                </w:r>
                <w:r w:rsidR="00E82481">
                  <w:rPr>
                    <w:noProof/>
                  </w:rPr>
                  <w:fldChar w:fldCharType="end"/>
                </w:r>
              </w:p>
              <w:p w14:paraId="26C33D8E" w14:textId="77777777" w:rsidR="00CD5856" w:rsidRDefault="00CD5856"/>
              <w:p w14:paraId="2B1D28B5" w14:textId="77777777" w:rsidR="00CD5856" w:rsidRDefault="00CD5856">
                <w:pPr>
                  <w:pStyle w:val="Huisstijl-Paginanummer"/>
                </w:pPr>
              </w:p>
              <w:p w14:paraId="18AF8378"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AEFD" w14:textId="77777777" w:rsidR="00CD5856" w:rsidRDefault="00255639">
    <w:pPr>
      <w:pStyle w:val="Koptekst"/>
    </w:pPr>
    <w:r>
      <w:rPr>
        <w:lang w:eastAsia="nl-NL" w:bidi="ar-SA"/>
      </w:rPr>
      <w:pict w14:anchorId="67BCF135">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3796DC7C" w14:textId="77777777" w:rsidR="00CD5856" w:rsidRDefault="00255639">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EF2284">
                      <w:t>26 juni 2014</w:t>
                    </w:r>
                  </w:sdtContent>
                </w:sdt>
              </w:p>
              <w:p w14:paraId="319558A4" w14:textId="77777777" w:rsidR="00CD5856" w:rsidRDefault="00255639">
                <w:pPr>
                  <w:pStyle w:val="Huisstijl-Datumenbetreft"/>
                  <w:tabs>
                    <w:tab w:val="left" w:pos="-5954"/>
                    <w:tab w:val="left" w:pos="-5670"/>
                  </w:tabs>
                </w:pPr>
                <w:r>
                  <w:t>Betreft</w:t>
                </w:r>
                <w:r>
                  <w:tab/>
                </w:r>
                <w:r w:rsidR="008D59C5">
                  <w:t>BETREFT</w:t>
                </w:r>
              </w:p>
              <w:p w14:paraId="49764C04"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567E68BA">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4A8485AE">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59094372">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2740F3F4" w14:textId="77777777" w:rsidR="00CD5856" w:rsidRDefault="00255639">
                <w:pPr>
                  <w:pStyle w:val="Huisstijl-Afzendgegevens"/>
                </w:pPr>
                <w:r w:rsidRPr="008D59C5">
                  <w:t>Rijnstraat 50</w:t>
                </w:r>
              </w:p>
              <w:p w14:paraId="01DB99F5" w14:textId="77777777" w:rsidR="00CD5856" w:rsidRDefault="00255639">
                <w:pPr>
                  <w:pStyle w:val="Huisstijl-Afzendgegevens"/>
                </w:pPr>
                <w:r w:rsidRPr="008D59C5">
                  <w:t>Den Haag</w:t>
                </w:r>
              </w:p>
              <w:p w14:paraId="60ADF5F6" w14:textId="77777777" w:rsidR="00CD5856" w:rsidRDefault="00255639">
                <w:pPr>
                  <w:pStyle w:val="Huisstijl-Afzendgegevens"/>
                </w:pPr>
                <w:r w:rsidRPr="008D59C5">
                  <w:t>www.rijksoverheid.nl</w:t>
                </w:r>
              </w:p>
              <w:p w14:paraId="0CC1D3C9" w14:textId="77777777" w:rsidR="00CD5856" w:rsidRDefault="00255639">
                <w:pPr>
                  <w:pStyle w:val="Huisstijl-AfzendgegevenskopW1"/>
                </w:pPr>
                <w:r>
                  <w:t>Contactpersoon</w:t>
                </w:r>
              </w:p>
              <w:p w14:paraId="02E68257" w14:textId="77777777" w:rsidR="00CD5856" w:rsidRDefault="00255639">
                <w:pPr>
                  <w:pStyle w:val="Huisstijl-Afzendgegevens"/>
                </w:pPr>
                <w:r w:rsidRPr="008D59C5">
                  <w:t>ing. J.A. Ramlal</w:t>
                </w:r>
              </w:p>
              <w:p w14:paraId="6022FF8C" w14:textId="77777777" w:rsidR="00CD5856" w:rsidRDefault="00255639">
                <w:pPr>
                  <w:pStyle w:val="Huisstijl-Afzendgegevens"/>
                </w:pPr>
                <w:r w:rsidRPr="008D59C5">
                  <w:t>ja.ramlal@minvws.nl</w:t>
                </w:r>
              </w:p>
              <w:p w14:paraId="39B283B1" w14:textId="77777777" w:rsidR="00CD5856" w:rsidRDefault="00255639">
                <w:pPr>
                  <w:pStyle w:val="Huisstijl-ReferentiegegevenskopW2"/>
                </w:pPr>
                <w:r>
                  <w:t>Ons kenmerk</w:t>
                </w:r>
              </w:p>
              <w:p w14:paraId="1072E203" w14:textId="77777777" w:rsidR="00CD5856" w:rsidRDefault="00255639">
                <w:pPr>
                  <w:pStyle w:val="Huisstijl-Referentiegegevens"/>
                </w:pPr>
                <w:r>
                  <w:t>KENMERK</w:t>
                </w:r>
              </w:p>
              <w:p w14:paraId="22555639" w14:textId="77777777" w:rsidR="00CD5856" w:rsidRDefault="00255639">
                <w:pPr>
                  <w:pStyle w:val="Huisstijl-ReferentiegegevenskopW1"/>
                </w:pPr>
                <w:r>
                  <w:t>Uw kenmerk</w:t>
                </w:r>
              </w:p>
              <w:p w14:paraId="3ED986F9" w14:textId="77777777" w:rsidR="00CD5856" w:rsidRDefault="00255639">
                <w:pPr>
                  <w:pStyle w:val="Huisstijl-Referentiegegevens"/>
                </w:pPr>
                <w:r>
                  <w:t>UW BRIEF</w:t>
                </w:r>
              </w:p>
            </w:txbxContent>
          </v:textbox>
          <w10:wrap anchorx="page" anchory="page"/>
        </v:shape>
      </w:pict>
    </w:r>
    <w:r>
      <w:rPr>
        <w:lang w:eastAsia="nl-NL" w:bidi="ar-SA"/>
      </w:rPr>
      <w:pict w14:anchorId="536D4115">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58F25108" w14:textId="77777777" w:rsidR="00CD5856" w:rsidRDefault="00255639">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2166A636">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30B2BF35" w14:textId="77777777" w:rsidR="00CD5856" w:rsidRDefault="00255639">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7A032873">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380D6F14" w14:textId="77777777" w:rsidR="00CD5856" w:rsidRDefault="00CD5856">
                <w:pPr>
                  <w:pStyle w:val="Huisstijl-Toezendgegevens"/>
                </w:pPr>
              </w:p>
            </w:txbxContent>
          </v:textbox>
          <w10:wrap anchorx="page" anchory="page"/>
        </v:shape>
      </w:pict>
    </w:r>
    <w:r>
      <w:rPr>
        <w:lang w:eastAsia="nl-NL" w:bidi="ar-SA"/>
      </w:rPr>
      <w:pict w14:anchorId="6633C4E0">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0731C8E0" w14:textId="77777777" w:rsidR="00CD5856" w:rsidRDefault="00255639">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8736C"/>
    <w:multiLevelType w:val="hybridMultilevel"/>
    <w:tmpl w:val="B114BE9A"/>
    <w:lvl w:ilvl="0" w:tplc="CABAEC3C">
      <w:start w:val="1"/>
      <w:numFmt w:val="bullet"/>
      <w:lvlText w:val=""/>
      <w:lvlJc w:val="left"/>
      <w:pPr>
        <w:ind w:left="720" w:hanging="360"/>
      </w:pPr>
      <w:rPr>
        <w:rFonts w:ascii="Symbol" w:hAnsi="Symbol" w:hint="default"/>
      </w:rPr>
    </w:lvl>
    <w:lvl w:ilvl="1" w:tplc="4A564664" w:tentative="1">
      <w:start w:val="1"/>
      <w:numFmt w:val="bullet"/>
      <w:lvlText w:val="o"/>
      <w:lvlJc w:val="left"/>
      <w:pPr>
        <w:ind w:left="1440" w:hanging="360"/>
      </w:pPr>
      <w:rPr>
        <w:rFonts w:ascii="Courier New" w:hAnsi="Courier New" w:cs="Courier New" w:hint="default"/>
      </w:rPr>
    </w:lvl>
    <w:lvl w:ilvl="2" w:tplc="D46CDEE0" w:tentative="1">
      <w:start w:val="1"/>
      <w:numFmt w:val="bullet"/>
      <w:lvlText w:val=""/>
      <w:lvlJc w:val="left"/>
      <w:pPr>
        <w:ind w:left="2160" w:hanging="360"/>
      </w:pPr>
      <w:rPr>
        <w:rFonts w:ascii="Wingdings" w:hAnsi="Wingdings" w:hint="default"/>
      </w:rPr>
    </w:lvl>
    <w:lvl w:ilvl="3" w:tplc="C17891BA" w:tentative="1">
      <w:start w:val="1"/>
      <w:numFmt w:val="bullet"/>
      <w:lvlText w:val=""/>
      <w:lvlJc w:val="left"/>
      <w:pPr>
        <w:ind w:left="2880" w:hanging="360"/>
      </w:pPr>
      <w:rPr>
        <w:rFonts w:ascii="Symbol" w:hAnsi="Symbol" w:hint="default"/>
      </w:rPr>
    </w:lvl>
    <w:lvl w:ilvl="4" w:tplc="26BA22C0" w:tentative="1">
      <w:start w:val="1"/>
      <w:numFmt w:val="bullet"/>
      <w:lvlText w:val="o"/>
      <w:lvlJc w:val="left"/>
      <w:pPr>
        <w:ind w:left="3600" w:hanging="360"/>
      </w:pPr>
      <w:rPr>
        <w:rFonts w:ascii="Courier New" w:hAnsi="Courier New" w:cs="Courier New" w:hint="default"/>
      </w:rPr>
    </w:lvl>
    <w:lvl w:ilvl="5" w:tplc="7BF627AE" w:tentative="1">
      <w:start w:val="1"/>
      <w:numFmt w:val="bullet"/>
      <w:lvlText w:val=""/>
      <w:lvlJc w:val="left"/>
      <w:pPr>
        <w:ind w:left="4320" w:hanging="360"/>
      </w:pPr>
      <w:rPr>
        <w:rFonts w:ascii="Wingdings" w:hAnsi="Wingdings" w:hint="default"/>
      </w:rPr>
    </w:lvl>
    <w:lvl w:ilvl="6" w:tplc="B222418C" w:tentative="1">
      <w:start w:val="1"/>
      <w:numFmt w:val="bullet"/>
      <w:lvlText w:val=""/>
      <w:lvlJc w:val="left"/>
      <w:pPr>
        <w:ind w:left="5040" w:hanging="360"/>
      </w:pPr>
      <w:rPr>
        <w:rFonts w:ascii="Symbol" w:hAnsi="Symbol" w:hint="default"/>
      </w:rPr>
    </w:lvl>
    <w:lvl w:ilvl="7" w:tplc="0AC46404" w:tentative="1">
      <w:start w:val="1"/>
      <w:numFmt w:val="bullet"/>
      <w:lvlText w:val="o"/>
      <w:lvlJc w:val="left"/>
      <w:pPr>
        <w:ind w:left="5760" w:hanging="360"/>
      </w:pPr>
      <w:rPr>
        <w:rFonts w:ascii="Courier New" w:hAnsi="Courier New" w:cs="Courier New" w:hint="default"/>
      </w:rPr>
    </w:lvl>
    <w:lvl w:ilvl="8" w:tplc="4E8CE8BA" w:tentative="1">
      <w:start w:val="1"/>
      <w:numFmt w:val="bullet"/>
      <w:lvlText w:val=""/>
      <w:lvlJc w:val="left"/>
      <w:pPr>
        <w:ind w:left="6480" w:hanging="360"/>
      </w:pPr>
      <w:rPr>
        <w:rFonts w:ascii="Wingdings" w:hAnsi="Wingdings" w:hint="default"/>
      </w:rPr>
    </w:lvl>
  </w:abstractNum>
  <w:abstractNum w:abstractNumId="1" w15:restartNumberingAfterBreak="0">
    <w:nsid w:val="558A576F"/>
    <w:multiLevelType w:val="hybridMultilevel"/>
    <w:tmpl w:val="DB8AF5D4"/>
    <w:lvl w:ilvl="0" w:tplc="AEBE22E8">
      <w:numFmt w:val="bullet"/>
      <w:lvlText w:val=""/>
      <w:lvlJc w:val="left"/>
      <w:pPr>
        <w:ind w:left="720" w:hanging="360"/>
      </w:pPr>
      <w:rPr>
        <w:rFonts w:ascii="Wingdings" w:eastAsia="DejaVu Sans" w:hAnsi="Wingdings" w:cs="Lohit Hindi" w:hint="default"/>
      </w:rPr>
    </w:lvl>
    <w:lvl w:ilvl="1" w:tplc="9450442A" w:tentative="1">
      <w:start w:val="1"/>
      <w:numFmt w:val="bullet"/>
      <w:lvlText w:val="o"/>
      <w:lvlJc w:val="left"/>
      <w:pPr>
        <w:ind w:left="1440" w:hanging="360"/>
      </w:pPr>
      <w:rPr>
        <w:rFonts w:ascii="Courier New" w:hAnsi="Courier New" w:cs="Courier New" w:hint="default"/>
      </w:rPr>
    </w:lvl>
    <w:lvl w:ilvl="2" w:tplc="69FC59A8" w:tentative="1">
      <w:start w:val="1"/>
      <w:numFmt w:val="bullet"/>
      <w:lvlText w:val=""/>
      <w:lvlJc w:val="left"/>
      <w:pPr>
        <w:ind w:left="2160" w:hanging="360"/>
      </w:pPr>
      <w:rPr>
        <w:rFonts w:ascii="Wingdings" w:hAnsi="Wingdings" w:hint="default"/>
      </w:rPr>
    </w:lvl>
    <w:lvl w:ilvl="3" w:tplc="D370F6CA" w:tentative="1">
      <w:start w:val="1"/>
      <w:numFmt w:val="bullet"/>
      <w:lvlText w:val=""/>
      <w:lvlJc w:val="left"/>
      <w:pPr>
        <w:ind w:left="2880" w:hanging="360"/>
      </w:pPr>
      <w:rPr>
        <w:rFonts w:ascii="Symbol" w:hAnsi="Symbol" w:hint="default"/>
      </w:rPr>
    </w:lvl>
    <w:lvl w:ilvl="4" w:tplc="5150F08A" w:tentative="1">
      <w:start w:val="1"/>
      <w:numFmt w:val="bullet"/>
      <w:lvlText w:val="o"/>
      <w:lvlJc w:val="left"/>
      <w:pPr>
        <w:ind w:left="3600" w:hanging="360"/>
      </w:pPr>
      <w:rPr>
        <w:rFonts w:ascii="Courier New" w:hAnsi="Courier New" w:cs="Courier New" w:hint="default"/>
      </w:rPr>
    </w:lvl>
    <w:lvl w:ilvl="5" w:tplc="7CD6B16E" w:tentative="1">
      <w:start w:val="1"/>
      <w:numFmt w:val="bullet"/>
      <w:lvlText w:val=""/>
      <w:lvlJc w:val="left"/>
      <w:pPr>
        <w:ind w:left="4320" w:hanging="360"/>
      </w:pPr>
      <w:rPr>
        <w:rFonts w:ascii="Wingdings" w:hAnsi="Wingdings" w:hint="default"/>
      </w:rPr>
    </w:lvl>
    <w:lvl w:ilvl="6" w:tplc="3B0A767C" w:tentative="1">
      <w:start w:val="1"/>
      <w:numFmt w:val="bullet"/>
      <w:lvlText w:val=""/>
      <w:lvlJc w:val="left"/>
      <w:pPr>
        <w:ind w:left="5040" w:hanging="360"/>
      </w:pPr>
      <w:rPr>
        <w:rFonts w:ascii="Symbol" w:hAnsi="Symbol" w:hint="default"/>
      </w:rPr>
    </w:lvl>
    <w:lvl w:ilvl="7" w:tplc="1710230C" w:tentative="1">
      <w:start w:val="1"/>
      <w:numFmt w:val="bullet"/>
      <w:lvlText w:val="o"/>
      <w:lvlJc w:val="left"/>
      <w:pPr>
        <w:ind w:left="5760" w:hanging="360"/>
      </w:pPr>
      <w:rPr>
        <w:rFonts w:ascii="Courier New" w:hAnsi="Courier New" w:cs="Courier New" w:hint="default"/>
      </w:rPr>
    </w:lvl>
    <w:lvl w:ilvl="8" w:tplc="DD467BD8" w:tentative="1">
      <w:start w:val="1"/>
      <w:numFmt w:val="bullet"/>
      <w:lvlText w:val=""/>
      <w:lvlJc w:val="left"/>
      <w:pPr>
        <w:ind w:left="6480" w:hanging="360"/>
      </w:pPr>
      <w:rPr>
        <w:rFonts w:ascii="Wingdings" w:hAnsi="Wingdings" w:hint="default"/>
      </w:rPr>
    </w:lvl>
  </w:abstractNum>
  <w:num w:numId="1" w16cid:durableId="1905485886">
    <w:abstractNumId w:val="1"/>
  </w:num>
  <w:num w:numId="2" w16cid:durableId="936475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6282B"/>
    <w:rsid w:val="000745D3"/>
    <w:rsid w:val="000B1832"/>
    <w:rsid w:val="000B45B1"/>
    <w:rsid w:val="000C29E1"/>
    <w:rsid w:val="000D0CCB"/>
    <w:rsid w:val="000D6D8A"/>
    <w:rsid w:val="000E2F12"/>
    <w:rsid w:val="000E54B6"/>
    <w:rsid w:val="00113778"/>
    <w:rsid w:val="00125144"/>
    <w:rsid w:val="00125BDF"/>
    <w:rsid w:val="00172CD9"/>
    <w:rsid w:val="001A7EDA"/>
    <w:rsid w:val="001B41E1"/>
    <w:rsid w:val="001B7303"/>
    <w:rsid w:val="00206E33"/>
    <w:rsid w:val="00215CB5"/>
    <w:rsid w:val="00235AED"/>
    <w:rsid w:val="00241BB9"/>
    <w:rsid w:val="00255639"/>
    <w:rsid w:val="00297795"/>
    <w:rsid w:val="002B1D9F"/>
    <w:rsid w:val="002B504F"/>
    <w:rsid w:val="002F4886"/>
    <w:rsid w:val="00334C45"/>
    <w:rsid w:val="00336B4B"/>
    <w:rsid w:val="003451E2"/>
    <w:rsid w:val="00347F1B"/>
    <w:rsid w:val="00363E02"/>
    <w:rsid w:val="003B287C"/>
    <w:rsid w:val="003B48D4"/>
    <w:rsid w:val="003C472B"/>
    <w:rsid w:val="003C6ED5"/>
    <w:rsid w:val="003C700C"/>
    <w:rsid w:val="003C7185"/>
    <w:rsid w:val="003D27F8"/>
    <w:rsid w:val="003F3A47"/>
    <w:rsid w:val="004243E1"/>
    <w:rsid w:val="0043480A"/>
    <w:rsid w:val="00437B5F"/>
    <w:rsid w:val="004509BE"/>
    <w:rsid w:val="0045486D"/>
    <w:rsid w:val="00462C8F"/>
    <w:rsid w:val="00463DBC"/>
    <w:rsid w:val="004934A8"/>
    <w:rsid w:val="004F0B09"/>
    <w:rsid w:val="004F0FFB"/>
    <w:rsid w:val="00516D6A"/>
    <w:rsid w:val="00523C02"/>
    <w:rsid w:val="00544135"/>
    <w:rsid w:val="005600D7"/>
    <w:rsid w:val="005677D6"/>
    <w:rsid w:val="00582E97"/>
    <w:rsid w:val="00587714"/>
    <w:rsid w:val="005A1548"/>
    <w:rsid w:val="005C3CD4"/>
    <w:rsid w:val="005D1703"/>
    <w:rsid w:val="005D327A"/>
    <w:rsid w:val="0063555A"/>
    <w:rsid w:val="00686885"/>
    <w:rsid w:val="006922AC"/>
    <w:rsid w:val="00697032"/>
    <w:rsid w:val="006B16C1"/>
    <w:rsid w:val="00715486"/>
    <w:rsid w:val="0074764C"/>
    <w:rsid w:val="00763E81"/>
    <w:rsid w:val="0076470D"/>
    <w:rsid w:val="00776965"/>
    <w:rsid w:val="007A4F37"/>
    <w:rsid w:val="007B028B"/>
    <w:rsid w:val="007B6A41"/>
    <w:rsid w:val="007D0F21"/>
    <w:rsid w:val="007D23C6"/>
    <w:rsid w:val="007E36BA"/>
    <w:rsid w:val="007E707F"/>
    <w:rsid w:val="007F380D"/>
    <w:rsid w:val="007F4A98"/>
    <w:rsid w:val="0087691C"/>
    <w:rsid w:val="00877F86"/>
    <w:rsid w:val="00893C24"/>
    <w:rsid w:val="008A21F4"/>
    <w:rsid w:val="008B7F68"/>
    <w:rsid w:val="008D59C5"/>
    <w:rsid w:val="008D618A"/>
    <w:rsid w:val="008E210E"/>
    <w:rsid w:val="008E4B89"/>
    <w:rsid w:val="008F33AD"/>
    <w:rsid w:val="00947502"/>
    <w:rsid w:val="00960E2B"/>
    <w:rsid w:val="00985A65"/>
    <w:rsid w:val="009A31BF"/>
    <w:rsid w:val="009B2459"/>
    <w:rsid w:val="009C4777"/>
    <w:rsid w:val="009D3C77"/>
    <w:rsid w:val="009D7D63"/>
    <w:rsid w:val="009E6F3E"/>
    <w:rsid w:val="009F419D"/>
    <w:rsid w:val="00A52DBE"/>
    <w:rsid w:val="00A83BE3"/>
    <w:rsid w:val="00AA61EA"/>
    <w:rsid w:val="00AF6BEC"/>
    <w:rsid w:val="00B8296E"/>
    <w:rsid w:val="00B82F43"/>
    <w:rsid w:val="00B830CD"/>
    <w:rsid w:val="00BA1C0B"/>
    <w:rsid w:val="00BA7566"/>
    <w:rsid w:val="00BC481F"/>
    <w:rsid w:val="00BD2E79"/>
    <w:rsid w:val="00BD75C1"/>
    <w:rsid w:val="00C3438D"/>
    <w:rsid w:val="00C62B6C"/>
    <w:rsid w:val="00C81260"/>
    <w:rsid w:val="00C826A6"/>
    <w:rsid w:val="00C95CA9"/>
    <w:rsid w:val="00CA061B"/>
    <w:rsid w:val="00CD4AED"/>
    <w:rsid w:val="00CD5856"/>
    <w:rsid w:val="00CD5D1D"/>
    <w:rsid w:val="00CF0F2E"/>
    <w:rsid w:val="00CF3E82"/>
    <w:rsid w:val="00D2647F"/>
    <w:rsid w:val="00D4304A"/>
    <w:rsid w:val="00D54679"/>
    <w:rsid w:val="00D67BAF"/>
    <w:rsid w:val="00DA15A1"/>
    <w:rsid w:val="00DC7639"/>
    <w:rsid w:val="00DE272F"/>
    <w:rsid w:val="00E1490C"/>
    <w:rsid w:val="00E37122"/>
    <w:rsid w:val="00E82481"/>
    <w:rsid w:val="00E85195"/>
    <w:rsid w:val="00EA275E"/>
    <w:rsid w:val="00EB78F1"/>
    <w:rsid w:val="00EE23CE"/>
    <w:rsid w:val="00EE2A9D"/>
    <w:rsid w:val="00EF2284"/>
    <w:rsid w:val="00F049EF"/>
    <w:rsid w:val="00F32EA9"/>
    <w:rsid w:val="00F56EBE"/>
    <w:rsid w:val="00F72360"/>
    <w:rsid w:val="00F847BF"/>
    <w:rsid w:val="00F87E88"/>
    <w:rsid w:val="00FA5646"/>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6414D469"/>
  <w15:docId w15:val="{D152DB47-3642-41EC-875C-71C8441A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basedOn w:val="Standaard"/>
    <w:uiPriority w:val="34"/>
    <w:qFormat/>
    <w:rsid w:val="00877F86"/>
    <w:pPr>
      <w:widowControl/>
      <w:suppressAutoHyphens w:val="0"/>
      <w:ind w:left="720"/>
      <w:contextualSpacing/>
    </w:pPr>
    <w:rPr>
      <w:color w:val="000000"/>
      <w:kern w:val="0"/>
      <w:szCs w:val="18"/>
      <w:lang w:eastAsia="nl-NL" w:bidi="ar-SA"/>
    </w:rPr>
  </w:style>
  <w:style w:type="paragraph" w:styleId="Voetnoottekst">
    <w:name w:val="footnote text"/>
    <w:basedOn w:val="Standaard"/>
    <w:link w:val="VoetnoottekstChar"/>
    <w:uiPriority w:val="99"/>
    <w:semiHidden/>
    <w:unhideWhenUsed/>
    <w:rsid w:val="00877F86"/>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877F86"/>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877F86"/>
    <w:rPr>
      <w:vertAlign w:val="superscript"/>
    </w:rPr>
  </w:style>
  <w:style w:type="character" w:styleId="Hyperlink">
    <w:name w:val="Hyperlink"/>
    <w:basedOn w:val="Standaardalinea-lettertype"/>
    <w:uiPriority w:val="99"/>
    <w:unhideWhenUsed/>
    <w:rsid w:val="00877F86"/>
    <w:rPr>
      <w:color w:val="0000FF" w:themeColor="hyperlink"/>
      <w:u w:val="single"/>
    </w:rPr>
  </w:style>
  <w:style w:type="character" w:styleId="Onopgelostemelding">
    <w:name w:val="Unresolved Mention"/>
    <w:basedOn w:val="Standaardalinea-lettertype"/>
    <w:uiPriority w:val="99"/>
    <w:semiHidden/>
    <w:unhideWhenUsed/>
    <w:rsid w:val="00D26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farmatec.nl/prijsvorming/dashboard-doorlooptijden-geneesmiddelen" TargetMode="External"/><Relationship Id="rId1" Type="http://schemas.openxmlformats.org/officeDocument/2006/relationships/hyperlink" Target="https://www.zorginstituutnederland.nl/over-ons/publicaties/publicatie/2014/07/01/criteria-voor-beoordeling-therapeutische-waar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628</ap:Words>
  <ap:Characters>3460</ap:Characters>
  <ap:DocSecurity>0</ap:DocSecurity>
  <ap:Lines>28</ap:Lines>
  <ap:Paragraphs>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2024-11-04T10:41:00.0000000Z</lastPrinted>
  <dcterms:created xsi:type="dcterms:W3CDTF">2014-06-26T12:56:00.0000000Z</dcterms:created>
  <dcterms:modified xsi:type="dcterms:W3CDTF">2024-11-07T14:10:00.0000000Z</dcterms:modified>
  <dc:creator/>
  <dc:description>------------------------</dc:description>
  <dc:subject/>
  <dc:title/>
  <keywords/>
  <version/>
  <category/>
</coreProperties>
</file>