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2024Z17726</w:t>
        <w:br/>
      </w:r>
      <w:proofErr w:type="spellEnd"/>
    </w:p>
    <w:p>
      <w:pPr>
        <w:pStyle w:val="Normal"/>
        <w:rPr>
          <w:b w:val="1"/>
          <w:bCs w:val="1"/>
        </w:rPr>
      </w:pPr>
      <w:r w:rsidR="250AE766">
        <w:rPr>
          <w:b w:val="0"/>
          <w:bCs w:val="0"/>
        </w:rPr>
        <w:t>(ingezonden 7 november 2024)</w:t>
        <w:br/>
      </w:r>
    </w:p>
    <w:p>
      <w:r>
        <w:t xml:space="preserve">Vragen van het lid Eerdmans (JA21) aan de staatssecretaris van Financiën over de salariskosten per medewerker bij Stichting SGH</w:t>
      </w:r>
      <w:r>
        <w:br/>
      </w:r>
    </w:p>
    <w:p>
      <w:r>
        <w:t xml:space="preserve"> </w:t>
      </w:r>
      <w:r>
        <w:br/>
      </w:r>
    </w:p>
    <w:p>
      <w:pPr>
        <w:pStyle w:val="ListParagraph"/>
        <w:numPr>
          <w:ilvl w:val="0"/>
          <w:numId w:val="100459480"/>
        </w:numPr>
        <w:ind w:left="360"/>
      </w:pPr>
      <w:r>
        <w:t>Bent u op de hoogte van de aanzienlijke salariskosten per medewerker bij Stichting (Gelijk)waardig Herstel (SGH), oplopend tot 243.000 euro per jaar en kunt u toelichten waarom hiermee is ingestemd en welke maatregelen worden genomen om deze kosten te rechtvaardigen en zo mogelijk te beperken? 1)</w:t>
      </w:r>
      <w:r>
        <w:br/>
      </w:r>
    </w:p>
    <w:p>
      <w:pPr>
        <w:pStyle w:val="ListParagraph"/>
        <w:numPr>
          <w:ilvl w:val="0"/>
          <w:numId w:val="100459480"/>
        </w:numPr>
        <w:ind w:left="360"/>
      </w:pPr>
      <w:r>
        <w:t>Waarom beweert de SGH dat er geen sprake is van commerciële tarieven, terwijl er hoge salariskosten voor juridische en andere specialisten zijn en er niet wordt gekozen voor vaste vergoedingen die aansluiten bij publieke sectorstandaarden?</w:t>
      </w:r>
      <w:r>
        <w:br/>
      </w:r>
    </w:p>
    <w:p>
      <w:pPr>
        <w:pStyle w:val="ListParagraph"/>
        <w:numPr>
          <w:ilvl w:val="0"/>
          <w:numId w:val="100459480"/>
        </w:numPr>
        <w:ind w:left="360"/>
      </w:pPr>
      <w:r>
        <w:t>Waarom worden de uitgebreide financiële jaarverslagen voor 2023 en 2024 niet openbaar gemaakt en welke maatregelen worden getroffen om volledige transparantie over het gebruik van publieke middelen binnen de stichting te waarborgen, zodat de Kamer haar controlerende taak kan vervullen?</w:t>
      </w:r>
      <w:r>
        <w:br/>
      </w:r>
    </w:p>
    <w:p>
      <w:pPr>
        <w:pStyle w:val="ListParagraph"/>
        <w:numPr>
          <w:ilvl w:val="0"/>
          <w:numId w:val="100459480"/>
        </w:numPr>
        <w:ind w:left="360"/>
      </w:pPr>
      <w:r>
        <w:t>Bent u ermee bekend dat de SGH jaarlijks 240.000 euro overmaakt naar de Number 5 Foundation van prinses Laurentien en wordt dit bedrag naast goedkeuring van de accountant onafhankelijk en transparant beoordeeld en zijn er plannen deze uitgaven te herzien?</w:t>
      </w:r>
      <w:r>
        <w:br/>
      </w:r>
    </w:p>
    <w:p>
      <w:pPr>
        <w:pStyle w:val="ListParagraph"/>
        <w:numPr>
          <w:ilvl w:val="0"/>
          <w:numId w:val="100459480"/>
        </w:numPr>
        <w:ind w:left="360"/>
      </w:pPr>
      <w:r>
        <w:t> Kunt u toelichten waarom letselschade-experts, ondanks eerdere toezeggingen om hun expertise vrijwillig ter beschikking te stellen, nu toch aanzienlijke vergoedingen ontvangen?</w:t>
      </w:r>
      <w:r>
        <w:br/>
      </w:r>
    </w:p>
    <w:p>
      <w:pPr>
        <w:pStyle w:val="ListParagraph"/>
        <w:numPr>
          <w:ilvl w:val="0"/>
          <w:numId w:val="100459480"/>
        </w:numPr>
        <w:ind w:left="360"/>
      </w:pPr>
      <w:r>
        <w:t> Hoe wordt onafhankelijk toezicht gewaarborgd op de besteding van de 100 miljoen euro die het ministerie van Financiën aan de SGH heeft toegewezen?</w:t>
      </w:r>
      <w:r>
        <w:br/>
      </w:r>
    </w:p>
    <w:p>
      <w:pPr>
        <w:pStyle w:val="ListParagraph"/>
        <w:numPr>
          <w:ilvl w:val="0"/>
          <w:numId w:val="100459480"/>
        </w:numPr>
        <w:ind w:left="360"/>
      </w:pPr>
      <w:r>
        <w:t>Bent u het ermee eens dat de hersteloperatie geen verdienmodel zou moeten worden voor dure consultants, gezien het uurtarief van 172 euro voor juridische medewerkers bij de SGH, waarvoor een volle werkweek kan worden gedeclareerd, terwijl dit in de sociale advocatuur niet gangbaar is?</w:t>
      </w:r>
      <w:r>
        <w:br/>
      </w:r>
    </w:p>
    <w:p>
      <w:r>
        <w:t xml:space="preserve"> </w:t>
      </w:r>
      <w:r>
        <w:br/>
      </w:r>
    </w:p>
    <w:p>
      <w:r>
        <w:t xml:space="preserve">1) NRC, 5 november 2024, "Hersteloperatie Toeslagen lucratief voor medewerkers stichting Laurentien."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59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410">
    <w:abstractNumId w:val="100459410"/>
  </w:num>
  <w:num w:numId="100459411">
    <w:abstractNumId w:val="10045941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