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699E" w:rsidR="00F530C7" w:rsidP="00515C0D" w:rsidRDefault="00F530C7" w14:paraId="70C825A7" w14:textId="2FBA9B4E">
      <w:pPr>
        <w:rPr>
          <w:rFonts w:ascii="Times New Roman" w:hAnsi="Times New Roman" w:cs="Times New Roman"/>
          <w:b/>
          <w:sz w:val="24"/>
          <w:szCs w:val="24"/>
        </w:rPr>
      </w:pPr>
    </w:p>
    <w:p w:rsidRPr="00B4699E" w:rsidR="005B0E19" w:rsidP="005B0E19" w:rsidRDefault="005B0E19" w14:paraId="366FA185" w14:textId="77777777">
      <w:pPr>
        <w:rPr>
          <w:rFonts w:ascii="Times New Roman" w:hAnsi="Times New Roman" w:cs="Times New Roman"/>
          <w:b/>
          <w:bCs/>
          <w:sz w:val="24"/>
          <w:szCs w:val="24"/>
        </w:rPr>
      </w:pPr>
      <w:r w:rsidRPr="00B4699E">
        <w:rPr>
          <w:rFonts w:ascii="Times New Roman" w:hAnsi="Times New Roman" w:cs="Times New Roman"/>
          <w:b/>
          <w:bCs/>
          <w:sz w:val="24"/>
          <w:szCs w:val="24"/>
        </w:rPr>
        <w:t>34 340</w:t>
      </w:r>
      <w:r w:rsidRPr="00B4699E">
        <w:rPr>
          <w:rFonts w:ascii="Times New Roman" w:hAnsi="Times New Roman" w:cs="Times New Roman"/>
          <w:b/>
          <w:bCs/>
          <w:sz w:val="24"/>
          <w:szCs w:val="24"/>
        </w:rPr>
        <w:tab/>
      </w:r>
      <w:r w:rsidRPr="00B4699E">
        <w:rPr>
          <w:rFonts w:ascii="Times New Roman" w:hAnsi="Times New Roman" w:cs="Times New Roman"/>
          <w:b/>
          <w:bCs/>
          <w:sz w:val="24"/>
          <w:szCs w:val="24"/>
        </w:rPr>
        <w:tab/>
      </w:r>
      <w:r w:rsidRPr="00B4699E">
        <w:rPr>
          <w:rFonts w:ascii="Times New Roman" w:hAnsi="Times New Roman" w:cs="Times New Roman"/>
          <w:b/>
          <w:bCs/>
          <w:sz w:val="24"/>
          <w:szCs w:val="24"/>
        </w:rPr>
        <w:tab/>
        <w:t>Instellen van een commissie van onderzoek</w:t>
      </w:r>
    </w:p>
    <w:p w:rsidRPr="00B4699E" w:rsidR="005B0E19" w:rsidP="007144DC" w:rsidRDefault="005B0E19" w14:paraId="5559C7CF" w14:textId="77777777">
      <w:pPr>
        <w:pStyle w:val="Geenafstand"/>
        <w:rPr>
          <w:rFonts w:ascii="Times New Roman" w:hAnsi="Times New Roman" w:cs="Times New Roman"/>
          <w:b/>
          <w:bCs/>
          <w:sz w:val="24"/>
          <w:szCs w:val="24"/>
        </w:rPr>
      </w:pPr>
      <w:r w:rsidRPr="00B4699E">
        <w:rPr>
          <w:rFonts w:ascii="Times New Roman" w:hAnsi="Times New Roman" w:cs="Times New Roman"/>
          <w:b/>
          <w:bCs/>
          <w:sz w:val="24"/>
          <w:szCs w:val="24"/>
        </w:rPr>
        <w:t>Nr. 23</w:t>
      </w:r>
      <w:r w:rsidRPr="00B4699E">
        <w:rPr>
          <w:rFonts w:ascii="Times New Roman" w:hAnsi="Times New Roman" w:cs="Times New Roman"/>
          <w:b/>
          <w:bCs/>
          <w:sz w:val="24"/>
          <w:szCs w:val="24"/>
        </w:rPr>
        <w:tab/>
      </w:r>
      <w:r w:rsidRPr="00B4699E">
        <w:rPr>
          <w:rFonts w:ascii="Times New Roman" w:hAnsi="Times New Roman" w:cs="Times New Roman"/>
          <w:b/>
          <w:bCs/>
          <w:sz w:val="24"/>
          <w:szCs w:val="24"/>
        </w:rPr>
        <w:tab/>
      </w:r>
      <w:r w:rsidRPr="00B4699E">
        <w:rPr>
          <w:rFonts w:ascii="Times New Roman" w:hAnsi="Times New Roman" w:cs="Times New Roman"/>
          <w:b/>
          <w:bCs/>
          <w:sz w:val="24"/>
          <w:szCs w:val="24"/>
        </w:rPr>
        <w:tab/>
        <w:t>Verslag van een schriftelijk overleg</w:t>
      </w:r>
    </w:p>
    <w:p w:rsidRPr="00B4699E" w:rsidR="005B0E19" w:rsidP="007144DC" w:rsidRDefault="005B0E19" w14:paraId="705326F7" w14:textId="77777777">
      <w:pPr>
        <w:pStyle w:val="Geenafstand"/>
        <w:rPr>
          <w:rFonts w:ascii="Times New Roman" w:hAnsi="Times New Roman" w:cs="Times New Roman"/>
          <w:sz w:val="24"/>
          <w:szCs w:val="24"/>
        </w:rPr>
      </w:pPr>
      <w:r w:rsidRPr="00B4699E">
        <w:rPr>
          <w:rFonts w:ascii="Times New Roman" w:hAnsi="Times New Roman" w:cs="Times New Roman"/>
          <w:sz w:val="24"/>
          <w:szCs w:val="24"/>
        </w:rPr>
        <w:tab/>
      </w:r>
      <w:r w:rsidRPr="00B4699E">
        <w:rPr>
          <w:rFonts w:ascii="Times New Roman" w:hAnsi="Times New Roman" w:cs="Times New Roman"/>
          <w:sz w:val="24"/>
          <w:szCs w:val="24"/>
        </w:rPr>
        <w:tab/>
      </w:r>
      <w:r w:rsidRPr="00B4699E">
        <w:rPr>
          <w:rFonts w:ascii="Times New Roman" w:hAnsi="Times New Roman" w:cs="Times New Roman"/>
          <w:sz w:val="24"/>
          <w:szCs w:val="24"/>
        </w:rPr>
        <w:tab/>
        <w:t>Vastgesteld 5 november 2024</w:t>
      </w:r>
    </w:p>
    <w:p w:rsidRPr="00B4699E" w:rsidR="005B0E19" w:rsidP="005B0E19" w:rsidRDefault="005B0E19" w14:paraId="410AB89B" w14:textId="77777777">
      <w:pPr>
        <w:tabs>
          <w:tab w:val="left" w:pos="-1440"/>
          <w:tab w:val="left" w:pos="-720"/>
          <w:tab w:val="left" w:pos="0"/>
          <w:tab w:val="left" w:pos="720"/>
        </w:tabs>
        <w:suppressAutoHyphens/>
        <w:rPr>
          <w:rFonts w:ascii="Times New Roman" w:hAnsi="Times New Roman" w:cs="Times New Roman"/>
          <w:sz w:val="24"/>
          <w:szCs w:val="24"/>
        </w:rPr>
      </w:pPr>
    </w:p>
    <w:p w:rsidRPr="00B4699E" w:rsidR="005B0E19" w:rsidP="005B0E19" w:rsidRDefault="005B0E19" w14:paraId="17ACE55B" w14:textId="77777777">
      <w:pPr>
        <w:widowControl w:val="0"/>
        <w:rPr>
          <w:rFonts w:ascii="Times New Roman" w:hAnsi="Times New Roman" w:cs="Times New Roman"/>
          <w:snapToGrid w:val="0"/>
          <w:spacing w:val="-3"/>
          <w:sz w:val="24"/>
          <w:szCs w:val="24"/>
        </w:rPr>
      </w:pPr>
      <w:r w:rsidRPr="00B4699E">
        <w:rPr>
          <w:rFonts w:ascii="Times New Roman" w:hAnsi="Times New Roman" w:cs="Times New Roman"/>
          <w:sz w:val="24"/>
          <w:szCs w:val="24"/>
        </w:rPr>
        <w:t xml:space="preserve">De vaste commissie voor </w:t>
      </w:r>
      <w:r w:rsidRPr="00B4699E">
        <w:rPr>
          <w:rFonts w:ascii="Times New Roman" w:hAnsi="Times New Roman" w:cs="Times New Roman"/>
          <w:spacing w:val="-3"/>
          <w:sz w:val="24"/>
          <w:szCs w:val="24"/>
        </w:rPr>
        <w:t>Justitie en Veiligheid</w:t>
      </w:r>
      <w:r w:rsidRPr="00B4699E">
        <w:rPr>
          <w:rFonts w:ascii="Times New Roman" w:hAnsi="Times New Roman" w:cs="Times New Roman"/>
          <w:sz w:val="24"/>
          <w:szCs w:val="24"/>
        </w:rPr>
        <w:t xml:space="preserve"> heeft een aantal vragen en opmerkingen voorgelegd aan de ministers van </w:t>
      </w:r>
      <w:r w:rsidRPr="00B4699E">
        <w:rPr>
          <w:rFonts w:ascii="Times New Roman" w:hAnsi="Times New Roman" w:cs="Times New Roman"/>
          <w:spacing w:val="-3"/>
          <w:sz w:val="24"/>
          <w:szCs w:val="24"/>
        </w:rPr>
        <w:t>Justitie en Veiligheid en van Binnenlandse Zaken en Koninkrijksrelaties</w:t>
      </w:r>
      <w:r w:rsidRPr="00B4699E">
        <w:rPr>
          <w:rFonts w:ascii="Times New Roman" w:hAnsi="Times New Roman" w:cs="Times New Roman"/>
          <w:sz w:val="24"/>
          <w:szCs w:val="24"/>
        </w:rPr>
        <w:t xml:space="preserve"> over de brief van 12 april 2024 over herziening wetgeving ambtsdelicten Kamerleden en bewindspersonen (Kamerstuk 34 340, nr. 22). </w:t>
      </w:r>
    </w:p>
    <w:p w:rsidRPr="00B4699E" w:rsidR="005B0E19" w:rsidP="005B0E19" w:rsidRDefault="005B0E19" w14:paraId="74F0D14C" w14:textId="77777777">
      <w:pPr>
        <w:tabs>
          <w:tab w:val="left" w:pos="-1440"/>
          <w:tab w:val="left" w:pos="-720"/>
        </w:tabs>
        <w:suppressAutoHyphens/>
        <w:rPr>
          <w:rFonts w:ascii="Times New Roman" w:hAnsi="Times New Roman" w:cs="Times New Roman"/>
          <w:sz w:val="24"/>
          <w:szCs w:val="24"/>
        </w:rPr>
      </w:pPr>
      <w:r w:rsidRPr="00B4699E">
        <w:rPr>
          <w:rFonts w:ascii="Times New Roman" w:hAnsi="Times New Roman" w:cs="Times New Roman"/>
          <w:sz w:val="24"/>
          <w:szCs w:val="24"/>
        </w:rPr>
        <w:t>De vragen en opmerkingen zijn op 30 mei 2024 aan de ministers van Justitie en Veiligheid en van Binnenlandse Zaken en Koninkrijksrelaties voorgelegd. Bij brief van 5 november 2024 zijn de vragen beantwoord.</w:t>
      </w:r>
    </w:p>
    <w:p w:rsidRPr="00B4699E" w:rsidR="005B0E19" w:rsidP="005B0E19" w:rsidRDefault="005B0E19" w14:paraId="559A5442" w14:textId="77777777">
      <w:pPr>
        <w:tabs>
          <w:tab w:val="left" w:pos="-720"/>
        </w:tabs>
        <w:suppressAutoHyphens/>
        <w:rPr>
          <w:rFonts w:ascii="Times New Roman" w:hAnsi="Times New Roman" w:cs="Times New Roman"/>
          <w:sz w:val="24"/>
          <w:szCs w:val="24"/>
        </w:rPr>
      </w:pPr>
    </w:p>
    <w:p w:rsidRPr="00B4699E" w:rsidR="005B0E19" w:rsidP="005B0E19" w:rsidRDefault="005B0E19" w14:paraId="1C9F475D" w14:textId="77777777">
      <w:pPr>
        <w:tabs>
          <w:tab w:val="left" w:pos="-720"/>
        </w:tabs>
        <w:suppressAutoHyphens/>
        <w:rPr>
          <w:rFonts w:ascii="Times New Roman" w:hAnsi="Times New Roman" w:cs="Times New Roman"/>
          <w:sz w:val="24"/>
          <w:szCs w:val="24"/>
        </w:rPr>
      </w:pPr>
      <w:r w:rsidRPr="00B4699E">
        <w:rPr>
          <w:rFonts w:ascii="Times New Roman" w:hAnsi="Times New Roman" w:cs="Times New Roman"/>
          <w:sz w:val="24"/>
          <w:szCs w:val="24"/>
        </w:rPr>
        <w:t>De voorzitter van de commissie,</w:t>
      </w:r>
    </w:p>
    <w:p w:rsidRPr="00B4699E" w:rsidR="005B0E19" w:rsidP="005B0E19" w:rsidRDefault="005B0E19" w14:paraId="25817708" w14:textId="77777777">
      <w:pPr>
        <w:tabs>
          <w:tab w:val="left" w:pos="-720"/>
        </w:tabs>
        <w:suppressAutoHyphens/>
        <w:rPr>
          <w:rFonts w:ascii="Times New Roman" w:hAnsi="Times New Roman" w:cs="Times New Roman"/>
          <w:sz w:val="24"/>
          <w:szCs w:val="24"/>
        </w:rPr>
      </w:pPr>
      <w:r w:rsidRPr="00B4699E">
        <w:rPr>
          <w:rFonts w:ascii="Times New Roman" w:hAnsi="Times New Roman" w:cs="Times New Roman"/>
          <w:sz w:val="24"/>
          <w:szCs w:val="24"/>
        </w:rPr>
        <w:t>Pool</w:t>
      </w:r>
    </w:p>
    <w:p w:rsidRPr="00B4699E" w:rsidR="005B0E19" w:rsidP="005B0E19" w:rsidRDefault="005B0E19" w14:paraId="72C022E1" w14:textId="77777777">
      <w:pPr>
        <w:tabs>
          <w:tab w:val="left" w:pos="-720"/>
        </w:tabs>
        <w:suppressAutoHyphens/>
        <w:rPr>
          <w:rFonts w:ascii="Times New Roman" w:hAnsi="Times New Roman" w:cs="Times New Roman"/>
          <w:sz w:val="24"/>
          <w:szCs w:val="24"/>
        </w:rPr>
      </w:pPr>
    </w:p>
    <w:p w:rsidRPr="00B4699E" w:rsidR="005B0E19" w:rsidP="005B0E19" w:rsidRDefault="005B0E19" w14:paraId="5006FBB0" w14:textId="77777777">
      <w:pPr>
        <w:tabs>
          <w:tab w:val="left" w:pos="-720"/>
        </w:tabs>
        <w:suppressAutoHyphens/>
        <w:rPr>
          <w:rFonts w:ascii="Times New Roman" w:hAnsi="Times New Roman" w:cs="Times New Roman"/>
          <w:sz w:val="24"/>
          <w:szCs w:val="24"/>
        </w:rPr>
      </w:pPr>
      <w:r w:rsidRPr="00B4699E">
        <w:rPr>
          <w:rFonts w:ascii="Times New Roman" w:hAnsi="Times New Roman" w:cs="Times New Roman"/>
          <w:sz w:val="24"/>
          <w:szCs w:val="24"/>
        </w:rPr>
        <w:t>Adjunct-griffier van de commissie,</w:t>
      </w:r>
    </w:p>
    <w:p w:rsidRPr="00B4699E" w:rsidR="005B0E19" w:rsidP="005B0E19" w:rsidRDefault="005B0E19" w14:paraId="36F262C8" w14:textId="77777777">
      <w:pPr>
        <w:tabs>
          <w:tab w:val="left" w:pos="-720"/>
        </w:tabs>
        <w:suppressAutoHyphens/>
        <w:rPr>
          <w:rFonts w:ascii="Times New Roman" w:hAnsi="Times New Roman" w:cs="Times New Roman"/>
          <w:sz w:val="24"/>
          <w:szCs w:val="24"/>
        </w:rPr>
      </w:pPr>
      <w:r w:rsidRPr="00B4699E">
        <w:rPr>
          <w:rFonts w:ascii="Times New Roman" w:hAnsi="Times New Roman" w:cs="Times New Roman"/>
          <w:sz w:val="24"/>
          <w:szCs w:val="24"/>
        </w:rPr>
        <w:t>Vroege</w:t>
      </w:r>
    </w:p>
    <w:p w:rsidRPr="00B4699E" w:rsidR="005B0E19" w:rsidP="005B0E19" w:rsidRDefault="005B0E19" w14:paraId="0BC47650" w14:textId="77777777">
      <w:pPr>
        <w:tabs>
          <w:tab w:val="left" w:pos="-720"/>
        </w:tabs>
        <w:suppressAutoHyphens/>
        <w:rPr>
          <w:rFonts w:ascii="Times New Roman" w:hAnsi="Times New Roman" w:cs="Times New Roman"/>
          <w:sz w:val="24"/>
          <w:szCs w:val="24"/>
        </w:rPr>
      </w:pPr>
    </w:p>
    <w:p w:rsidRPr="00B4699E" w:rsidR="005B0E19" w:rsidP="005B0E19" w:rsidRDefault="005B0E19" w14:paraId="0AFBA4DF" w14:textId="77777777">
      <w:pPr>
        <w:tabs>
          <w:tab w:val="left" w:pos="-720"/>
        </w:tabs>
        <w:suppressAutoHyphens/>
        <w:rPr>
          <w:rFonts w:ascii="Times New Roman" w:hAnsi="Times New Roman" w:cs="Times New Roman"/>
          <w:sz w:val="24"/>
          <w:szCs w:val="24"/>
        </w:rPr>
      </w:pPr>
    </w:p>
    <w:p w:rsidR="00B4699E" w:rsidRDefault="00B4699E" w14:paraId="5B4D5C5A" w14:textId="7777777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Pr="00B4699E" w:rsidR="005B0E19" w:rsidP="00C01799" w:rsidRDefault="005B0E19" w14:paraId="4929723B" w14:textId="529939DB">
      <w:pPr>
        <w:rPr>
          <w:rFonts w:ascii="Times New Roman" w:hAnsi="Times New Roman" w:cs="Times New Roman"/>
          <w:b/>
          <w:bCs/>
          <w:sz w:val="24"/>
          <w:szCs w:val="24"/>
        </w:rPr>
      </w:pPr>
      <w:r w:rsidRPr="00B4699E">
        <w:rPr>
          <w:rFonts w:ascii="Times New Roman" w:hAnsi="Times New Roman" w:cs="Times New Roman"/>
          <w:b/>
          <w:bCs/>
          <w:sz w:val="24"/>
          <w:szCs w:val="24"/>
        </w:rPr>
        <w:lastRenderedPageBreak/>
        <w:t xml:space="preserve">Inleiding </w:t>
      </w:r>
    </w:p>
    <w:p w:rsidRPr="00B4699E" w:rsidR="005B0E19" w:rsidP="00C01799" w:rsidRDefault="005B0E19" w14:paraId="45182566" w14:textId="77777777">
      <w:pPr>
        <w:rPr>
          <w:rFonts w:ascii="Times New Roman" w:hAnsi="Times New Roman" w:cs="Times New Roman"/>
          <w:sz w:val="24"/>
          <w:szCs w:val="24"/>
        </w:rPr>
      </w:pPr>
    </w:p>
    <w:p w:rsidRPr="00B4699E" w:rsidR="00EF02CC" w:rsidP="00C01799" w:rsidRDefault="00F010D9" w14:paraId="67C6365F" w14:textId="56102995">
      <w:pPr>
        <w:rPr>
          <w:rFonts w:ascii="Times New Roman" w:hAnsi="Times New Roman" w:cs="Times New Roman"/>
          <w:sz w:val="24"/>
          <w:szCs w:val="24"/>
        </w:rPr>
      </w:pPr>
      <w:r w:rsidRPr="00B4699E">
        <w:rPr>
          <w:rFonts w:ascii="Times New Roman" w:hAnsi="Times New Roman" w:cs="Times New Roman"/>
          <w:sz w:val="24"/>
          <w:szCs w:val="24"/>
        </w:rPr>
        <w:t>Met belangstelling heb</w:t>
      </w:r>
      <w:r w:rsidRPr="00B4699E" w:rsidR="00D6563E">
        <w:rPr>
          <w:rFonts w:ascii="Times New Roman" w:hAnsi="Times New Roman" w:cs="Times New Roman"/>
          <w:sz w:val="24"/>
          <w:szCs w:val="24"/>
        </w:rPr>
        <w:t>ben wij</w:t>
      </w:r>
      <w:r w:rsidRPr="00B4699E">
        <w:rPr>
          <w:rFonts w:ascii="Times New Roman" w:hAnsi="Times New Roman" w:cs="Times New Roman"/>
          <w:sz w:val="24"/>
          <w:szCs w:val="24"/>
        </w:rPr>
        <w:t xml:space="preserve"> kennisgenomen van </w:t>
      </w:r>
      <w:r w:rsidRPr="00B4699E" w:rsidR="00940FA8">
        <w:rPr>
          <w:rFonts w:ascii="Times New Roman" w:hAnsi="Times New Roman" w:cs="Times New Roman"/>
          <w:sz w:val="24"/>
          <w:szCs w:val="24"/>
        </w:rPr>
        <w:t>de schriftelijke vragen en opmerkingen van</w:t>
      </w:r>
      <w:r w:rsidRPr="00B4699E">
        <w:rPr>
          <w:rFonts w:ascii="Times New Roman" w:hAnsi="Times New Roman" w:cs="Times New Roman"/>
          <w:sz w:val="24"/>
          <w:szCs w:val="24"/>
        </w:rPr>
        <w:t xml:space="preserve"> de </w:t>
      </w:r>
      <w:r w:rsidRPr="00B4699E" w:rsidR="00940FA8">
        <w:rPr>
          <w:rFonts w:ascii="Times New Roman" w:hAnsi="Times New Roman" w:cs="Times New Roman"/>
          <w:sz w:val="24"/>
          <w:szCs w:val="24"/>
        </w:rPr>
        <w:t xml:space="preserve">vaste </w:t>
      </w:r>
      <w:r w:rsidRPr="00B4699E">
        <w:rPr>
          <w:rFonts w:ascii="Times New Roman" w:hAnsi="Times New Roman" w:cs="Times New Roman"/>
          <w:sz w:val="24"/>
          <w:szCs w:val="24"/>
        </w:rPr>
        <w:t xml:space="preserve">commissie voor </w:t>
      </w:r>
      <w:r w:rsidRPr="00B4699E" w:rsidR="00EC1FB7">
        <w:rPr>
          <w:rFonts w:ascii="Times New Roman" w:hAnsi="Times New Roman" w:cs="Times New Roman"/>
          <w:sz w:val="24"/>
          <w:szCs w:val="24"/>
        </w:rPr>
        <w:t xml:space="preserve">Justitie en Veiligheid </w:t>
      </w:r>
      <w:r w:rsidRPr="00B4699E" w:rsidR="00940FA8">
        <w:rPr>
          <w:rFonts w:ascii="Times New Roman" w:hAnsi="Times New Roman" w:cs="Times New Roman"/>
          <w:sz w:val="24"/>
          <w:szCs w:val="24"/>
        </w:rPr>
        <w:t>naar aanleiding van</w:t>
      </w:r>
      <w:r w:rsidRPr="00B4699E">
        <w:rPr>
          <w:rFonts w:ascii="Times New Roman" w:hAnsi="Times New Roman" w:cs="Times New Roman"/>
          <w:sz w:val="24"/>
          <w:szCs w:val="24"/>
        </w:rPr>
        <w:t xml:space="preserve"> </w:t>
      </w:r>
      <w:r w:rsidRPr="00B4699E" w:rsidR="00EC1FB7">
        <w:rPr>
          <w:rFonts w:ascii="Times New Roman" w:hAnsi="Times New Roman" w:cs="Times New Roman"/>
          <w:sz w:val="24"/>
          <w:szCs w:val="24"/>
        </w:rPr>
        <w:t xml:space="preserve">de </w:t>
      </w:r>
      <w:r w:rsidRPr="00B4699E" w:rsidR="00940FA8">
        <w:rPr>
          <w:rFonts w:ascii="Times New Roman" w:hAnsi="Times New Roman" w:cs="Times New Roman"/>
          <w:sz w:val="24"/>
          <w:szCs w:val="24"/>
        </w:rPr>
        <w:t xml:space="preserve">door </w:t>
      </w:r>
      <w:r w:rsidRPr="00B4699E" w:rsidR="00D6563E">
        <w:rPr>
          <w:rFonts w:ascii="Times New Roman" w:hAnsi="Times New Roman" w:cs="Times New Roman"/>
          <w:sz w:val="24"/>
          <w:szCs w:val="24"/>
        </w:rPr>
        <w:t xml:space="preserve">onze </w:t>
      </w:r>
      <w:r w:rsidRPr="00B4699E" w:rsidR="00940FA8">
        <w:rPr>
          <w:rFonts w:ascii="Times New Roman" w:hAnsi="Times New Roman" w:cs="Times New Roman"/>
          <w:sz w:val="24"/>
          <w:szCs w:val="24"/>
        </w:rPr>
        <w:t>ambtsvoorganger</w:t>
      </w:r>
      <w:r w:rsidRPr="00B4699E" w:rsidR="00D6563E">
        <w:rPr>
          <w:rFonts w:ascii="Times New Roman" w:hAnsi="Times New Roman" w:cs="Times New Roman"/>
          <w:sz w:val="24"/>
          <w:szCs w:val="24"/>
        </w:rPr>
        <w:t>s</w:t>
      </w:r>
      <w:r w:rsidRPr="00B4699E" w:rsidR="00940FA8">
        <w:rPr>
          <w:rFonts w:ascii="Times New Roman" w:hAnsi="Times New Roman" w:cs="Times New Roman"/>
          <w:sz w:val="24"/>
          <w:szCs w:val="24"/>
        </w:rPr>
        <w:t xml:space="preserve"> toegezonden hoofdlijnenbrief, tevens </w:t>
      </w:r>
      <w:r w:rsidRPr="00B4699E" w:rsidR="00C01799">
        <w:rPr>
          <w:rFonts w:ascii="Times New Roman" w:hAnsi="Times New Roman" w:cs="Times New Roman"/>
          <w:sz w:val="24"/>
          <w:szCs w:val="24"/>
        </w:rPr>
        <w:t>kabinetsreactie op het rapport van de Commissie herziening wetgeving ambtsdelicten Kamerleden en bewindspersonen.</w:t>
      </w:r>
      <w:r w:rsidRPr="00B4699E" w:rsidR="00C01799">
        <w:rPr>
          <w:rStyle w:val="Voetnootmarkering"/>
          <w:rFonts w:ascii="Times New Roman" w:hAnsi="Times New Roman" w:cs="Times New Roman"/>
          <w:sz w:val="24"/>
          <w:szCs w:val="24"/>
        </w:rPr>
        <w:footnoteReference w:id="1"/>
      </w:r>
      <w:r w:rsidRPr="00B4699E" w:rsidR="00C01799">
        <w:rPr>
          <w:rFonts w:ascii="Times New Roman" w:hAnsi="Times New Roman" w:cs="Times New Roman"/>
          <w:sz w:val="24"/>
          <w:szCs w:val="24"/>
        </w:rPr>
        <w:t xml:space="preserve"> </w:t>
      </w:r>
      <w:r w:rsidRPr="00B4699E" w:rsidR="00D6563E">
        <w:rPr>
          <w:rFonts w:ascii="Times New Roman" w:hAnsi="Times New Roman" w:cs="Times New Roman"/>
          <w:sz w:val="24"/>
          <w:szCs w:val="24"/>
        </w:rPr>
        <w:t>Wij</w:t>
      </w:r>
      <w:r w:rsidRPr="00B4699E">
        <w:rPr>
          <w:rFonts w:ascii="Times New Roman" w:hAnsi="Times New Roman" w:cs="Times New Roman"/>
          <w:sz w:val="24"/>
          <w:szCs w:val="24"/>
        </w:rPr>
        <w:t xml:space="preserve"> dank</w:t>
      </w:r>
      <w:r w:rsidRPr="00B4699E" w:rsidR="00D6563E">
        <w:rPr>
          <w:rFonts w:ascii="Times New Roman" w:hAnsi="Times New Roman" w:cs="Times New Roman"/>
          <w:sz w:val="24"/>
          <w:szCs w:val="24"/>
        </w:rPr>
        <w:t>en</w:t>
      </w:r>
      <w:r w:rsidRPr="00B4699E">
        <w:rPr>
          <w:rFonts w:ascii="Times New Roman" w:hAnsi="Times New Roman" w:cs="Times New Roman"/>
          <w:sz w:val="24"/>
          <w:szCs w:val="24"/>
        </w:rPr>
        <w:t xml:space="preserve"> de leden van de fracties voor de </w:t>
      </w:r>
      <w:r w:rsidRPr="00B4699E" w:rsidR="006E1DE1">
        <w:rPr>
          <w:rFonts w:ascii="Times New Roman" w:hAnsi="Times New Roman" w:cs="Times New Roman"/>
          <w:sz w:val="24"/>
          <w:szCs w:val="24"/>
        </w:rPr>
        <w:t xml:space="preserve">steun voor de voorgenomen herziening en de </w:t>
      </w:r>
      <w:r w:rsidRPr="00B4699E">
        <w:rPr>
          <w:rFonts w:ascii="Times New Roman" w:hAnsi="Times New Roman" w:cs="Times New Roman"/>
          <w:sz w:val="24"/>
          <w:szCs w:val="24"/>
        </w:rPr>
        <w:t xml:space="preserve">gestelde vragen, die </w:t>
      </w:r>
      <w:r w:rsidRPr="00B4699E" w:rsidR="00D6563E">
        <w:rPr>
          <w:rFonts w:ascii="Times New Roman" w:hAnsi="Times New Roman" w:cs="Times New Roman"/>
          <w:sz w:val="24"/>
          <w:szCs w:val="24"/>
        </w:rPr>
        <w:t xml:space="preserve">wij </w:t>
      </w:r>
      <w:r w:rsidRPr="00B4699E">
        <w:rPr>
          <w:rFonts w:ascii="Times New Roman" w:hAnsi="Times New Roman" w:cs="Times New Roman"/>
          <w:sz w:val="24"/>
          <w:szCs w:val="24"/>
        </w:rPr>
        <w:t>in deze brief</w:t>
      </w:r>
      <w:r w:rsidRPr="00B4699E" w:rsidR="00D6563E">
        <w:rPr>
          <w:rFonts w:ascii="Times New Roman" w:hAnsi="Times New Roman" w:cs="Times New Roman"/>
          <w:sz w:val="24"/>
          <w:szCs w:val="24"/>
        </w:rPr>
        <w:t xml:space="preserve"> </w:t>
      </w:r>
      <w:r w:rsidRPr="00B4699E">
        <w:rPr>
          <w:rFonts w:ascii="Times New Roman" w:hAnsi="Times New Roman" w:cs="Times New Roman"/>
          <w:sz w:val="24"/>
          <w:szCs w:val="24"/>
        </w:rPr>
        <w:t>beantwoord</w:t>
      </w:r>
      <w:r w:rsidRPr="00B4699E" w:rsidR="00D6563E">
        <w:rPr>
          <w:rFonts w:ascii="Times New Roman" w:hAnsi="Times New Roman" w:cs="Times New Roman"/>
          <w:sz w:val="24"/>
          <w:szCs w:val="24"/>
        </w:rPr>
        <w:t>en</w:t>
      </w:r>
      <w:r w:rsidRPr="00B4699E">
        <w:rPr>
          <w:rFonts w:ascii="Times New Roman" w:hAnsi="Times New Roman" w:cs="Times New Roman"/>
          <w:sz w:val="24"/>
          <w:szCs w:val="24"/>
        </w:rPr>
        <w:t xml:space="preserve">. De vragen </w:t>
      </w:r>
      <w:r w:rsidRPr="00B4699E" w:rsidR="00EC1FB7">
        <w:rPr>
          <w:rFonts w:ascii="Times New Roman" w:hAnsi="Times New Roman" w:cs="Times New Roman"/>
          <w:sz w:val="24"/>
          <w:szCs w:val="24"/>
        </w:rPr>
        <w:t xml:space="preserve">en opmerkingen van de leden van de fracties </w:t>
      </w:r>
      <w:r w:rsidRPr="00B4699E">
        <w:rPr>
          <w:rFonts w:ascii="Times New Roman" w:hAnsi="Times New Roman" w:cs="Times New Roman"/>
          <w:sz w:val="24"/>
          <w:szCs w:val="24"/>
        </w:rPr>
        <w:t>zijn cursief weergegeven.</w:t>
      </w:r>
      <w:r w:rsidRPr="00B4699E" w:rsidR="003A3AAA">
        <w:rPr>
          <w:rFonts w:ascii="Times New Roman" w:hAnsi="Times New Roman" w:cs="Times New Roman"/>
          <w:sz w:val="24"/>
          <w:szCs w:val="24"/>
        </w:rPr>
        <w:t xml:space="preserve"> </w:t>
      </w:r>
      <w:r w:rsidRPr="00B4699E" w:rsidR="00940FA8">
        <w:rPr>
          <w:rFonts w:ascii="Times New Roman" w:hAnsi="Times New Roman" w:cs="Times New Roman"/>
          <w:sz w:val="24"/>
          <w:szCs w:val="24"/>
        </w:rPr>
        <w:t>G</w:t>
      </w:r>
      <w:r w:rsidRPr="00B4699E" w:rsidR="003A3AAA">
        <w:rPr>
          <w:rFonts w:ascii="Times New Roman" w:hAnsi="Times New Roman" w:cs="Times New Roman"/>
          <w:sz w:val="24"/>
          <w:szCs w:val="24"/>
        </w:rPr>
        <w:t>elet op de aard van het onderwerp</w:t>
      </w:r>
      <w:r w:rsidRPr="00B4699E" w:rsidR="00940FA8">
        <w:rPr>
          <w:rFonts w:ascii="Times New Roman" w:hAnsi="Times New Roman" w:cs="Times New Roman"/>
          <w:sz w:val="24"/>
          <w:szCs w:val="24"/>
        </w:rPr>
        <w:t xml:space="preserve"> wordt een afschrift van deze beantwoording</w:t>
      </w:r>
      <w:r w:rsidRPr="00B4699E" w:rsidR="003A3AAA">
        <w:rPr>
          <w:rFonts w:ascii="Times New Roman" w:hAnsi="Times New Roman" w:cs="Times New Roman"/>
          <w:sz w:val="24"/>
          <w:szCs w:val="24"/>
        </w:rPr>
        <w:t xml:space="preserve"> toegezonden aan de Eerste Kamer.</w:t>
      </w:r>
    </w:p>
    <w:p w:rsidRPr="00B4699E" w:rsidR="00380B75" w:rsidP="00C01799" w:rsidRDefault="00612F48" w14:paraId="47201435" w14:textId="006CC4CA">
      <w:pPr>
        <w:rPr>
          <w:rFonts w:ascii="Times New Roman" w:hAnsi="Times New Roman" w:cs="Times New Roman"/>
          <w:sz w:val="24"/>
          <w:szCs w:val="24"/>
        </w:rPr>
      </w:pPr>
      <w:r w:rsidRPr="00B4699E">
        <w:rPr>
          <w:rFonts w:ascii="Times New Roman" w:hAnsi="Times New Roman" w:cs="Times New Roman"/>
          <w:sz w:val="24"/>
          <w:szCs w:val="24"/>
        </w:rPr>
        <w:t xml:space="preserve">Op deze plaats merken wij op dat ook het nieuwe kabinet </w:t>
      </w:r>
      <w:r w:rsidRPr="00B4699E" w:rsidR="002A32B9">
        <w:rPr>
          <w:rFonts w:ascii="Times New Roman" w:hAnsi="Times New Roman" w:cs="Times New Roman"/>
          <w:sz w:val="24"/>
          <w:szCs w:val="24"/>
        </w:rPr>
        <w:t xml:space="preserve">het van belang acht dat </w:t>
      </w:r>
      <w:r w:rsidRPr="00B4699E">
        <w:rPr>
          <w:rFonts w:ascii="Times New Roman" w:hAnsi="Times New Roman" w:cs="Times New Roman"/>
          <w:sz w:val="24"/>
          <w:szCs w:val="24"/>
        </w:rPr>
        <w:t xml:space="preserve">integraal uitvoering </w:t>
      </w:r>
      <w:r w:rsidRPr="00B4699E" w:rsidR="002A32B9">
        <w:rPr>
          <w:rFonts w:ascii="Times New Roman" w:hAnsi="Times New Roman" w:cs="Times New Roman"/>
          <w:sz w:val="24"/>
          <w:szCs w:val="24"/>
        </w:rPr>
        <w:t>wordt ge</w:t>
      </w:r>
      <w:r w:rsidRPr="00B4699E">
        <w:rPr>
          <w:rFonts w:ascii="Times New Roman" w:hAnsi="Times New Roman" w:cs="Times New Roman"/>
          <w:sz w:val="24"/>
          <w:szCs w:val="24"/>
        </w:rPr>
        <w:t>geven aan de voorstellen van de commissie-</w:t>
      </w:r>
      <w:proofErr w:type="spellStart"/>
      <w:r w:rsidRPr="00B4699E">
        <w:rPr>
          <w:rFonts w:ascii="Times New Roman" w:hAnsi="Times New Roman" w:cs="Times New Roman"/>
          <w:sz w:val="24"/>
          <w:szCs w:val="24"/>
        </w:rPr>
        <w:t>Fokkens</w:t>
      </w:r>
      <w:proofErr w:type="spellEnd"/>
      <w:r w:rsidRPr="00B4699E" w:rsidR="00380B75">
        <w:rPr>
          <w:rFonts w:ascii="Times New Roman" w:hAnsi="Times New Roman" w:cs="Times New Roman"/>
          <w:sz w:val="24"/>
          <w:szCs w:val="24"/>
        </w:rPr>
        <w:t xml:space="preserve">. Het </w:t>
      </w:r>
      <w:r w:rsidRPr="00B4699E">
        <w:rPr>
          <w:rFonts w:ascii="Times New Roman" w:hAnsi="Times New Roman" w:cs="Times New Roman"/>
          <w:sz w:val="24"/>
          <w:szCs w:val="24"/>
        </w:rPr>
        <w:t xml:space="preserve">kabinet schaart zich achter de argumentatie die door de commissie </w:t>
      </w:r>
      <w:r w:rsidRPr="00B4699E" w:rsidR="0045030F">
        <w:rPr>
          <w:rFonts w:ascii="Times New Roman" w:hAnsi="Times New Roman" w:cs="Times New Roman"/>
          <w:sz w:val="24"/>
          <w:szCs w:val="24"/>
        </w:rPr>
        <w:t xml:space="preserve">is </w:t>
      </w:r>
      <w:r w:rsidRPr="00B4699E">
        <w:rPr>
          <w:rFonts w:ascii="Times New Roman" w:hAnsi="Times New Roman" w:cs="Times New Roman"/>
          <w:sz w:val="24"/>
          <w:szCs w:val="24"/>
        </w:rPr>
        <w:t>gegeven</w:t>
      </w:r>
      <w:r w:rsidRPr="00B4699E" w:rsidR="004A6E62">
        <w:rPr>
          <w:rFonts w:ascii="Times New Roman" w:hAnsi="Times New Roman" w:cs="Times New Roman"/>
          <w:sz w:val="24"/>
          <w:szCs w:val="24"/>
        </w:rPr>
        <w:t xml:space="preserve"> en onderschrijft dus ook de hoofdlijnenbrief van het vorige kabinet</w:t>
      </w:r>
      <w:r w:rsidRPr="00B4699E">
        <w:rPr>
          <w:rFonts w:ascii="Times New Roman" w:hAnsi="Times New Roman" w:cs="Times New Roman"/>
          <w:sz w:val="24"/>
          <w:szCs w:val="24"/>
        </w:rPr>
        <w:t xml:space="preserve">. </w:t>
      </w:r>
      <w:r w:rsidRPr="00B4699E" w:rsidR="002A32B9">
        <w:rPr>
          <w:rFonts w:ascii="Times New Roman" w:hAnsi="Times New Roman" w:cs="Times New Roman"/>
          <w:sz w:val="24"/>
          <w:szCs w:val="24"/>
        </w:rPr>
        <w:t>Met d</w:t>
      </w:r>
      <w:r w:rsidRPr="00B4699E" w:rsidR="00380B75">
        <w:rPr>
          <w:rFonts w:ascii="Times New Roman" w:hAnsi="Times New Roman" w:cs="Times New Roman"/>
          <w:sz w:val="24"/>
          <w:szCs w:val="24"/>
        </w:rPr>
        <w:t>e uitvoering van het rapport</w:t>
      </w:r>
      <w:r w:rsidRPr="00B4699E" w:rsidR="006706E3">
        <w:rPr>
          <w:rFonts w:ascii="Times New Roman" w:hAnsi="Times New Roman" w:cs="Times New Roman"/>
          <w:sz w:val="24"/>
          <w:szCs w:val="24"/>
        </w:rPr>
        <w:t xml:space="preserve"> van de Commissie herziening wetgeving ambtsdelicten Kamerleden en bewindspersonen (hierna </w:t>
      </w:r>
      <w:r w:rsidRPr="00B4699E" w:rsidR="00EC41A9">
        <w:rPr>
          <w:rFonts w:ascii="Times New Roman" w:hAnsi="Times New Roman" w:cs="Times New Roman"/>
          <w:sz w:val="24"/>
          <w:szCs w:val="24"/>
        </w:rPr>
        <w:t xml:space="preserve">ook </w:t>
      </w:r>
      <w:r w:rsidRPr="00B4699E" w:rsidR="006706E3">
        <w:rPr>
          <w:rFonts w:ascii="Times New Roman" w:hAnsi="Times New Roman" w:cs="Times New Roman"/>
          <w:sz w:val="24"/>
          <w:szCs w:val="24"/>
        </w:rPr>
        <w:t>aangeduid als het rapport</w:t>
      </w:r>
      <w:r w:rsidRPr="00B4699E" w:rsidR="00380B75">
        <w:rPr>
          <w:rFonts w:ascii="Times New Roman" w:hAnsi="Times New Roman" w:cs="Times New Roman"/>
          <w:sz w:val="24"/>
          <w:szCs w:val="24"/>
        </w:rPr>
        <w:t>-</w:t>
      </w:r>
      <w:proofErr w:type="spellStart"/>
      <w:r w:rsidRPr="00B4699E" w:rsidR="00380B75">
        <w:rPr>
          <w:rFonts w:ascii="Times New Roman" w:hAnsi="Times New Roman" w:cs="Times New Roman"/>
          <w:sz w:val="24"/>
          <w:szCs w:val="24"/>
        </w:rPr>
        <w:t>Fokkens</w:t>
      </w:r>
      <w:proofErr w:type="spellEnd"/>
      <w:r w:rsidRPr="00B4699E" w:rsidR="006706E3">
        <w:rPr>
          <w:rFonts w:ascii="Times New Roman" w:hAnsi="Times New Roman" w:cs="Times New Roman"/>
          <w:sz w:val="24"/>
          <w:szCs w:val="24"/>
        </w:rPr>
        <w:t>)</w:t>
      </w:r>
      <w:r w:rsidRPr="00B4699E" w:rsidR="00380B75">
        <w:rPr>
          <w:rFonts w:ascii="Times New Roman" w:hAnsi="Times New Roman" w:cs="Times New Roman"/>
          <w:sz w:val="24"/>
          <w:szCs w:val="24"/>
        </w:rPr>
        <w:t xml:space="preserve"> </w:t>
      </w:r>
      <w:r w:rsidRPr="00B4699E" w:rsidR="002A32B9">
        <w:rPr>
          <w:rFonts w:ascii="Times New Roman" w:hAnsi="Times New Roman" w:cs="Times New Roman"/>
          <w:sz w:val="24"/>
          <w:szCs w:val="24"/>
        </w:rPr>
        <w:t xml:space="preserve">wordt de aanbeveling opgevolgd van de Group of </w:t>
      </w:r>
      <w:proofErr w:type="spellStart"/>
      <w:r w:rsidRPr="00B4699E" w:rsidR="002A32B9">
        <w:rPr>
          <w:rFonts w:ascii="Times New Roman" w:hAnsi="Times New Roman" w:cs="Times New Roman"/>
          <w:sz w:val="24"/>
          <w:szCs w:val="24"/>
        </w:rPr>
        <w:t>States</w:t>
      </w:r>
      <w:proofErr w:type="spellEnd"/>
      <w:r w:rsidRPr="00B4699E" w:rsidR="002A32B9">
        <w:rPr>
          <w:rFonts w:ascii="Times New Roman" w:hAnsi="Times New Roman" w:cs="Times New Roman"/>
          <w:sz w:val="24"/>
          <w:szCs w:val="24"/>
        </w:rPr>
        <w:t xml:space="preserve"> </w:t>
      </w:r>
      <w:proofErr w:type="spellStart"/>
      <w:r w:rsidRPr="00B4699E" w:rsidR="002A32B9">
        <w:rPr>
          <w:rFonts w:ascii="Times New Roman" w:hAnsi="Times New Roman" w:cs="Times New Roman"/>
          <w:sz w:val="24"/>
          <w:szCs w:val="24"/>
        </w:rPr>
        <w:t>against</w:t>
      </w:r>
      <w:proofErr w:type="spellEnd"/>
      <w:r w:rsidRPr="00B4699E" w:rsidR="002A32B9">
        <w:rPr>
          <w:rFonts w:ascii="Times New Roman" w:hAnsi="Times New Roman" w:cs="Times New Roman"/>
          <w:sz w:val="24"/>
          <w:szCs w:val="24"/>
        </w:rPr>
        <w:t xml:space="preserve"> </w:t>
      </w:r>
      <w:proofErr w:type="spellStart"/>
      <w:r w:rsidRPr="00B4699E" w:rsidR="002A32B9">
        <w:rPr>
          <w:rFonts w:ascii="Times New Roman" w:hAnsi="Times New Roman" w:cs="Times New Roman"/>
          <w:sz w:val="24"/>
          <w:szCs w:val="24"/>
        </w:rPr>
        <w:t>Corruption</w:t>
      </w:r>
      <w:proofErr w:type="spellEnd"/>
      <w:r w:rsidRPr="00B4699E" w:rsidR="002A32B9">
        <w:rPr>
          <w:rFonts w:ascii="Times New Roman" w:hAnsi="Times New Roman" w:cs="Times New Roman"/>
          <w:sz w:val="24"/>
          <w:szCs w:val="24"/>
        </w:rPr>
        <w:t xml:space="preserve"> (GRECO) uit 2019 om – kort samengevat – belemmeringen in strafrechtelijke onderzoeken naar ambtsdelicten van bewindspersonen weg te nemen (zie paragraaf 4.4 van het rapport-</w:t>
      </w:r>
      <w:proofErr w:type="spellStart"/>
      <w:r w:rsidRPr="00B4699E" w:rsidR="002A32B9">
        <w:rPr>
          <w:rFonts w:ascii="Times New Roman" w:hAnsi="Times New Roman" w:cs="Times New Roman"/>
          <w:sz w:val="24"/>
          <w:szCs w:val="24"/>
        </w:rPr>
        <w:t>Fokkens</w:t>
      </w:r>
      <w:proofErr w:type="spellEnd"/>
      <w:r w:rsidRPr="00B4699E" w:rsidR="002A32B9">
        <w:rPr>
          <w:rFonts w:ascii="Times New Roman" w:hAnsi="Times New Roman" w:cs="Times New Roman"/>
          <w:sz w:val="24"/>
          <w:szCs w:val="24"/>
        </w:rPr>
        <w:t xml:space="preserve">). </w:t>
      </w:r>
    </w:p>
    <w:p w:rsidRPr="00B4699E" w:rsidR="00F530C7" w:rsidP="00F530C7" w:rsidRDefault="001D01D0" w14:paraId="04BD9C57" w14:textId="3730862E">
      <w:pPr>
        <w:rPr>
          <w:rFonts w:ascii="Times New Roman" w:hAnsi="Times New Roman" w:cs="Times New Roman"/>
          <w:b/>
          <w:bCs/>
          <w:sz w:val="24"/>
          <w:szCs w:val="24"/>
        </w:rPr>
      </w:pPr>
      <w:bookmarkStart w:name="_Hlk168579094" w:id="0"/>
      <w:r w:rsidRPr="00B4699E">
        <w:rPr>
          <w:rFonts w:ascii="Times New Roman" w:hAnsi="Times New Roman" w:cs="Times New Roman"/>
          <w:b/>
          <w:bCs/>
          <w:sz w:val="24"/>
          <w:szCs w:val="24"/>
        </w:rPr>
        <w:t xml:space="preserve">Vragen </w:t>
      </w:r>
      <w:r w:rsidRPr="00B4699E" w:rsidR="00EC1FB7">
        <w:rPr>
          <w:rFonts w:ascii="Times New Roman" w:hAnsi="Times New Roman" w:cs="Times New Roman"/>
          <w:b/>
          <w:bCs/>
          <w:sz w:val="24"/>
          <w:szCs w:val="24"/>
        </w:rPr>
        <w:t xml:space="preserve">en opmerkingen </w:t>
      </w:r>
      <w:r w:rsidRPr="00B4699E">
        <w:rPr>
          <w:rFonts w:ascii="Times New Roman" w:hAnsi="Times New Roman" w:cs="Times New Roman"/>
          <w:b/>
          <w:bCs/>
          <w:sz w:val="24"/>
          <w:szCs w:val="24"/>
        </w:rPr>
        <w:t>van de leden van de GroenLinks-PvdA-fractie</w:t>
      </w:r>
      <w:r w:rsidRPr="00B4699E" w:rsidR="005B0E19">
        <w:rPr>
          <w:rFonts w:ascii="Times New Roman" w:hAnsi="Times New Roman" w:cs="Times New Roman"/>
          <w:b/>
          <w:bCs/>
          <w:sz w:val="24"/>
          <w:szCs w:val="24"/>
        </w:rPr>
        <w:t xml:space="preserve"> en reactie van de bewindspersonen</w:t>
      </w:r>
    </w:p>
    <w:bookmarkEnd w:id="0"/>
    <w:p w:rsidRPr="00B4699E" w:rsidR="00EC1FB7" w:rsidP="00F95AAC" w:rsidRDefault="00EC1FB7" w14:paraId="5E7A7BE0" w14:textId="1DE82359">
      <w:pPr>
        <w:rPr>
          <w:rFonts w:ascii="Times New Roman" w:hAnsi="Times New Roman" w:cs="Times New Roman"/>
          <w:i/>
          <w:iCs/>
          <w:sz w:val="24"/>
          <w:szCs w:val="24"/>
        </w:rPr>
      </w:pPr>
      <w:r w:rsidRPr="00B4699E">
        <w:rPr>
          <w:rFonts w:ascii="Times New Roman" w:hAnsi="Times New Roman" w:cs="Times New Roman"/>
          <w:i/>
          <w:iCs/>
          <w:sz w:val="24"/>
          <w:szCs w:val="24"/>
        </w:rPr>
        <w:t>De leden van de GroenLinks-PvdA-fractie spreken hun steun uit voor de keuze om naast een tijdrovende grondwetsherziening (spoor II) tegelijkertijd te werken aan herziening van gewone wetgeving om de politiek op afstand van de genoemde vervolging te zetten (spoor I). De leden geven aan nog maar enkele schriftelijke vragen te hebben.</w:t>
      </w:r>
    </w:p>
    <w:p w:rsidRPr="00B4699E" w:rsidR="00F95AAC" w:rsidP="00F95AAC" w:rsidRDefault="00F95AAC" w14:paraId="3A8341BA" w14:textId="1BEF2874">
      <w:pPr>
        <w:rPr>
          <w:rFonts w:ascii="Times New Roman" w:hAnsi="Times New Roman" w:cs="Times New Roman"/>
          <w:i/>
          <w:iCs/>
          <w:sz w:val="24"/>
          <w:szCs w:val="24"/>
        </w:rPr>
      </w:pPr>
      <w:r w:rsidRPr="00B4699E">
        <w:rPr>
          <w:rFonts w:ascii="Times New Roman" w:hAnsi="Times New Roman" w:cs="Times New Roman"/>
          <w:i/>
          <w:iCs/>
          <w:sz w:val="24"/>
          <w:szCs w:val="24"/>
        </w:rPr>
        <w:t xml:space="preserve">De leden van de GroenLinks-PvdA-fractie lezen dat binnen de bepaling van artikel 119 Grondwet het mogelijk moet gaan worden dat de procureur-generaal bij de Hoge Raad (PGHR) ambtshalve moet kunnen beslissen om een opsporingsonderzoek naar ambtsdelicten door Kamerleden of bewindspersonen te starten. Echter blijft op grond van artikel 119 het laatste woord over deze opsporing wel bij de regering of Tweede Kamer. Deze kunnen de PGHR dan ook opdragen met opsporing te stoppen. Een dergelijk besluit zal openbaar worden gemaakt. Mogen deze leden aannemen dat een dergelijk besluit naast de zienswijze van de minister om te stoppen met opsporing ook de zienswijze van de PGHR bevat waarom die van mening is dat opsporing wel gewenst is? </w:t>
      </w:r>
    </w:p>
    <w:p w:rsidRPr="00B4699E" w:rsidR="000E75E3" w:rsidP="000E75E3" w:rsidRDefault="0018102C" w14:paraId="0D38B933" w14:textId="35903C66">
      <w:pPr>
        <w:rPr>
          <w:rFonts w:ascii="Times New Roman" w:hAnsi="Times New Roman" w:cs="Times New Roman"/>
          <w:sz w:val="24"/>
          <w:szCs w:val="24"/>
        </w:rPr>
      </w:pPr>
      <w:r w:rsidRPr="00B4699E">
        <w:rPr>
          <w:rFonts w:ascii="Times New Roman" w:hAnsi="Times New Roman" w:cs="Times New Roman"/>
          <w:sz w:val="24"/>
          <w:szCs w:val="24"/>
        </w:rPr>
        <w:lastRenderedPageBreak/>
        <w:t xml:space="preserve">Wij zijn verheugd dat de leden van de GroenLinks-PvdA-fractie hun steun uitspreken voor het gelijktijdig in procedure brengen van de voorgenomen grondwetswijziging en de daarop vooruitlopende wijziging van de gewone wet. </w:t>
      </w:r>
      <w:r w:rsidRPr="00B4699E" w:rsidR="000E75E3">
        <w:rPr>
          <w:rFonts w:ascii="Times New Roman" w:hAnsi="Times New Roman" w:cs="Times New Roman"/>
          <w:sz w:val="24"/>
          <w:szCs w:val="24"/>
        </w:rPr>
        <w:t>De</w:t>
      </w:r>
      <w:r w:rsidRPr="00B4699E">
        <w:rPr>
          <w:rFonts w:ascii="Times New Roman" w:hAnsi="Times New Roman" w:cs="Times New Roman"/>
          <w:sz w:val="24"/>
          <w:szCs w:val="24"/>
        </w:rPr>
        <w:t>ze</w:t>
      </w:r>
      <w:r w:rsidRPr="00B4699E" w:rsidR="000E75E3">
        <w:rPr>
          <w:rFonts w:ascii="Times New Roman" w:hAnsi="Times New Roman" w:cs="Times New Roman"/>
          <w:sz w:val="24"/>
          <w:szCs w:val="24"/>
        </w:rPr>
        <w:t xml:space="preserve"> leden stellen terecht dat in het wetsvoorstel tot wijziging van de bijzondere procedure binnen het huidige grondwettelijke kader (spoor I) aan de </w:t>
      </w:r>
      <w:r w:rsidRPr="00B4699E" w:rsidR="006A7278">
        <w:rPr>
          <w:rFonts w:ascii="Times New Roman" w:hAnsi="Times New Roman" w:cs="Times New Roman"/>
          <w:sz w:val="24"/>
          <w:szCs w:val="24"/>
        </w:rPr>
        <w:t>procureur-generaal bij de Hoge Raad (</w:t>
      </w:r>
      <w:r w:rsidRPr="00B4699E" w:rsidR="000E75E3">
        <w:rPr>
          <w:rFonts w:ascii="Times New Roman" w:hAnsi="Times New Roman" w:cs="Times New Roman"/>
          <w:sz w:val="24"/>
          <w:szCs w:val="24"/>
        </w:rPr>
        <w:t>PGHR</w:t>
      </w:r>
      <w:r w:rsidRPr="00B4699E" w:rsidR="006A7278">
        <w:rPr>
          <w:rFonts w:ascii="Times New Roman" w:hAnsi="Times New Roman" w:cs="Times New Roman"/>
          <w:sz w:val="24"/>
          <w:szCs w:val="24"/>
        </w:rPr>
        <w:t>)</w:t>
      </w:r>
      <w:r w:rsidRPr="00B4699E" w:rsidR="000E75E3">
        <w:rPr>
          <w:rFonts w:ascii="Times New Roman" w:hAnsi="Times New Roman" w:cs="Times New Roman"/>
          <w:sz w:val="24"/>
          <w:szCs w:val="24"/>
        </w:rPr>
        <w:t xml:space="preserve"> een ambtshalve opsporingsbevoegdheid </w:t>
      </w:r>
      <w:r w:rsidRPr="00B4699E">
        <w:rPr>
          <w:rFonts w:ascii="Times New Roman" w:hAnsi="Times New Roman" w:cs="Times New Roman"/>
          <w:sz w:val="24"/>
          <w:szCs w:val="24"/>
        </w:rPr>
        <w:t>zal worden</w:t>
      </w:r>
      <w:r w:rsidRPr="00B4699E" w:rsidR="000E75E3">
        <w:rPr>
          <w:rFonts w:ascii="Times New Roman" w:hAnsi="Times New Roman" w:cs="Times New Roman"/>
          <w:sz w:val="24"/>
          <w:szCs w:val="24"/>
        </w:rPr>
        <w:t xml:space="preserve"> toegekend, alsook dat de regering en de Tweede Kamer een gezamenlijke bevoegdheid krijgen om een lopend opsporingsonderzoek te beëindigen. Op grond van dat wetsvoorstel </w:t>
      </w:r>
      <w:r w:rsidRPr="00B4699E">
        <w:rPr>
          <w:rFonts w:ascii="Times New Roman" w:hAnsi="Times New Roman" w:cs="Times New Roman"/>
          <w:sz w:val="24"/>
          <w:szCs w:val="24"/>
        </w:rPr>
        <w:t>zal</w:t>
      </w:r>
      <w:r w:rsidRPr="00B4699E" w:rsidR="000E75E3">
        <w:rPr>
          <w:rFonts w:ascii="Times New Roman" w:hAnsi="Times New Roman" w:cs="Times New Roman"/>
          <w:sz w:val="24"/>
          <w:szCs w:val="24"/>
        </w:rPr>
        <w:t xml:space="preserve"> </w:t>
      </w:r>
      <w:r w:rsidRPr="00B4699E" w:rsidR="007760E0">
        <w:rPr>
          <w:rFonts w:ascii="Times New Roman" w:hAnsi="Times New Roman" w:cs="Times New Roman"/>
          <w:sz w:val="24"/>
          <w:szCs w:val="24"/>
        </w:rPr>
        <w:t>een</w:t>
      </w:r>
      <w:r w:rsidRPr="00B4699E" w:rsidR="000E75E3">
        <w:rPr>
          <w:rFonts w:ascii="Times New Roman" w:hAnsi="Times New Roman" w:cs="Times New Roman"/>
          <w:sz w:val="24"/>
          <w:szCs w:val="24"/>
        </w:rPr>
        <w:t xml:space="preserve"> gezamenlijke opdracht van de regering en de Tweede Kamer tot beëindiging van het opsporingsonderzoek </w:t>
      </w:r>
      <w:r w:rsidRPr="00B4699E">
        <w:rPr>
          <w:rFonts w:ascii="Times New Roman" w:hAnsi="Times New Roman" w:cs="Times New Roman"/>
          <w:sz w:val="24"/>
          <w:szCs w:val="24"/>
        </w:rPr>
        <w:t>moe</w:t>
      </w:r>
      <w:r w:rsidRPr="00B4699E" w:rsidR="000E75E3">
        <w:rPr>
          <w:rFonts w:ascii="Times New Roman" w:hAnsi="Times New Roman" w:cs="Times New Roman"/>
          <w:sz w:val="24"/>
          <w:szCs w:val="24"/>
        </w:rPr>
        <w:t>te</w:t>
      </w:r>
      <w:r w:rsidRPr="00B4699E">
        <w:rPr>
          <w:rFonts w:ascii="Times New Roman" w:hAnsi="Times New Roman" w:cs="Times New Roman"/>
          <w:sz w:val="24"/>
          <w:szCs w:val="24"/>
        </w:rPr>
        <w:t>n</w:t>
      </w:r>
      <w:r w:rsidRPr="00B4699E" w:rsidR="000E75E3">
        <w:rPr>
          <w:rFonts w:ascii="Times New Roman" w:hAnsi="Times New Roman" w:cs="Times New Roman"/>
          <w:sz w:val="24"/>
          <w:szCs w:val="24"/>
        </w:rPr>
        <w:t xml:space="preserve"> worden gepubliceerd in de Staatscourant. Die publicatie kan vergezeld gaan van een zienswijze van de PGHR over de wenselijkheid van het opsporingsonderzoek, maar dit hoeft niet altijd het geval te zijn. Voor het starten van een opsporingsonderzoek (zowel ambtshalve door de PGHR als op initiatief van de regering of de Tweede Kamer) is namelijk niet vereist dat de PGHR een dergelijke zienswijze opstelt. Voor zover zo’n zienswijze wel beschikbaar is, ligt het in de rede dat deze samen met de gezamenlijke opdracht tot beëindiging van het opsporingsonderzoek openbaar wordt gemaakt. Daarnaast kan de PGHR dergelijke zienswijzen ook uit eigen beweging openbaar maken. Dit sluit aan bij de bestaande praktijk omtrent oriënterende onderzoeken van de PGHR op grond van het huidige aangifteprotocol.</w:t>
      </w:r>
      <w:r w:rsidRPr="00B4699E" w:rsidR="000E75E3">
        <w:rPr>
          <w:rStyle w:val="Voetnootmarkering"/>
          <w:rFonts w:ascii="Times New Roman" w:hAnsi="Times New Roman" w:cs="Times New Roman"/>
          <w:sz w:val="24"/>
          <w:szCs w:val="24"/>
        </w:rPr>
        <w:footnoteReference w:id="2"/>
      </w:r>
      <w:r w:rsidRPr="00B4699E" w:rsidR="000E75E3">
        <w:rPr>
          <w:rFonts w:ascii="Times New Roman" w:hAnsi="Times New Roman" w:cs="Times New Roman"/>
          <w:sz w:val="24"/>
          <w:szCs w:val="24"/>
        </w:rPr>
        <w:t xml:space="preserve"> Deze worden door de PGHR op dit moment al gepubliceerd op de website van de Hoge Raad.</w:t>
      </w:r>
      <w:r w:rsidRPr="00B4699E" w:rsidR="000E75E3">
        <w:rPr>
          <w:rStyle w:val="Voetnootmarkering"/>
          <w:rFonts w:ascii="Times New Roman" w:hAnsi="Times New Roman" w:cs="Times New Roman"/>
          <w:sz w:val="24"/>
          <w:szCs w:val="24"/>
        </w:rPr>
        <w:footnoteReference w:id="3"/>
      </w:r>
    </w:p>
    <w:p w:rsidRPr="00B4699E" w:rsidR="00F95AAC" w:rsidP="00F95AAC" w:rsidRDefault="00F95AAC" w14:paraId="5E73C349" w14:textId="4E600071">
      <w:pPr>
        <w:rPr>
          <w:rFonts w:ascii="Times New Roman" w:hAnsi="Times New Roman" w:cs="Times New Roman"/>
          <w:i/>
          <w:iCs/>
          <w:sz w:val="24"/>
          <w:szCs w:val="24"/>
        </w:rPr>
      </w:pPr>
      <w:r w:rsidRPr="00B4699E">
        <w:rPr>
          <w:rFonts w:ascii="Times New Roman" w:hAnsi="Times New Roman" w:cs="Times New Roman"/>
          <w:i/>
          <w:iCs/>
          <w:sz w:val="24"/>
          <w:szCs w:val="24"/>
        </w:rPr>
        <w:t>De leden van de GroenLinks-PvdA-fractie lezen dat de minister in navolging van het advies van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van mening is dat de artikelen 355 en 356 van het Wetboek van Strafrecht waarin een strafbaarstelling is opgenomen over het handelen van bewindspersonen in strijd met de Grondwet of andere wetgeving geschrapt moeten gaan worden.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en de minister menen dat deze ambtsmisdrijven te vaag en te algemeen zijn geformuleerd en daarom op gespannen voet staan met het legaliteitsbeginsel en de rechtszekerheid. Tegelijkertijd – zo stelt de minister terecht - worden deze strafbaarstellingen heden ten dage ook wel gezien als een soort algemene uiterste waarborg tegen</w:t>
      </w:r>
      <w:r w:rsidRPr="00B4699E" w:rsidR="009E6932">
        <w:rPr>
          <w:rFonts w:ascii="Times New Roman" w:hAnsi="Times New Roman" w:cs="Times New Roman"/>
          <w:i/>
          <w:iCs/>
          <w:sz w:val="24"/>
          <w:szCs w:val="24"/>
        </w:rPr>
        <w:t xml:space="preserve"> </w:t>
      </w:r>
      <w:r w:rsidRPr="00B4699E">
        <w:rPr>
          <w:rFonts w:ascii="Times New Roman" w:hAnsi="Times New Roman" w:cs="Times New Roman"/>
          <w:i/>
          <w:iCs/>
          <w:sz w:val="24"/>
          <w:szCs w:val="24"/>
        </w:rPr>
        <w:t xml:space="preserve">handelingen van bewindspersonen die indruisen tegen de democratische rechtsstaat. Dat laatste delen deze leden. Zij hechten ook aan het handhaven van een dergelijke waarborg. Zij vragen dan ook of aanpassing van de genoemde artikelen 355 en 356 mogelijk is zodat zij niet langer op gespannen voet met het legaliteitsbeginsel komen te staan maar wel als waarborg voor de democratische rechtsstaat kunnen gaan gelden. </w:t>
      </w:r>
    </w:p>
    <w:p w:rsidRPr="00B4699E" w:rsidR="000F2166" w:rsidP="000E75E3" w:rsidRDefault="000E75E3" w14:paraId="14E63FF6" w14:textId="59DDEC09">
      <w:pPr>
        <w:rPr>
          <w:rFonts w:ascii="Times New Roman" w:hAnsi="Times New Roman" w:cs="Times New Roman"/>
          <w:sz w:val="24"/>
          <w:szCs w:val="24"/>
        </w:rPr>
      </w:pPr>
      <w:r w:rsidRPr="00B4699E">
        <w:rPr>
          <w:rFonts w:ascii="Times New Roman" w:hAnsi="Times New Roman" w:cs="Times New Roman"/>
          <w:sz w:val="24"/>
          <w:szCs w:val="24"/>
        </w:rPr>
        <w:t>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heeft in haar rapport geadviseerd de artikelen 355 en 356 van het Wetboek van Strafrecht (hierna</w:t>
      </w:r>
      <w:r w:rsidRPr="00B4699E" w:rsidR="00EC41A9">
        <w:rPr>
          <w:rFonts w:ascii="Times New Roman" w:hAnsi="Times New Roman" w:cs="Times New Roman"/>
          <w:sz w:val="24"/>
          <w:szCs w:val="24"/>
        </w:rPr>
        <w:t xml:space="preserve"> ook aangeduid als</w:t>
      </w:r>
      <w:r w:rsidRPr="00B4699E">
        <w:rPr>
          <w:rFonts w:ascii="Times New Roman" w:hAnsi="Times New Roman" w:cs="Times New Roman"/>
          <w:sz w:val="24"/>
          <w:szCs w:val="24"/>
        </w:rPr>
        <w:t xml:space="preserve"> Sr) te schrappen. Daarbij heeft de commissie enerzijds van belang geacht dat de artikelen op gespannen voet </w:t>
      </w:r>
      <w:r w:rsidRPr="00B4699E" w:rsidR="007760E0">
        <w:rPr>
          <w:rFonts w:ascii="Times New Roman" w:hAnsi="Times New Roman" w:cs="Times New Roman"/>
          <w:sz w:val="24"/>
          <w:szCs w:val="24"/>
        </w:rPr>
        <w:t>staan</w:t>
      </w:r>
      <w:r w:rsidRPr="00B4699E">
        <w:rPr>
          <w:rFonts w:ascii="Times New Roman" w:hAnsi="Times New Roman" w:cs="Times New Roman"/>
          <w:sz w:val="24"/>
          <w:szCs w:val="24"/>
        </w:rPr>
        <w:t xml:space="preserve"> met het strafrechtelijke legaliteitsbeginsel (dat is neergelegd in artikel 16 van de Grondwet, artikel 1, eerste lid, Sr en artikel 7 van het EVRM) en de daarmee verband houdende eisen van rechtszekerheid. Anderzijds heeft de commissie geconcludeerd dat met de invoering van de </w:t>
      </w:r>
      <w:r w:rsidRPr="00B4699E">
        <w:rPr>
          <w:rFonts w:ascii="Times New Roman" w:hAnsi="Times New Roman" w:cs="Times New Roman"/>
          <w:sz w:val="24"/>
          <w:szCs w:val="24"/>
        </w:rPr>
        <w:lastRenderedPageBreak/>
        <w:t xml:space="preserve">politieke ministeriële verantwoordelijkheid in 1848 en de ontwikkeling van het stelsel van bestuursrechtspraak in de twintigste eeuw er geen rol meer is weggelegd voor de artikelen 355 en 356 Sr om schendingen van de (Grond)wet door bewindspersonen aan te pakken. De artikelen 355 en 356 Sr hebben op de keper beschouwd betrekking op elk opzettelijk of culpoos handelen en nalaten in strijd met enig (grond)wettelijk voorschrift. Tot op heden is nog nooit een minister of staatssecretaris voor deze ambtsdelicten vervolgd. Er is dus geen jurisprudentie voorhanden waarin de </w:t>
      </w:r>
      <w:r w:rsidRPr="00B4699E" w:rsidR="001B2B19">
        <w:rPr>
          <w:rFonts w:ascii="Times New Roman" w:hAnsi="Times New Roman" w:cs="Times New Roman"/>
          <w:sz w:val="24"/>
          <w:szCs w:val="24"/>
        </w:rPr>
        <w:t xml:space="preserve">betreffende artikelen in de praktijk tot een veroordeling hebben geleid. </w:t>
      </w:r>
      <w:r w:rsidRPr="00B4699E">
        <w:rPr>
          <w:rFonts w:ascii="Times New Roman" w:hAnsi="Times New Roman" w:cs="Times New Roman"/>
          <w:sz w:val="24"/>
          <w:szCs w:val="24"/>
        </w:rPr>
        <w:t>Het voorgaande maakt dat het feitelijke toepassingsbereik van de artikelen zeer moeilijk af te bakenen is. Naar het oordeel van het kabinet is het niet mogelijk de artikelen 355 en 356 Sr zodanig aan te passen dat de strijdigheid van die artikelen met het legaliteitsbeginsel wordt weggenomen en tegelijkertijd wordt bewerkstelligd dat de artikelen van voldoende strafrechtelijke betekenis blijven.</w:t>
      </w:r>
      <w:r w:rsidRPr="00B4699E" w:rsidR="001B2B19">
        <w:rPr>
          <w:rFonts w:ascii="Times New Roman" w:hAnsi="Times New Roman" w:cs="Times New Roman"/>
          <w:sz w:val="24"/>
          <w:szCs w:val="24"/>
        </w:rPr>
        <w:t xml:space="preserve"> Met het oog op dit laatste is van belang dat veel gedragingen die mogelijk onder de reikwijdte van de artikelen 355 en 356 Sr zouden kunnen vallen, door de wetgever elders in het wetboek van Strafrecht nader zijn gespecificeerd in voor veel bredere categorieën van personen bestemde, gedetailleerde strafbepalingen die de integriteit van het overheidsapparaat en andere, publieke waarden van een zwaar sociaal-ethisch kaliber beschermen. Op basis van die bepalingen is en blijft – ook na het schrappen van de artikelen 355 en 356 Sr – adequaat strafrechtelijk optreden mogelijk tegen strafwaardige vormen van machtsmisbruik, begaan door ministers en staatssecretarissen. </w:t>
      </w:r>
      <w:r w:rsidRPr="00B4699E" w:rsidR="006A3C74">
        <w:rPr>
          <w:rFonts w:ascii="Times New Roman" w:hAnsi="Times New Roman" w:cs="Times New Roman"/>
          <w:sz w:val="24"/>
          <w:szCs w:val="24"/>
        </w:rPr>
        <w:t xml:space="preserve">Wij verwijzen voor een nadere toelichting op dit punt naar het overzicht dat is gegeven door de toenmalige </w:t>
      </w:r>
      <w:r w:rsidRPr="00B4699E" w:rsidR="0081477B">
        <w:rPr>
          <w:rFonts w:ascii="Times New Roman" w:hAnsi="Times New Roman" w:cs="Times New Roman"/>
          <w:sz w:val="24"/>
          <w:szCs w:val="24"/>
        </w:rPr>
        <w:t>m</w:t>
      </w:r>
      <w:r w:rsidRPr="00B4699E" w:rsidR="006A3C74">
        <w:rPr>
          <w:rFonts w:ascii="Times New Roman" w:hAnsi="Times New Roman" w:cs="Times New Roman"/>
          <w:sz w:val="24"/>
          <w:szCs w:val="24"/>
        </w:rPr>
        <w:t>inister van Justitie en Veiligheid</w:t>
      </w:r>
      <w:r w:rsidRPr="00B4699E" w:rsidR="0081477B">
        <w:rPr>
          <w:rFonts w:ascii="Times New Roman" w:hAnsi="Times New Roman" w:cs="Times New Roman"/>
          <w:sz w:val="24"/>
          <w:szCs w:val="24"/>
        </w:rPr>
        <w:t xml:space="preserve"> mede namens de toenmalige minister van Binnenlandse Zaken en Koninkrijkrelaties</w:t>
      </w:r>
      <w:r w:rsidRPr="00B4699E" w:rsidR="006A3C74">
        <w:rPr>
          <w:rFonts w:ascii="Times New Roman" w:hAnsi="Times New Roman" w:cs="Times New Roman"/>
          <w:sz w:val="24"/>
          <w:szCs w:val="24"/>
        </w:rPr>
        <w:t xml:space="preserve"> in antwoord op vragen van de vaste commissie voor Justitie en Veiligheid over het rapport van de commissie-</w:t>
      </w:r>
      <w:proofErr w:type="spellStart"/>
      <w:r w:rsidRPr="00B4699E" w:rsidR="006A3C74">
        <w:rPr>
          <w:rFonts w:ascii="Times New Roman" w:hAnsi="Times New Roman" w:cs="Times New Roman"/>
          <w:sz w:val="24"/>
          <w:szCs w:val="24"/>
        </w:rPr>
        <w:t>Fokkens</w:t>
      </w:r>
      <w:proofErr w:type="spellEnd"/>
      <w:r w:rsidRPr="00B4699E" w:rsidR="0034443B">
        <w:rPr>
          <w:rFonts w:ascii="Times New Roman" w:hAnsi="Times New Roman" w:cs="Times New Roman"/>
          <w:sz w:val="24"/>
          <w:szCs w:val="24"/>
        </w:rPr>
        <w:t>.</w:t>
      </w:r>
      <w:r w:rsidRPr="00B4699E" w:rsidR="0034443B">
        <w:rPr>
          <w:rStyle w:val="Voetnootmarkering"/>
          <w:rFonts w:ascii="Times New Roman" w:hAnsi="Times New Roman" w:cs="Times New Roman"/>
          <w:sz w:val="24"/>
          <w:szCs w:val="24"/>
        </w:rPr>
        <w:footnoteReference w:id="4"/>
      </w:r>
      <w:r w:rsidRPr="00B4699E">
        <w:rPr>
          <w:rFonts w:ascii="Times New Roman" w:hAnsi="Times New Roman" w:cs="Times New Roman"/>
          <w:sz w:val="24"/>
          <w:szCs w:val="24"/>
        </w:rPr>
        <w:t xml:space="preserve"> </w:t>
      </w:r>
      <w:r w:rsidRPr="00B4699E" w:rsidR="001B2B19">
        <w:rPr>
          <w:rFonts w:ascii="Times New Roman" w:hAnsi="Times New Roman" w:cs="Times New Roman"/>
          <w:sz w:val="24"/>
          <w:szCs w:val="24"/>
        </w:rPr>
        <w:t>Tegen de achtergrond dat ministers en staatssecretarissen voor al hun ambtshandelingen volledig politiek verantwoordelijk zijn tegenover het parlement en deze ambtshandelingen ook ter toetsing kunnen worden voorgelegd aan de bestuursrechter of de burgerlijke rechter, is er geen aanleiding om ambtshandelingen die niet in overeenstemming zijn met de wet en die niet al worden bestreken door de hiervoor bedoelde, bestaande strafbaarstellingen in het Wetboek van Strafrecht, nader strafbaar te stellen in nieuwe strafbepalingen die zijn toegesneden op ministers en staatssecretarissen. Dit alles afwegende meent het kabinet dat de argumenten voor het schrappen van de artikelen 355 en 356 zwaarder wegen dan de argumenten voor behoud of wijziging van die artikelen.</w:t>
      </w:r>
    </w:p>
    <w:p w:rsidRPr="00B4699E" w:rsidR="00EA1CBE" w:rsidP="00EA1CBE" w:rsidRDefault="00EA1CBE" w14:paraId="35059D13" w14:textId="77777777">
      <w:pPr>
        <w:rPr>
          <w:rFonts w:ascii="Times New Roman" w:hAnsi="Times New Roman" w:cs="Times New Roman"/>
          <w:i/>
          <w:iCs/>
          <w:sz w:val="24"/>
          <w:szCs w:val="24"/>
        </w:rPr>
      </w:pPr>
      <w:r w:rsidRPr="00B4699E">
        <w:rPr>
          <w:rFonts w:ascii="Times New Roman" w:hAnsi="Times New Roman" w:cs="Times New Roman"/>
          <w:i/>
          <w:iCs/>
          <w:sz w:val="24"/>
          <w:szCs w:val="24"/>
        </w:rPr>
        <w:t>Deze leden zouden op dit punt tevens graag advies willen ontvangen van een onafhankelijk instituut zoals de Raad van State. Is de minister bereid dit advies aan te vragen?</w:t>
      </w:r>
    </w:p>
    <w:p w:rsidRPr="00B4699E" w:rsidR="000E75E3" w:rsidP="000E75E3" w:rsidRDefault="006D45EF" w14:paraId="41A8C819" w14:textId="1F05B82D">
      <w:pPr>
        <w:rPr>
          <w:rFonts w:ascii="Times New Roman" w:hAnsi="Times New Roman" w:cs="Times New Roman"/>
          <w:sz w:val="24"/>
          <w:szCs w:val="24"/>
        </w:rPr>
      </w:pPr>
      <w:r w:rsidRPr="00B4699E">
        <w:rPr>
          <w:rFonts w:ascii="Times New Roman" w:hAnsi="Times New Roman" w:cs="Times New Roman"/>
          <w:sz w:val="24"/>
          <w:szCs w:val="24"/>
        </w:rPr>
        <w:t xml:space="preserve">Het </w:t>
      </w:r>
      <w:r w:rsidRPr="00B4699E" w:rsidR="000E75E3">
        <w:rPr>
          <w:rFonts w:ascii="Times New Roman" w:hAnsi="Times New Roman" w:cs="Times New Roman"/>
          <w:sz w:val="24"/>
          <w:szCs w:val="24"/>
        </w:rPr>
        <w:t>wetsvoorstel</w:t>
      </w:r>
      <w:r w:rsidRPr="00B4699E">
        <w:rPr>
          <w:rFonts w:ascii="Times New Roman" w:hAnsi="Times New Roman" w:cs="Times New Roman"/>
          <w:sz w:val="24"/>
          <w:szCs w:val="24"/>
        </w:rPr>
        <w:t xml:space="preserve"> wordt </w:t>
      </w:r>
      <w:r w:rsidRPr="00B4699E" w:rsidR="000E75E3">
        <w:rPr>
          <w:rFonts w:ascii="Times New Roman" w:hAnsi="Times New Roman" w:cs="Times New Roman"/>
          <w:sz w:val="24"/>
          <w:szCs w:val="24"/>
        </w:rPr>
        <w:t xml:space="preserve">in volle omvang voorgelegd aan de Afdeling advisering van de Raad van State, alvorens </w:t>
      </w:r>
      <w:r w:rsidRPr="00B4699E">
        <w:rPr>
          <w:rFonts w:ascii="Times New Roman" w:hAnsi="Times New Roman" w:cs="Times New Roman"/>
          <w:sz w:val="24"/>
          <w:szCs w:val="24"/>
        </w:rPr>
        <w:t>het</w:t>
      </w:r>
      <w:r w:rsidRPr="00B4699E" w:rsidR="000E75E3">
        <w:rPr>
          <w:rFonts w:ascii="Times New Roman" w:hAnsi="Times New Roman" w:cs="Times New Roman"/>
          <w:sz w:val="24"/>
          <w:szCs w:val="24"/>
        </w:rPr>
        <w:t xml:space="preserve"> ingediend word</w:t>
      </w:r>
      <w:r w:rsidRPr="00B4699E">
        <w:rPr>
          <w:rFonts w:ascii="Times New Roman" w:hAnsi="Times New Roman" w:cs="Times New Roman"/>
          <w:sz w:val="24"/>
          <w:szCs w:val="24"/>
        </w:rPr>
        <w:t xml:space="preserve">t </w:t>
      </w:r>
      <w:r w:rsidRPr="00B4699E" w:rsidR="000E75E3">
        <w:rPr>
          <w:rFonts w:ascii="Times New Roman" w:hAnsi="Times New Roman" w:cs="Times New Roman"/>
          <w:sz w:val="24"/>
          <w:szCs w:val="24"/>
        </w:rPr>
        <w:t>bij</w:t>
      </w:r>
      <w:r w:rsidRPr="00B4699E" w:rsidR="00DF480D">
        <w:rPr>
          <w:rFonts w:ascii="Times New Roman" w:hAnsi="Times New Roman" w:cs="Times New Roman"/>
          <w:sz w:val="24"/>
          <w:szCs w:val="24"/>
        </w:rPr>
        <w:t xml:space="preserve"> de Tweede Kamer</w:t>
      </w:r>
      <w:r w:rsidRPr="00B4699E" w:rsidR="000E75E3">
        <w:rPr>
          <w:rFonts w:ascii="Times New Roman" w:hAnsi="Times New Roman" w:cs="Times New Roman"/>
          <w:sz w:val="24"/>
          <w:szCs w:val="24"/>
        </w:rPr>
        <w:t xml:space="preserve">. Het ligt in de rede dat de </w:t>
      </w:r>
      <w:r w:rsidRPr="00B4699E" w:rsidR="006A3C74">
        <w:rPr>
          <w:rFonts w:ascii="Times New Roman" w:hAnsi="Times New Roman" w:cs="Times New Roman"/>
          <w:sz w:val="24"/>
          <w:szCs w:val="24"/>
        </w:rPr>
        <w:t>Afdeling advisering</w:t>
      </w:r>
      <w:r w:rsidRPr="00B4699E" w:rsidR="000E75E3">
        <w:rPr>
          <w:rFonts w:ascii="Times New Roman" w:hAnsi="Times New Roman" w:cs="Times New Roman"/>
          <w:sz w:val="24"/>
          <w:szCs w:val="24"/>
        </w:rPr>
        <w:t xml:space="preserve"> daarbij ook aandacht zal </w:t>
      </w:r>
      <w:r w:rsidRPr="00B4699E" w:rsidR="006A3C74">
        <w:rPr>
          <w:rFonts w:ascii="Times New Roman" w:hAnsi="Times New Roman" w:cs="Times New Roman"/>
          <w:sz w:val="24"/>
          <w:szCs w:val="24"/>
        </w:rPr>
        <w:t>geven aan</w:t>
      </w:r>
      <w:r w:rsidRPr="00B4699E" w:rsidR="000E75E3">
        <w:rPr>
          <w:rFonts w:ascii="Times New Roman" w:hAnsi="Times New Roman" w:cs="Times New Roman"/>
          <w:sz w:val="24"/>
          <w:szCs w:val="24"/>
        </w:rPr>
        <w:t xml:space="preserve"> het voorstel om de artikelen 355 en 356 </w:t>
      </w:r>
      <w:r w:rsidRPr="00B4699E" w:rsidR="00BB4DF5">
        <w:rPr>
          <w:rFonts w:ascii="Times New Roman" w:hAnsi="Times New Roman" w:cs="Times New Roman"/>
          <w:sz w:val="24"/>
          <w:szCs w:val="24"/>
        </w:rPr>
        <w:t xml:space="preserve">Sr </w:t>
      </w:r>
      <w:r w:rsidRPr="00B4699E" w:rsidR="000E75E3">
        <w:rPr>
          <w:rFonts w:ascii="Times New Roman" w:hAnsi="Times New Roman" w:cs="Times New Roman"/>
          <w:sz w:val="24"/>
          <w:szCs w:val="24"/>
        </w:rPr>
        <w:t>te schrappen. Overigens zij opgemerkt dat ook de commissie-</w:t>
      </w:r>
      <w:proofErr w:type="spellStart"/>
      <w:r w:rsidRPr="00B4699E" w:rsidR="000E75E3">
        <w:rPr>
          <w:rFonts w:ascii="Times New Roman" w:hAnsi="Times New Roman" w:cs="Times New Roman"/>
          <w:sz w:val="24"/>
          <w:szCs w:val="24"/>
        </w:rPr>
        <w:t>Fokkens</w:t>
      </w:r>
      <w:proofErr w:type="spellEnd"/>
      <w:r w:rsidRPr="00B4699E" w:rsidR="000E75E3">
        <w:rPr>
          <w:rFonts w:ascii="Times New Roman" w:hAnsi="Times New Roman" w:cs="Times New Roman"/>
          <w:sz w:val="24"/>
          <w:szCs w:val="24"/>
        </w:rPr>
        <w:t xml:space="preserve"> een onafhankelijke adviescommissie </w:t>
      </w:r>
      <w:r w:rsidRPr="00B4699E" w:rsidR="006A3C74">
        <w:rPr>
          <w:rFonts w:ascii="Times New Roman" w:hAnsi="Times New Roman" w:cs="Times New Roman"/>
          <w:sz w:val="24"/>
          <w:szCs w:val="24"/>
        </w:rPr>
        <w:t>wa</w:t>
      </w:r>
      <w:r w:rsidRPr="00B4699E" w:rsidR="000E75E3">
        <w:rPr>
          <w:rFonts w:ascii="Times New Roman" w:hAnsi="Times New Roman" w:cs="Times New Roman"/>
          <w:sz w:val="24"/>
          <w:szCs w:val="24"/>
        </w:rPr>
        <w:t xml:space="preserve">s die zich over deze kwestie heeft uitgelaten. Met het </w:t>
      </w:r>
      <w:r w:rsidRPr="00B4699E" w:rsidR="000E75E3">
        <w:rPr>
          <w:rFonts w:ascii="Times New Roman" w:hAnsi="Times New Roman" w:cs="Times New Roman"/>
          <w:sz w:val="24"/>
          <w:szCs w:val="24"/>
        </w:rPr>
        <w:lastRenderedPageBreak/>
        <w:t>voornemen om de artikelen 355 en 356 Sr te schrappen, volgt het kabinet de aanbeveling van de</w:t>
      </w:r>
      <w:r w:rsidRPr="00B4699E" w:rsidR="006A3C74">
        <w:rPr>
          <w:rFonts w:ascii="Times New Roman" w:hAnsi="Times New Roman" w:cs="Times New Roman"/>
          <w:sz w:val="24"/>
          <w:szCs w:val="24"/>
        </w:rPr>
        <w:t>ze</w:t>
      </w:r>
      <w:r w:rsidRPr="00B4699E" w:rsidR="000E75E3">
        <w:rPr>
          <w:rFonts w:ascii="Times New Roman" w:hAnsi="Times New Roman" w:cs="Times New Roman"/>
          <w:sz w:val="24"/>
          <w:szCs w:val="24"/>
        </w:rPr>
        <w:t xml:space="preserve"> </w:t>
      </w:r>
      <w:r w:rsidRPr="00B4699E" w:rsidR="006A3C74">
        <w:rPr>
          <w:rFonts w:ascii="Times New Roman" w:hAnsi="Times New Roman" w:cs="Times New Roman"/>
          <w:sz w:val="24"/>
          <w:szCs w:val="24"/>
        </w:rPr>
        <w:t>onafhankelijke advies</w:t>
      </w:r>
      <w:r w:rsidRPr="00B4699E" w:rsidR="000E75E3">
        <w:rPr>
          <w:rFonts w:ascii="Times New Roman" w:hAnsi="Times New Roman" w:cs="Times New Roman"/>
          <w:sz w:val="24"/>
          <w:szCs w:val="24"/>
        </w:rPr>
        <w:t>commissie op.</w:t>
      </w:r>
    </w:p>
    <w:p w:rsidRPr="00B4699E" w:rsidR="005B0E19" w:rsidP="005B0E19" w:rsidRDefault="001D01D0" w14:paraId="125B9EBA" w14:textId="77777777">
      <w:pPr>
        <w:rPr>
          <w:rFonts w:ascii="Times New Roman" w:hAnsi="Times New Roman" w:cs="Times New Roman"/>
          <w:b/>
          <w:bCs/>
          <w:sz w:val="24"/>
          <w:szCs w:val="24"/>
        </w:rPr>
      </w:pPr>
      <w:r w:rsidRPr="00B4699E">
        <w:rPr>
          <w:rFonts w:ascii="Times New Roman" w:hAnsi="Times New Roman" w:cs="Times New Roman"/>
          <w:b/>
          <w:bCs/>
          <w:sz w:val="24"/>
          <w:szCs w:val="24"/>
        </w:rPr>
        <w:t xml:space="preserve">Vragen </w:t>
      </w:r>
      <w:r w:rsidRPr="00B4699E" w:rsidR="00EC1FB7">
        <w:rPr>
          <w:rFonts w:ascii="Times New Roman" w:hAnsi="Times New Roman" w:cs="Times New Roman"/>
          <w:b/>
          <w:bCs/>
          <w:sz w:val="24"/>
          <w:szCs w:val="24"/>
        </w:rPr>
        <w:t xml:space="preserve">en opmerkingen </w:t>
      </w:r>
      <w:r w:rsidRPr="00B4699E">
        <w:rPr>
          <w:rFonts w:ascii="Times New Roman" w:hAnsi="Times New Roman" w:cs="Times New Roman"/>
          <w:b/>
          <w:bCs/>
          <w:sz w:val="24"/>
          <w:szCs w:val="24"/>
        </w:rPr>
        <w:t>van de leden van de VVD-fractie</w:t>
      </w:r>
      <w:r w:rsidRPr="00B4699E" w:rsidR="005B0E19">
        <w:rPr>
          <w:rFonts w:ascii="Times New Roman" w:hAnsi="Times New Roman" w:cs="Times New Roman"/>
          <w:b/>
          <w:bCs/>
          <w:sz w:val="24"/>
          <w:szCs w:val="24"/>
        </w:rPr>
        <w:t xml:space="preserve"> en reactie van de bewindspersonen</w:t>
      </w:r>
    </w:p>
    <w:p w:rsidRPr="00B4699E" w:rsidR="00EC1FB7" w:rsidP="00D65A31" w:rsidRDefault="00EC1FB7" w14:paraId="0AA80D82" w14:textId="058DAC3A">
      <w:pPr>
        <w:rPr>
          <w:rFonts w:ascii="Times New Roman" w:hAnsi="Times New Roman" w:cs="Times New Roman"/>
          <w:i/>
          <w:iCs/>
          <w:sz w:val="24"/>
          <w:szCs w:val="24"/>
        </w:rPr>
      </w:pPr>
      <w:r w:rsidRPr="00B4699E">
        <w:rPr>
          <w:rFonts w:ascii="Times New Roman" w:hAnsi="Times New Roman" w:cs="Times New Roman"/>
          <w:i/>
          <w:iCs/>
          <w:sz w:val="24"/>
          <w:szCs w:val="24"/>
        </w:rPr>
        <w:t>De leden van de VVD-fractie benadrukken het belang van een werkbare en faire regeling voor de opsporing en vervolging van ambtsdelicten van Kamerleden en bewindspersonen, danken de leden van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voor het gedegen rapport dat ten grondslag ligt aan de hoofdlijnenbrief en hebben nog enkele vragen.</w:t>
      </w:r>
    </w:p>
    <w:p w:rsidRPr="00B4699E" w:rsidR="00D65A31" w:rsidP="00D65A31" w:rsidRDefault="00D65A31" w14:paraId="41E7C19C" w14:textId="22F61C2C">
      <w:pPr>
        <w:rPr>
          <w:rFonts w:ascii="Times New Roman" w:hAnsi="Times New Roman" w:cs="Times New Roman"/>
          <w:i/>
          <w:iCs/>
          <w:sz w:val="24"/>
          <w:szCs w:val="24"/>
        </w:rPr>
      </w:pPr>
      <w:r w:rsidRPr="00B4699E">
        <w:rPr>
          <w:rFonts w:ascii="Times New Roman" w:hAnsi="Times New Roman" w:cs="Times New Roman"/>
          <w:i/>
          <w:iCs/>
          <w:sz w:val="24"/>
          <w:szCs w:val="24"/>
        </w:rPr>
        <w:t>De leden van de VVD-fractie vragen hoe vaak het in 2017 vastgestelde protocol inzake de behandeling van aangiften bij een ministerie, het Openbaar Ministerie (OM) of de PGHR tegen leden van de Staten-Generaal, ministers en staatssecretarissen, het ministerie van Justitie en Veiligheid (</w:t>
      </w:r>
      <w:proofErr w:type="spellStart"/>
      <w:r w:rsidRPr="00B4699E">
        <w:rPr>
          <w:rFonts w:ascii="Times New Roman" w:hAnsi="Times New Roman" w:cs="Times New Roman"/>
          <w:i/>
          <w:iCs/>
          <w:sz w:val="24"/>
          <w:szCs w:val="24"/>
        </w:rPr>
        <w:t>Stcrt</w:t>
      </w:r>
      <w:proofErr w:type="spellEnd"/>
      <w:r w:rsidRPr="00B4699E">
        <w:rPr>
          <w:rFonts w:ascii="Times New Roman" w:hAnsi="Times New Roman" w:cs="Times New Roman"/>
          <w:i/>
          <w:iCs/>
          <w:sz w:val="24"/>
          <w:szCs w:val="24"/>
        </w:rPr>
        <w:t xml:space="preserve">. 2018, nr. 3803) de afgelopen jaren is toegepast. Ook vragen deze leden of de Kamer overzichtelijk kan worden geïnformeerd wanneer het protocol wordt toegepast. De Kamer is een enkele keer bij brief geïnformeerd (zie bijv. Kamerstuk 31066, nr. 799 en Kamerstuk 35570-VI, nr. 122), terwijl in ander gevallen slechts op de website rijksoverheid.nl is gecommuniceerd over de aangifte. Is de minister voornemens om, totdat de herziening van de wetgeving ambtsdelicten in werking is getreden, de wijze en het moment waarop de Kamer wordt geïnformeerd over oriënterende onderzoeken door de PGHR te bezien? </w:t>
      </w:r>
    </w:p>
    <w:p w:rsidRPr="00B4699E" w:rsidR="000F2166" w:rsidP="000F2166" w:rsidRDefault="000F2166" w14:paraId="346213C4" w14:textId="3456DBA5">
      <w:pPr>
        <w:rPr>
          <w:rFonts w:ascii="Times New Roman" w:hAnsi="Times New Roman" w:cs="Times New Roman"/>
          <w:sz w:val="24"/>
          <w:szCs w:val="24"/>
        </w:rPr>
      </w:pPr>
      <w:r w:rsidRPr="00B4699E">
        <w:rPr>
          <w:rFonts w:ascii="Times New Roman" w:hAnsi="Times New Roman" w:cs="Times New Roman"/>
          <w:sz w:val="24"/>
          <w:szCs w:val="24"/>
        </w:rPr>
        <w:t xml:space="preserve">Het </w:t>
      </w:r>
      <w:r w:rsidRPr="00B4699E" w:rsidR="00BB4DF5">
        <w:rPr>
          <w:rFonts w:ascii="Times New Roman" w:hAnsi="Times New Roman" w:cs="Times New Roman"/>
          <w:sz w:val="24"/>
          <w:szCs w:val="24"/>
        </w:rPr>
        <w:t>door de leden van de VVD-fractie aangehaald</w:t>
      </w:r>
      <w:r w:rsidRPr="00B4699E" w:rsidR="00886EDE">
        <w:rPr>
          <w:rFonts w:ascii="Times New Roman" w:hAnsi="Times New Roman" w:cs="Times New Roman"/>
          <w:sz w:val="24"/>
          <w:szCs w:val="24"/>
        </w:rPr>
        <w:t>e</w:t>
      </w:r>
      <w:r w:rsidRPr="00B4699E" w:rsidR="00BB4DF5">
        <w:rPr>
          <w:rFonts w:ascii="Times New Roman" w:hAnsi="Times New Roman" w:cs="Times New Roman"/>
          <w:sz w:val="24"/>
          <w:szCs w:val="24"/>
        </w:rPr>
        <w:t xml:space="preserve"> p</w:t>
      </w:r>
      <w:r w:rsidRPr="00B4699E">
        <w:rPr>
          <w:rFonts w:ascii="Times New Roman" w:hAnsi="Times New Roman" w:cs="Times New Roman"/>
          <w:sz w:val="24"/>
          <w:szCs w:val="24"/>
        </w:rPr>
        <w:t>rotocol wordt toegepast wanneer aangifte wordt gedaan van een ambtsmisdrijf (artikelen 35</w:t>
      </w:r>
      <w:r w:rsidRPr="00B4699E" w:rsidR="00D54138">
        <w:rPr>
          <w:rFonts w:ascii="Times New Roman" w:hAnsi="Times New Roman" w:cs="Times New Roman"/>
          <w:sz w:val="24"/>
          <w:szCs w:val="24"/>
        </w:rPr>
        <w:t>5</w:t>
      </w:r>
      <w:r w:rsidRPr="00B4699E">
        <w:rPr>
          <w:rFonts w:ascii="Times New Roman" w:hAnsi="Times New Roman" w:cs="Times New Roman"/>
          <w:sz w:val="24"/>
          <w:szCs w:val="24"/>
        </w:rPr>
        <w:t xml:space="preserve"> t/m 380 </w:t>
      </w:r>
      <w:r w:rsidRPr="00B4699E" w:rsidR="00886EDE">
        <w:rPr>
          <w:rFonts w:ascii="Times New Roman" w:hAnsi="Times New Roman" w:cs="Times New Roman"/>
          <w:sz w:val="24"/>
          <w:szCs w:val="24"/>
        </w:rPr>
        <w:t>Sr</w:t>
      </w:r>
      <w:r w:rsidRPr="00B4699E">
        <w:rPr>
          <w:rFonts w:ascii="Times New Roman" w:hAnsi="Times New Roman" w:cs="Times New Roman"/>
          <w:sz w:val="24"/>
          <w:szCs w:val="24"/>
        </w:rPr>
        <w:t xml:space="preserve">) gepleegd door een bewindspersoon of lid van de Staten-Generaal, of van een commuun misdrijf (dat via het koppelartikel 44 </w:t>
      </w:r>
      <w:r w:rsidRPr="00B4699E" w:rsidR="00886EDE">
        <w:rPr>
          <w:rFonts w:ascii="Times New Roman" w:hAnsi="Times New Roman" w:cs="Times New Roman"/>
          <w:sz w:val="24"/>
          <w:szCs w:val="24"/>
        </w:rPr>
        <w:t>Sr</w:t>
      </w:r>
      <w:r w:rsidRPr="00B4699E">
        <w:rPr>
          <w:rFonts w:ascii="Times New Roman" w:hAnsi="Times New Roman" w:cs="Times New Roman"/>
          <w:sz w:val="24"/>
          <w:szCs w:val="24"/>
        </w:rPr>
        <w:t xml:space="preserve"> een ambtsmisdrijf kan zijn) gepleegd door een bewindspersoon of lid van de Staten-Generaal.</w:t>
      </w:r>
      <w:r w:rsidRPr="00B4699E" w:rsidR="00D54138">
        <w:rPr>
          <w:rStyle w:val="Voetnootmarkering"/>
          <w:rFonts w:ascii="Times New Roman" w:hAnsi="Times New Roman" w:cs="Times New Roman"/>
          <w:sz w:val="24"/>
          <w:szCs w:val="24"/>
        </w:rPr>
        <w:footnoteReference w:id="5"/>
      </w:r>
      <w:r w:rsidRPr="00B4699E">
        <w:rPr>
          <w:rFonts w:ascii="Times New Roman" w:hAnsi="Times New Roman" w:cs="Times New Roman"/>
          <w:sz w:val="24"/>
          <w:szCs w:val="24"/>
        </w:rPr>
        <w:t xml:space="preserve"> In beide gevallen is het aan de ontvanger van de aangifte (zie </w:t>
      </w:r>
      <w:r w:rsidRPr="00B4699E" w:rsidR="00BB4DF5">
        <w:rPr>
          <w:rFonts w:ascii="Times New Roman" w:hAnsi="Times New Roman" w:cs="Times New Roman"/>
          <w:sz w:val="24"/>
          <w:szCs w:val="24"/>
        </w:rPr>
        <w:t>vraag</w:t>
      </w:r>
      <w:r w:rsidRPr="00B4699E">
        <w:rPr>
          <w:rFonts w:ascii="Times New Roman" w:hAnsi="Times New Roman" w:cs="Times New Roman"/>
          <w:sz w:val="24"/>
          <w:szCs w:val="24"/>
        </w:rPr>
        <w:t xml:space="preserve"> 1</w:t>
      </w:r>
      <w:r w:rsidRPr="00B4699E" w:rsidR="00BB4DF5">
        <w:rPr>
          <w:rFonts w:ascii="Times New Roman" w:hAnsi="Times New Roman" w:cs="Times New Roman"/>
          <w:sz w:val="24"/>
          <w:szCs w:val="24"/>
        </w:rPr>
        <w:t>, onder</w:t>
      </w:r>
      <w:r w:rsidRPr="00B4699E">
        <w:rPr>
          <w:rFonts w:ascii="Times New Roman" w:hAnsi="Times New Roman" w:cs="Times New Roman"/>
          <w:sz w:val="24"/>
          <w:szCs w:val="24"/>
        </w:rPr>
        <w:t xml:space="preserve"> a t/m d</w:t>
      </w:r>
      <w:r w:rsidRPr="00B4699E" w:rsidR="00BB4DF5">
        <w:rPr>
          <w:rFonts w:ascii="Times New Roman" w:hAnsi="Times New Roman" w:cs="Times New Roman"/>
          <w:sz w:val="24"/>
          <w:szCs w:val="24"/>
        </w:rPr>
        <w:t>,</w:t>
      </w:r>
      <w:r w:rsidRPr="00B4699E">
        <w:rPr>
          <w:rFonts w:ascii="Times New Roman" w:hAnsi="Times New Roman" w:cs="Times New Roman"/>
          <w:sz w:val="24"/>
          <w:szCs w:val="24"/>
        </w:rPr>
        <w:t xml:space="preserve"> van het </w:t>
      </w:r>
      <w:r w:rsidRPr="00B4699E" w:rsidR="00BB4DF5">
        <w:rPr>
          <w:rFonts w:ascii="Times New Roman" w:hAnsi="Times New Roman" w:cs="Times New Roman"/>
          <w:sz w:val="24"/>
          <w:szCs w:val="24"/>
        </w:rPr>
        <w:t>p</w:t>
      </w:r>
      <w:r w:rsidRPr="00B4699E">
        <w:rPr>
          <w:rFonts w:ascii="Times New Roman" w:hAnsi="Times New Roman" w:cs="Times New Roman"/>
          <w:sz w:val="24"/>
          <w:szCs w:val="24"/>
        </w:rPr>
        <w:t xml:space="preserve">rotocol) om een eerste beoordeling te maken (zie </w:t>
      </w:r>
      <w:r w:rsidRPr="00B4699E" w:rsidR="00BB4DF5">
        <w:rPr>
          <w:rFonts w:ascii="Times New Roman" w:hAnsi="Times New Roman" w:cs="Times New Roman"/>
          <w:sz w:val="24"/>
          <w:szCs w:val="24"/>
        </w:rPr>
        <w:t>vragen</w:t>
      </w:r>
      <w:r w:rsidRPr="00B4699E">
        <w:rPr>
          <w:rFonts w:ascii="Times New Roman" w:hAnsi="Times New Roman" w:cs="Times New Roman"/>
          <w:sz w:val="24"/>
          <w:szCs w:val="24"/>
        </w:rPr>
        <w:t xml:space="preserve"> 2a en </w:t>
      </w:r>
      <w:r w:rsidRPr="00B4699E" w:rsidR="00BB4DF5">
        <w:rPr>
          <w:rFonts w:ascii="Times New Roman" w:hAnsi="Times New Roman" w:cs="Times New Roman"/>
          <w:sz w:val="24"/>
          <w:szCs w:val="24"/>
        </w:rPr>
        <w:t>2</w:t>
      </w:r>
      <w:r w:rsidRPr="00B4699E">
        <w:rPr>
          <w:rFonts w:ascii="Times New Roman" w:hAnsi="Times New Roman" w:cs="Times New Roman"/>
          <w:sz w:val="24"/>
          <w:szCs w:val="24"/>
        </w:rPr>
        <w:t xml:space="preserve">b van het </w:t>
      </w:r>
      <w:r w:rsidRPr="00B4699E" w:rsidR="00BB4DF5">
        <w:rPr>
          <w:rFonts w:ascii="Times New Roman" w:hAnsi="Times New Roman" w:cs="Times New Roman"/>
          <w:sz w:val="24"/>
          <w:szCs w:val="24"/>
        </w:rPr>
        <w:t>p</w:t>
      </w:r>
      <w:r w:rsidRPr="00B4699E">
        <w:rPr>
          <w:rFonts w:ascii="Times New Roman" w:hAnsi="Times New Roman" w:cs="Times New Roman"/>
          <w:sz w:val="24"/>
          <w:szCs w:val="24"/>
        </w:rPr>
        <w:t>rotocol). Vaak is het OM de ontvanger van de aangifte en vindt de eerste beoordeling door, of met bijstand van, het OM plaats. Het OM kan zich, bij twijfel over de vraag of het een aangifte van een ambts</w:t>
      </w:r>
      <w:r w:rsidRPr="00B4699E" w:rsidR="003342B7">
        <w:rPr>
          <w:rFonts w:ascii="Times New Roman" w:hAnsi="Times New Roman" w:cs="Times New Roman"/>
          <w:sz w:val="24"/>
          <w:szCs w:val="24"/>
        </w:rPr>
        <w:t>delict</w:t>
      </w:r>
      <w:r w:rsidRPr="00B4699E">
        <w:rPr>
          <w:rFonts w:ascii="Times New Roman" w:hAnsi="Times New Roman" w:cs="Times New Roman"/>
          <w:sz w:val="24"/>
          <w:szCs w:val="24"/>
        </w:rPr>
        <w:t xml:space="preserve"> in de zin van het </w:t>
      </w:r>
      <w:r w:rsidRPr="00B4699E" w:rsidR="00BB4DF5">
        <w:rPr>
          <w:rFonts w:ascii="Times New Roman" w:hAnsi="Times New Roman" w:cs="Times New Roman"/>
          <w:sz w:val="24"/>
          <w:szCs w:val="24"/>
        </w:rPr>
        <w:t>p</w:t>
      </w:r>
      <w:r w:rsidRPr="00B4699E">
        <w:rPr>
          <w:rFonts w:ascii="Times New Roman" w:hAnsi="Times New Roman" w:cs="Times New Roman"/>
          <w:sz w:val="24"/>
          <w:szCs w:val="24"/>
        </w:rPr>
        <w:t xml:space="preserve">rotocol betreft, laten bijstaan door de </w:t>
      </w:r>
      <w:r w:rsidRPr="00B4699E" w:rsidR="006B2889">
        <w:rPr>
          <w:rFonts w:ascii="Times New Roman" w:hAnsi="Times New Roman" w:cs="Times New Roman"/>
          <w:sz w:val="24"/>
          <w:szCs w:val="24"/>
        </w:rPr>
        <w:t>PGHR</w:t>
      </w:r>
      <w:r w:rsidRPr="00B4699E">
        <w:rPr>
          <w:rFonts w:ascii="Times New Roman" w:hAnsi="Times New Roman" w:cs="Times New Roman"/>
          <w:sz w:val="24"/>
          <w:szCs w:val="24"/>
        </w:rPr>
        <w:t xml:space="preserve">. </w:t>
      </w:r>
    </w:p>
    <w:p w:rsidRPr="00B4699E" w:rsidR="000F2166" w:rsidP="000F2166" w:rsidRDefault="000F2166" w14:paraId="7405961D" w14:textId="50316EFE">
      <w:pPr>
        <w:rPr>
          <w:rFonts w:ascii="Times New Roman" w:hAnsi="Times New Roman" w:cs="Times New Roman"/>
          <w:sz w:val="24"/>
          <w:szCs w:val="24"/>
        </w:rPr>
      </w:pPr>
      <w:r w:rsidRPr="00B4699E">
        <w:rPr>
          <w:rFonts w:ascii="Times New Roman" w:hAnsi="Times New Roman" w:cs="Times New Roman"/>
          <w:sz w:val="24"/>
          <w:szCs w:val="24"/>
        </w:rPr>
        <w:t xml:space="preserve">Wanneer de ontvanger van de aangifte van oordeel is dat het een aangifte </w:t>
      </w:r>
      <w:r w:rsidRPr="00B4699E" w:rsidR="00886EDE">
        <w:rPr>
          <w:rFonts w:ascii="Times New Roman" w:hAnsi="Times New Roman" w:cs="Times New Roman"/>
          <w:sz w:val="24"/>
          <w:szCs w:val="24"/>
        </w:rPr>
        <w:t xml:space="preserve">betreft </w:t>
      </w:r>
      <w:r w:rsidRPr="00B4699E">
        <w:rPr>
          <w:rFonts w:ascii="Times New Roman" w:hAnsi="Times New Roman" w:cs="Times New Roman"/>
          <w:sz w:val="24"/>
          <w:szCs w:val="24"/>
        </w:rPr>
        <w:t xml:space="preserve">van een concrete gedraging die een strafbaar feit oplevert, waarbij (mogelijk) sprake is van een ambtsdelict door een bewindspersoon of Kamerlid, start de </w:t>
      </w:r>
      <w:r w:rsidRPr="00B4699E" w:rsidR="00622912">
        <w:rPr>
          <w:rFonts w:ascii="Times New Roman" w:hAnsi="Times New Roman" w:cs="Times New Roman"/>
          <w:sz w:val="24"/>
          <w:szCs w:val="24"/>
        </w:rPr>
        <w:t>PGHR</w:t>
      </w:r>
      <w:r w:rsidRPr="00B4699E">
        <w:rPr>
          <w:rFonts w:ascii="Times New Roman" w:hAnsi="Times New Roman" w:cs="Times New Roman"/>
          <w:sz w:val="24"/>
          <w:szCs w:val="24"/>
        </w:rPr>
        <w:t xml:space="preserve"> na ontvangst (zie </w:t>
      </w:r>
      <w:r w:rsidRPr="00B4699E" w:rsidR="00BB4DF5">
        <w:rPr>
          <w:rFonts w:ascii="Times New Roman" w:hAnsi="Times New Roman" w:cs="Times New Roman"/>
          <w:sz w:val="24"/>
          <w:szCs w:val="24"/>
        </w:rPr>
        <w:t>vraag</w:t>
      </w:r>
      <w:r w:rsidRPr="00B4699E">
        <w:rPr>
          <w:rFonts w:ascii="Times New Roman" w:hAnsi="Times New Roman" w:cs="Times New Roman"/>
          <w:sz w:val="24"/>
          <w:szCs w:val="24"/>
        </w:rPr>
        <w:t xml:space="preserve"> 3 van het </w:t>
      </w:r>
      <w:r w:rsidRPr="00B4699E" w:rsidR="00BB4DF5">
        <w:rPr>
          <w:rFonts w:ascii="Times New Roman" w:hAnsi="Times New Roman" w:cs="Times New Roman"/>
          <w:sz w:val="24"/>
          <w:szCs w:val="24"/>
        </w:rPr>
        <w:t>p</w:t>
      </w:r>
      <w:r w:rsidRPr="00B4699E">
        <w:rPr>
          <w:rFonts w:ascii="Times New Roman" w:hAnsi="Times New Roman" w:cs="Times New Roman"/>
          <w:sz w:val="24"/>
          <w:szCs w:val="24"/>
        </w:rPr>
        <w:t xml:space="preserve">rotocol) een oriënterend onderzoek (zie </w:t>
      </w:r>
      <w:r w:rsidRPr="00B4699E" w:rsidR="00BB4DF5">
        <w:rPr>
          <w:rFonts w:ascii="Times New Roman" w:hAnsi="Times New Roman" w:cs="Times New Roman"/>
          <w:sz w:val="24"/>
          <w:szCs w:val="24"/>
        </w:rPr>
        <w:t>vraag</w:t>
      </w:r>
      <w:r w:rsidRPr="00B4699E">
        <w:rPr>
          <w:rFonts w:ascii="Times New Roman" w:hAnsi="Times New Roman" w:cs="Times New Roman"/>
          <w:sz w:val="24"/>
          <w:szCs w:val="24"/>
        </w:rPr>
        <w:t xml:space="preserve"> 4 van het </w:t>
      </w:r>
      <w:r w:rsidRPr="00B4699E" w:rsidR="00BB4DF5">
        <w:rPr>
          <w:rFonts w:ascii="Times New Roman" w:hAnsi="Times New Roman" w:cs="Times New Roman"/>
          <w:sz w:val="24"/>
          <w:szCs w:val="24"/>
        </w:rPr>
        <w:t>p</w:t>
      </w:r>
      <w:r w:rsidRPr="00B4699E">
        <w:rPr>
          <w:rFonts w:ascii="Times New Roman" w:hAnsi="Times New Roman" w:cs="Times New Roman"/>
          <w:sz w:val="24"/>
          <w:szCs w:val="24"/>
        </w:rPr>
        <w:t>rotocol). In de afgelopen jaren heeft de</w:t>
      </w:r>
      <w:r w:rsidRPr="00B4699E" w:rsidR="00622912">
        <w:rPr>
          <w:rFonts w:ascii="Times New Roman" w:hAnsi="Times New Roman" w:cs="Times New Roman"/>
          <w:sz w:val="24"/>
          <w:szCs w:val="24"/>
        </w:rPr>
        <w:t xml:space="preserve"> PGHR</w:t>
      </w:r>
      <w:r w:rsidRPr="00B4699E">
        <w:rPr>
          <w:rFonts w:ascii="Times New Roman" w:hAnsi="Times New Roman" w:cs="Times New Roman"/>
          <w:sz w:val="24"/>
          <w:szCs w:val="24"/>
        </w:rPr>
        <w:t xml:space="preserve"> zes</w:t>
      </w:r>
      <w:r w:rsidRPr="00B4699E" w:rsidR="0045030F">
        <w:rPr>
          <w:rFonts w:ascii="Times New Roman" w:hAnsi="Times New Roman" w:cs="Times New Roman"/>
          <w:sz w:val="24"/>
          <w:szCs w:val="24"/>
        </w:rPr>
        <w:t xml:space="preserve"> keren</w:t>
      </w:r>
      <w:r w:rsidRPr="00B4699E">
        <w:rPr>
          <w:rFonts w:ascii="Times New Roman" w:hAnsi="Times New Roman" w:cs="Times New Roman"/>
          <w:sz w:val="24"/>
          <w:szCs w:val="24"/>
        </w:rPr>
        <w:t xml:space="preserve"> een oriënterend onderzoek </w:t>
      </w:r>
      <w:r w:rsidRPr="00B4699E" w:rsidR="00886EDE">
        <w:rPr>
          <w:rFonts w:ascii="Times New Roman" w:hAnsi="Times New Roman" w:cs="Times New Roman"/>
          <w:sz w:val="24"/>
          <w:szCs w:val="24"/>
        </w:rPr>
        <w:t>uitgevoerd</w:t>
      </w:r>
      <w:r w:rsidRPr="00B4699E">
        <w:rPr>
          <w:rFonts w:ascii="Times New Roman" w:hAnsi="Times New Roman" w:cs="Times New Roman"/>
          <w:sz w:val="24"/>
          <w:szCs w:val="24"/>
        </w:rPr>
        <w:t>.</w:t>
      </w:r>
    </w:p>
    <w:p w:rsidRPr="00B4699E" w:rsidR="00D65A31" w:rsidP="000F2166" w:rsidRDefault="00612F48" w14:paraId="1AF8B02F" w14:textId="033510BA">
      <w:pPr>
        <w:rPr>
          <w:rFonts w:ascii="Times New Roman" w:hAnsi="Times New Roman" w:cs="Times New Roman"/>
          <w:sz w:val="24"/>
          <w:szCs w:val="24"/>
        </w:rPr>
      </w:pPr>
      <w:r w:rsidRPr="00B4699E">
        <w:rPr>
          <w:rFonts w:ascii="Times New Roman" w:hAnsi="Times New Roman" w:cs="Times New Roman"/>
          <w:sz w:val="24"/>
          <w:szCs w:val="24"/>
        </w:rPr>
        <w:t>Anders dan de leden van de VVD-fractie lijken te veronderstellen, is d</w:t>
      </w:r>
      <w:r w:rsidRPr="00B4699E" w:rsidR="000F2166">
        <w:rPr>
          <w:rFonts w:ascii="Times New Roman" w:hAnsi="Times New Roman" w:cs="Times New Roman"/>
          <w:sz w:val="24"/>
          <w:szCs w:val="24"/>
        </w:rPr>
        <w:t xml:space="preserve">e Tweede Kamer </w:t>
      </w:r>
      <w:r w:rsidRPr="00B4699E" w:rsidR="00886EDE">
        <w:rPr>
          <w:rFonts w:ascii="Times New Roman" w:hAnsi="Times New Roman" w:cs="Times New Roman"/>
          <w:sz w:val="24"/>
          <w:szCs w:val="24"/>
        </w:rPr>
        <w:t xml:space="preserve">die zes keren </w:t>
      </w:r>
      <w:r w:rsidRPr="00B4699E" w:rsidR="000F2166">
        <w:rPr>
          <w:rFonts w:ascii="Times New Roman" w:hAnsi="Times New Roman" w:cs="Times New Roman"/>
          <w:sz w:val="24"/>
          <w:szCs w:val="24"/>
        </w:rPr>
        <w:t xml:space="preserve">steeds bij brief geïnformeerd over de uitkomsten van het oriënterend onderzoek van de </w:t>
      </w:r>
      <w:r w:rsidRPr="00B4699E" w:rsidR="00622912">
        <w:rPr>
          <w:rFonts w:ascii="Times New Roman" w:hAnsi="Times New Roman" w:cs="Times New Roman"/>
          <w:sz w:val="24"/>
          <w:szCs w:val="24"/>
        </w:rPr>
        <w:t xml:space="preserve">PGHR </w:t>
      </w:r>
      <w:r w:rsidRPr="00B4699E" w:rsidR="000F2166">
        <w:rPr>
          <w:rFonts w:ascii="Times New Roman" w:hAnsi="Times New Roman" w:cs="Times New Roman"/>
          <w:sz w:val="24"/>
          <w:szCs w:val="24"/>
        </w:rPr>
        <w:t xml:space="preserve">en de daaropvolgende beslissing van de minister van Justitie en Veiligheid inzake </w:t>
      </w:r>
      <w:r w:rsidRPr="00B4699E" w:rsidR="000F2166">
        <w:rPr>
          <w:rFonts w:ascii="Times New Roman" w:hAnsi="Times New Roman" w:cs="Times New Roman"/>
          <w:sz w:val="24"/>
          <w:szCs w:val="24"/>
        </w:rPr>
        <w:lastRenderedPageBreak/>
        <w:t>het al dan niet starten van een strafrechtelijk onderzoek.</w:t>
      </w:r>
      <w:r w:rsidRPr="00B4699E" w:rsidR="008D78AA">
        <w:rPr>
          <w:rStyle w:val="Voetnootmarkering"/>
          <w:rFonts w:ascii="Times New Roman" w:hAnsi="Times New Roman" w:cs="Times New Roman"/>
          <w:sz w:val="24"/>
          <w:szCs w:val="24"/>
        </w:rPr>
        <w:footnoteReference w:id="6"/>
      </w:r>
      <w:r w:rsidRPr="00B4699E" w:rsidR="000F2166">
        <w:rPr>
          <w:rFonts w:ascii="Times New Roman" w:hAnsi="Times New Roman" w:cs="Times New Roman"/>
          <w:sz w:val="24"/>
          <w:szCs w:val="24"/>
        </w:rPr>
        <w:t xml:space="preserve"> In de Kamerbrieven </w:t>
      </w:r>
      <w:r w:rsidRPr="00B4699E" w:rsidR="00886EDE">
        <w:rPr>
          <w:rFonts w:ascii="Times New Roman" w:hAnsi="Times New Roman" w:cs="Times New Roman"/>
          <w:sz w:val="24"/>
          <w:szCs w:val="24"/>
        </w:rPr>
        <w:t>i</w:t>
      </w:r>
      <w:r w:rsidRPr="00B4699E" w:rsidR="000F2166">
        <w:rPr>
          <w:rFonts w:ascii="Times New Roman" w:hAnsi="Times New Roman" w:cs="Times New Roman"/>
          <w:sz w:val="24"/>
          <w:szCs w:val="24"/>
        </w:rPr>
        <w:t xml:space="preserve">s daarnaast </w:t>
      </w:r>
      <w:r w:rsidRPr="00B4699E" w:rsidR="00886EDE">
        <w:rPr>
          <w:rFonts w:ascii="Times New Roman" w:hAnsi="Times New Roman" w:cs="Times New Roman"/>
          <w:sz w:val="24"/>
          <w:szCs w:val="24"/>
        </w:rPr>
        <w:t>steeds</w:t>
      </w:r>
      <w:r w:rsidRPr="00B4699E" w:rsidR="000F2166">
        <w:rPr>
          <w:rFonts w:ascii="Times New Roman" w:hAnsi="Times New Roman" w:cs="Times New Roman"/>
          <w:sz w:val="24"/>
          <w:szCs w:val="24"/>
        </w:rPr>
        <w:t xml:space="preserve"> een link opgenomen naar het rapport van het oriënterend onderzoek dat op de website van de Hoge Raad </w:t>
      </w:r>
      <w:r w:rsidRPr="00B4699E" w:rsidR="00886EDE">
        <w:rPr>
          <w:rFonts w:ascii="Times New Roman" w:hAnsi="Times New Roman" w:cs="Times New Roman"/>
          <w:sz w:val="24"/>
          <w:szCs w:val="24"/>
        </w:rPr>
        <w:t>is</w:t>
      </w:r>
      <w:r w:rsidRPr="00B4699E" w:rsidR="000F2166">
        <w:rPr>
          <w:rFonts w:ascii="Times New Roman" w:hAnsi="Times New Roman" w:cs="Times New Roman"/>
          <w:sz w:val="24"/>
          <w:szCs w:val="24"/>
        </w:rPr>
        <w:t xml:space="preserve"> gepubliceerd. Wanneer een aangifte niet wordt beoordeeld als zijnde een aangifte van een (mogelijk) ambts</w:t>
      </w:r>
      <w:r w:rsidRPr="00B4699E" w:rsidR="00D54138">
        <w:rPr>
          <w:rFonts w:ascii="Times New Roman" w:hAnsi="Times New Roman" w:cs="Times New Roman"/>
          <w:sz w:val="24"/>
          <w:szCs w:val="24"/>
        </w:rPr>
        <w:t>delict</w:t>
      </w:r>
      <w:r w:rsidRPr="00B4699E" w:rsidR="000F2166">
        <w:rPr>
          <w:rFonts w:ascii="Times New Roman" w:hAnsi="Times New Roman" w:cs="Times New Roman"/>
          <w:sz w:val="24"/>
          <w:szCs w:val="24"/>
        </w:rPr>
        <w:t xml:space="preserve">, wordt geen oriënterend onderzoek door de </w:t>
      </w:r>
      <w:r w:rsidRPr="00B4699E" w:rsidR="00622912">
        <w:rPr>
          <w:rFonts w:ascii="Times New Roman" w:hAnsi="Times New Roman" w:cs="Times New Roman"/>
          <w:sz w:val="24"/>
          <w:szCs w:val="24"/>
        </w:rPr>
        <w:t>PGHR</w:t>
      </w:r>
      <w:r w:rsidRPr="00B4699E" w:rsidR="000F2166">
        <w:rPr>
          <w:rFonts w:ascii="Times New Roman" w:hAnsi="Times New Roman" w:cs="Times New Roman"/>
          <w:sz w:val="24"/>
          <w:szCs w:val="24"/>
        </w:rPr>
        <w:t xml:space="preserve"> gestart en wordt de Tweede Kamer dientengevolge ook niet over een dergelijk onderzoek ingelicht. Er kan wel berichtgeving over een dergelijke aangifte zijn verschenen in de media. </w:t>
      </w:r>
      <w:r w:rsidRPr="00B4699E">
        <w:rPr>
          <w:rFonts w:ascii="Times New Roman" w:hAnsi="Times New Roman" w:cs="Times New Roman"/>
          <w:sz w:val="24"/>
          <w:szCs w:val="24"/>
        </w:rPr>
        <w:t>Gelet op het voorgaande is er</w:t>
      </w:r>
      <w:r w:rsidRPr="00B4699E" w:rsidR="000F2166">
        <w:rPr>
          <w:rFonts w:ascii="Times New Roman" w:hAnsi="Times New Roman" w:cs="Times New Roman"/>
          <w:sz w:val="24"/>
          <w:szCs w:val="24"/>
        </w:rPr>
        <w:t xml:space="preserve"> geen aanleiding om de gehanteerde werkwijze te herzien.</w:t>
      </w:r>
    </w:p>
    <w:p w:rsidRPr="00B4699E" w:rsidR="00D65A31" w:rsidP="00D65A31" w:rsidRDefault="00D65A31" w14:paraId="6B3993C7" w14:textId="72FB4C1E">
      <w:pPr>
        <w:rPr>
          <w:rFonts w:ascii="Times New Roman" w:hAnsi="Times New Roman" w:cs="Times New Roman"/>
          <w:i/>
          <w:iCs/>
          <w:sz w:val="24"/>
          <w:szCs w:val="24"/>
        </w:rPr>
      </w:pPr>
      <w:r w:rsidRPr="00B4699E">
        <w:rPr>
          <w:rFonts w:ascii="Times New Roman" w:hAnsi="Times New Roman" w:cs="Times New Roman"/>
          <w:i/>
          <w:iCs/>
          <w:sz w:val="24"/>
          <w:szCs w:val="24"/>
        </w:rPr>
        <w:t>De leden van de VVD-fractie kunnen in grote lijnen de route volgen die de minister kiest op grond van het rapport van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Klopt het dat de minister in feite kiest om alle aanbevelingen van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te volgen, behalve waar het de voorgestelde grondwetswijziging in spoor II betreft? Als deze leden het juist hebben gezien, stelt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namelijk voor artikel 119 Grondwet geheel te schrappen, terwijl de minister voornemens is te kiezen om (naast het Wetboek van Strafvordering) ook in de Grondwet zelf de waarborg vast te leggen dat het OM alleen tot vervolging van een Kamerlid of bewindspersoon wegens een ambtsdelict mag overgaan als de PGHR daartoe opdracht geeft? Waarom wordt hiervoor gekozen en is dit inderdaad het enige punt waarop de minister wil afwijken van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Zo nee, op welke punten nog meer niet?</w:t>
      </w:r>
    </w:p>
    <w:p w:rsidRPr="00B4699E" w:rsidR="0059296F" w:rsidP="0059296F" w:rsidRDefault="00F22CBF" w14:paraId="07B5B688" w14:textId="491DCC6C">
      <w:pPr>
        <w:rPr>
          <w:rFonts w:ascii="Times New Roman" w:hAnsi="Times New Roman" w:cs="Times New Roman"/>
          <w:sz w:val="24"/>
          <w:szCs w:val="24"/>
        </w:rPr>
      </w:pPr>
      <w:r w:rsidRPr="00B4699E">
        <w:rPr>
          <w:rFonts w:ascii="Times New Roman" w:hAnsi="Times New Roman" w:cs="Times New Roman"/>
          <w:sz w:val="24"/>
          <w:szCs w:val="24"/>
        </w:rPr>
        <w:t xml:space="preserve">Het </w:t>
      </w:r>
      <w:r w:rsidRPr="00B4699E" w:rsidR="00612F48">
        <w:rPr>
          <w:rFonts w:ascii="Times New Roman" w:hAnsi="Times New Roman" w:cs="Times New Roman"/>
          <w:sz w:val="24"/>
          <w:szCs w:val="24"/>
        </w:rPr>
        <w:t xml:space="preserve">vorige kabinet </w:t>
      </w:r>
      <w:r w:rsidRPr="00B4699E">
        <w:rPr>
          <w:rFonts w:ascii="Times New Roman" w:hAnsi="Times New Roman" w:cs="Times New Roman"/>
          <w:sz w:val="24"/>
          <w:szCs w:val="24"/>
        </w:rPr>
        <w:t xml:space="preserve">heeft </w:t>
      </w:r>
      <w:r w:rsidRPr="00B4699E" w:rsidR="00612F48">
        <w:rPr>
          <w:rFonts w:ascii="Times New Roman" w:hAnsi="Times New Roman" w:cs="Times New Roman"/>
          <w:sz w:val="24"/>
          <w:szCs w:val="24"/>
        </w:rPr>
        <w:t>het voornemen uitg</w:t>
      </w:r>
      <w:r w:rsidRPr="00B4699E">
        <w:rPr>
          <w:rFonts w:ascii="Times New Roman" w:hAnsi="Times New Roman" w:cs="Times New Roman"/>
          <w:sz w:val="24"/>
          <w:szCs w:val="24"/>
        </w:rPr>
        <w:t>e</w:t>
      </w:r>
      <w:r w:rsidRPr="00B4699E" w:rsidR="00612F48">
        <w:rPr>
          <w:rFonts w:ascii="Times New Roman" w:hAnsi="Times New Roman" w:cs="Times New Roman"/>
          <w:sz w:val="24"/>
          <w:szCs w:val="24"/>
        </w:rPr>
        <w:t>sproken om op één punt een stap verder te gaan dan het advies van de commissie-</w:t>
      </w:r>
      <w:proofErr w:type="spellStart"/>
      <w:r w:rsidRPr="00B4699E" w:rsidR="00612F48">
        <w:rPr>
          <w:rFonts w:ascii="Times New Roman" w:hAnsi="Times New Roman" w:cs="Times New Roman"/>
          <w:sz w:val="24"/>
          <w:szCs w:val="24"/>
        </w:rPr>
        <w:t>Fokkens</w:t>
      </w:r>
      <w:proofErr w:type="spellEnd"/>
      <w:r w:rsidRPr="00B4699E" w:rsidR="00612F48">
        <w:rPr>
          <w:rFonts w:ascii="Times New Roman" w:hAnsi="Times New Roman" w:cs="Times New Roman"/>
          <w:sz w:val="24"/>
          <w:szCs w:val="24"/>
        </w:rPr>
        <w:t xml:space="preserve"> en voor al het overige </w:t>
      </w:r>
      <w:r w:rsidRPr="00B4699E">
        <w:rPr>
          <w:rFonts w:ascii="Times New Roman" w:hAnsi="Times New Roman" w:cs="Times New Roman"/>
          <w:sz w:val="24"/>
          <w:szCs w:val="24"/>
        </w:rPr>
        <w:t xml:space="preserve">de </w:t>
      </w:r>
      <w:r w:rsidRPr="00B4699E" w:rsidR="00612F48">
        <w:rPr>
          <w:rFonts w:ascii="Times New Roman" w:hAnsi="Times New Roman" w:cs="Times New Roman"/>
          <w:sz w:val="24"/>
          <w:szCs w:val="24"/>
        </w:rPr>
        <w:t xml:space="preserve">aanbevelingen van de commissie integraal </w:t>
      </w:r>
      <w:r w:rsidRPr="00B4699E">
        <w:rPr>
          <w:rFonts w:ascii="Times New Roman" w:hAnsi="Times New Roman" w:cs="Times New Roman"/>
          <w:sz w:val="24"/>
          <w:szCs w:val="24"/>
        </w:rPr>
        <w:t>over te nemen</w:t>
      </w:r>
      <w:r w:rsidRPr="00B4699E" w:rsidR="00612F48">
        <w:rPr>
          <w:rFonts w:ascii="Times New Roman" w:hAnsi="Times New Roman" w:cs="Times New Roman"/>
          <w:sz w:val="24"/>
          <w:szCs w:val="24"/>
        </w:rPr>
        <w:t xml:space="preserve">. </w:t>
      </w:r>
      <w:r w:rsidRPr="00B4699E" w:rsidR="0059296F">
        <w:rPr>
          <w:rFonts w:ascii="Times New Roman" w:hAnsi="Times New Roman" w:cs="Times New Roman"/>
          <w:sz w:val="24"/>
          <w:szCs w:val="24"/>
        </w:rPr>
        <w:t>De commissie-</w:t>
      </w:r>
      <w:proofErr w:type="spellStart"/>
      <w:r w:rsidRPr="00B4699E" w:rsidR="0059296F">
        <w:rPr>
          <w:rFonts w:ascii="Times New Roman" w:hAnsi="Times New Roman" w:cs="Times New Roman"/>
          <w:sz w:val="24"/>
          <w:szCs w:val="24"/>
        </w:rPr>
        <w:t>Fokkens</w:t>
      </w:r>
      <w:proofErr w:type="spellEnd"/>
      <w:r w:rsidRPr="00B4699E" w:rsidR="0059296F">
        <w:rPr>
          <w:rFonts w:ascii="Times New Roman" w:hAnsi="Times New Roman" w:cs="Times New Roman"/>
          <w:sz w:val="24"/>
          <w:szCs w:val="24"/>
        </w:rPr>
        <w:t xml:space="preserve"> </w:t>
      </w:r>
      <w:r w:rsidRPr="00B4699E" w:rsidR="00612F48">
        <w:rPr>
          <w:rFonts w:ascii="Times New Roman" w:hAnsi="Times New Roman" w:cs="Times New Roman"/>
          <w:sz w:val="24"/>
          <w:szCs w:val="24"/>
        </w:rPr>
        <w:t>stelde voor</w:t>
      </w:r>
      <w:r w:rsidRPr="00B4699E" w:rsidR="0059296F">
        <w:rPr>
          <w:rFonts w:ascii="Times New Roman" w:hAnsi="Times New Roman" w:cs="Times New Roman"/>
          <w:sz w:val="24"/>
          <w:szCs w:val="24"/>
        </w:rPr>
        <w:t xml:space="preserve"> om artikel 119 van de Grondwet te schrappen en niet te voorzien in verankering van (onderdelen van) de nieuwe procedure in de Grondwet. Naar het oordeel van de commissie-</w:t>
      </w:r>
      <w:proofErr w:type="spellStart"/>
      <w:r w:rsidRPr="00B4699E" w:rsidR="0059296F">
        <w:rPr>
          <w:rFonts w:ascii="Times New Roman" w:hAnsi="Times New Roman" w:cs="Times New Roman"/>
          <w:sz w:val="24"/>
          <w:szCs w:val="24"/>
        </w:rPr>
        <w:t>Fokkens</w:t>
      </w:r>
      <w:proofErr w:type="spellEnd"/>
      <w:r w:rsidRPr="00B4699E" w:rsidR="0059296F">
        <w:rPr>
          <w:rFonts w:ascii="Times New Roman" w:hAnsi="Times New Roman" w:cs="Times New Roman"/>
          <w:sz w:val="24"/>
          <w:szCs w:val="24"/>
        </w:rPr>
        <w:t xml:space="preserve"> is dat niet nodig, omdat de voorgestelde uitwerking in grote lijnen aansluit bij het reguliere strafprocesrecht. Wel achtte de commissie het van groot belang om artikel 117 van de Grondwet, waarin de onafhankelijke positie van de PGHR is gewaarborgd, te handhaven.</w:t>
      </w:r>
    </w:p>
    <w:p w:rsidRPr="00B4699E" w:rsidR="0059296F" w:rsidP="0059296F" w:rsidRDefault="00F22CBF" w14:paraId="6128362D" w14:textId="18C92ADA">
      <w:pPr>
        <w:rPr>
          <w:rFonts w:ascii="Times New Roman" w:hAnsi="Times New Roman" w:cs="Times New Roman"/>
          <w:sz w:val="24"/>
          <w:szCs w:val="24"/>
        </w:rPr>
      </w:pPr>
      <w:r w:rsidRPr="00B4699E">
        <w:rPr>
          <w:rFonts w:ascii="Times New Roman" w:hAnsi="Times New Roman" w:cs="Times New Roman"/>
          <w:sz w:val="24"/>
          <w:szCs w:val="24"/>
        </w:rPr>
        <w:t xml:space="preserve">Evenals het vorige kabinet zijn ook wij voornemens </w:t>
      </w:r>
      <w:r w:rsidRPr="00B4699E" w:rsidR="0059296F">
        <w:rPr>
          <w:rFonts w:ascii="Times New Roman" w:hAnsi="Times New Roman" w:cs="Times New Roman"/>
          <w:sz w:val="24"/>
          <w:szCs w:val="24"/>
        </w:rPr>
        <w:t xml:space="preserve">om </w:t>
      </w:r>
      <w:r w:rsidRPr="00B4699E" w:rsidR="00FE575F">
        <w:rPr>
          <w:rFonts w:ascii="Times New Roman" w:hAnsi="Times New Roman" w:cs="Times New Roman"/>
          <w:sz w:val="24"/>
          <w:szCs w:val="24"/>
        </w:rPr>
        <w:t>als</w:t>
      </w:r>
      <w:r w:rsidRPr="00B4699E" w:rsidR="0059296F">
        <w:rPr>
          <w:rFonts w:ascii="Times New Roman" w:hAnsi="Times New Roman" w:cs="Times New Roman"/>
          <w:sz w:val="24"/>
          <w:szCs w:val="24"/>
        </w:rPr>
        <w:t xml:space="preserve"> extra grondwettelijke waarborg </w:t>
      </w:r>
      <w:r w:rsidRPr="00B4699E" w:rsidR="00FE575F">
        <w:rPr>
          <w:rFonts w:ascii="Times New Roman" w:hAnsi="Times New Roman" w:cs="Times New Roman"/>
          <w:sz w:val="24"/>
          <w:szCs w:val="24"/>
        </w:rPr>
        <w:t xml:space="preserve">de rol van de PGHR bij de vervolging van Kamerleden of bewindspersonen wegens ambtsdelicten grondwettelijk vast te leggen. </w:t>
      </w:r>
      <w:r w:rsidRPr="00B4699E" w:rsidR="0059296F">
        <w:rPr>
          <w:rFonts w:ascii="Times New Roman" w:hAnsi="Times New Roman" w:cs="Times New Roman"/>
          <w:sz w:val="24"/>
          <w:szCs w:val="24"/>
        </w:rPr>
        <w:t>Voor een dergelijke cruciale regel in ons staatsbestel past naar het oordeel van het kabinet een grondwettelijke verankering. Ook maakt dit het logischer dat in de Grondwet blijft staan dat de PGHR voor het leven wordt benoemd. Uit de grondwetsgeschiedenis volgt dat de grondwettelijk verzekerde benoeming voor het leven van de PGHR nauw samenhangt met zijn rol bij de vervolging van Kamerleden en bewindspersonen bij ambtsdelicten.</w:t>
      </w:r>
      <w:r w:rsidRPr="00B4699E" w:rsidR="0059296F">
        <w:rPr>
          <w:rStyle w:val="Voetnootmarkering"/>
          <w:rFonts w:ascii="Times New Roman" w:hAnsi="Times New Roman" w:cs="Times New Roman"/>
          <w:sz w:val="24"/>
          <w:szCs w:val="24"/>
        </w:rPr>
        <w:footnoteReference w:id="7"/>
      </w:r>
      <w:r w:rsidRPr="00B4699E" w:rsidR="0059296F">
        <w:rPr>
          <w:rFonts w:ascii="Times New Roman" w:hAnsi="Times New Roman" w:cs="Times New Roman"/>
          <w:sz w:val="24"/>
          <w:szCs w:val="24"/>
        </w:rPr>
        <w:t xml:space="preserve"> </w:t>
      </w:r>
    </w:p>
    <w:p w:rsidRPr="00B4699E" w:rsidR="0059296F" w:rsidP="0059296F" w:rsidRDefault="0059296F" w14:paraId="5EB35415" w14:textId="79D0F8B7">
      <w:pPr>
        <w:rPr>
          <w:rFonts w:ascii="Times New Roman" w:hAnsi="Times New Roman" w:cs="Times New Roman"/>
          <w:sz w:val="24"/>
          <w:szCs w:val="24"/>
        </w:rPr>
      </w:pPr>
      <w:r w:rsidRPr="00B4699E">
        <w:rPr>
          <w:rFonts w:ascii="Times New Roman" w:hAnsi="Times New Roman" w:cs="Times New Roman"/>
          <w:sz w:val="24"/>
          <w:szCs w:val="24"/>
        </w:rPr>
        <w:t xml:space="preserve">Voor de volledigheid merkt het kabinet op </w:t>
      </w:r>
      <w:r w:rsidRPr="00B4699E" w:rsidR="004A6E62">
        <w:rPr>
          <w:rFonts w:ascii="Times New Roman" w:hAnsi="Times New Roman" w:cs="Times New Roman"/>
          <w:sz w:val="24"/>
          <w:szCs w:val="24"/>
        </w:rPr>
        <w:t xml:space="preserve">voornemens te zijn </w:t>
      </w:r>
      <w:r w:rsidRPr="00B4699E">
        <w:rPr>
          <w:rFonts w:ascii="Times New Roman" w:hAnsi="Times New Roman" w:cs="Times New Roman"/>
          <w:sz w:val="24"/>
          <w:szCs w:val="24"/>
        </w:rPr>
        <w:t xml:space="preserve">op één punt de </w:t>
      </w:r>
      <w:r w:rsidRPr="00B4699E" w:rsidR="004A6E62">
        <w:rPr>
          <w:rFonts w:ascii="Times New Roman" w:hAnsi="Times New Roman" w:cs="Times New Roman"/>
          <w:sz w:val="24"/>
          <w:szCs w:val="24"/>
        </w:rPr>
        <w:t>door de commissie-</w:t>
      </w:r>
      <w:proofErr w:type="spellStart"/>
      <w:r w:rsidRPr="00B4699E" w:rsidR="004A6E62">
        <w:rPr>
          <w:rFonts w:ascii="Times New Roman" w:hAnsi="Times New Roman" w:cs="Times New Roman"/>
          <w:sz w:val="24"/>
          <w:szCs w:val="24"/>
        </w:rPr>
        <w:t>Fokkens</w:t>
      </w:r>
      <w:proofErr w:type="spellEnd"/>
      <w:r w:rsidRPr="00B4699E" w:rsidR="004A6E62">
        <w:rPr>
          <w:rFonts w:ascii="Times New Roman" w:hAnsi="Times New Roman" w:cs="Times New Roman"/>
          <w:sz w:val="24"/>
          <w:szCs w:val="24"/>
        </w:rPr>
        <w:t xml:space="preserve"> </w:t>
      </w:r>
      <w:r w:rsidRPr="00B4699E">
        <w:rPr>
          <w:rFonts w:ascii="Times New Roman" w:hAnsi="Times New Roman" w:cs="Times New Roman"/>
          <w:sz w:val="24"/>
          <w:szCs w:val="24"/>
        </w:rPr>
        <w:t xml:space="preserve">voorgestelde uitwerking </w:t>
      </w:r>
      <w:r w:rsidRPr="00B4699E" w:rsidR="004A6E62">
        <w:rPr>
          <w:rFonts w:ascii="Times New Roman" w:hAnsi="Times New Roman" w:cs="Times New Roman"/>
          <w:sz w:val="24"/>
          <w:szCs w:val="24"/>
        </w:rPr>
        <w:t>aan te vullen</w:t>
      </w:r>
      <w:r w:rsidRPr="00B4699E">
        <w:rPr>
          <w:rFonts w:ascii="Times New Roman" w:hAnsi="Times New Roman" w:cs="Times New Roman"/>
          <w:sz w:val="24"/>
          <w:szCs w:val="24"/>
        </w:rPr>
        <w:t xml:space="preserve">. Dat punt betreft </w:t>
      </w:r>
      <w:r w:rsidRPr="00B4699E" w:rsidR="009453FC">
        <w:rPr>
          <w:rFonts w:ascii="Times New Roman" w:hAnsi="Times New Roman" w:cs="Times New Roman"/>
          <w:sz w:val="24"/>
          <w:szCs w:val="24"/>
        </w:rPr>
        <w:t xml:space="preserve">de vraag of het OM zelfstandig kan besluiten om rechtsmiddelen in te stellen tegen de einduitspraak van de </w:t>
      </w:r>
      <w:r w:rsidRPr="00B4699E" w:rsidR="009453FC">
        <w:rPr>
          <w:rFonts w:ascii="Times New Roman" w:hAnsi="Times New Roman" w:cs="Times New Roman"/>
          <w:sz w:val="24"/>
          <w:szCs w:val="24"/>
        </w:rPr>
        <w:lastRenderedPageBreak/>
        <w:t xml:space="preserve">strafrechter (zoals hoger beroep en beroep in cassatie), dan wel dat het </w:t>
      </w:r>
      <w:r w:rsidRPr="00B4699E" w:rsidR="00F87AC2">
        <w:rPr>
          <w:rFonts w:ascii="Times New Roman" w:hAnsi="Times New Roman" w:cs="Times New Roman"/>
          <w:sz w:val="24"/>
          <w:szCs w:val="24"/>
        </w:rPr>
        <w:t xml:space="preserve">OM </w:t>
      </w:r>
      <w:r w:rsidRPr="00B4699E" w:rsidR="009453FC">
        <w:rPr>
          <w:rFonts w:ascii="Times New Roman" w:hAnsi="Times New Roman" w:cs="Times New Roman"/>
          <w:sz w:val="24"/>
          <w:szCs w:val="24"/>
        </w:rPr>
        <w:t xml:space="preserve">daartoe alleen in opdracht van de PGHR kan overgaan, net als het geval is bij het besluit om vervolging in te stellen. </w:t>
      </w:r>
      <w:r w:rsidRPr="00B4699E">
        <w:rPr>
          <w:rFonts w:ascii="Times New Roman" w:hAnsi="Times New Roman" w:cs="Times New Roman"/>
          <w:sz w:val="24"/>
          <w:szCs w:val="24"/>
        </w:rPr>
        <w:t>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heeft zich daar in haar rapport niet over uitgelaten. </w:t>
      </w:r>
      <w:r w:rsidRPr="00B4699E" w:rsidR="004A6E62">
        <w:rPr>
          <w:rFonts w:ascii="Times New Roman" w:hAnsi="Times New Roman" w:cs="Times New Roman"/>
          <w:sz w:val="24"/>
          <w:szCs w:val="24"/>
        </w:rPr>
        <w:t xml:space="preserve">In </w:t>
      </w:r>
      <w:r w:rsidRPr="00B4699E">
        <w:rPr>
          <w:rFonts w:ascii="Times New Roman" w:hAnsi="Times New Roman" w:cs="Times New Roman"/>
          <w:sz w:val="24"/>
          <w:szCs w:val="24"/>
        </w:rPr>
        <w:t xml:space="preserve">de hoofdlijnenbrief </w:t>
      </w:r>
      <w:r w:rsidRPr="00B4699E" w:rsidR="004A6E62">
        <w:rPr>
          <w:rFonts w:ascii="Times New Roman" w:hAnsi="Times New Roman" w:cs="Times New Roman"/>
          <w:sz w:val="24"/>
          <w:szCs w:val="24"/>
        </w:rPr>
        <w:t xml:space="preserve">is </w:t>
      </w:r>
      <w:r w:rsidRPr="00B4699E">
        <w:rPr>
          <w:rFonts w:ascii="Times New Roman" w:hAnsi="Times New Roman" w:cs="Times New Roman"/>
          <w:sz w:val="24"/>
          <w:szCs w:val="24"/>
        </w:rPr>
        <w:t>toegelicht dat na de voorgestelde aanpassing van artikel 119 van de Grondwet het OM de mogelijkheid krijgt om hoger beroep bij het gerechtshof en beroep in cassatie bij de Hoge Raad in te stellen, met dien verstande dat daarvoor – net als bij de vervolgingsbeslissing – een opdracht van de PGHR vereist is. Het kabinet is van mening dat de bevoegdheid om opdracht te geven om rechtsmiddelen in te stellen samenhangt met de bevoegdheid om de opdracht tot vervolging te geven. Daarom ligt het naar het oordeel van het kabinet in de rede ligt dat de PGHR die bevoegdheid krijgt.</w:t>
      </w:r>
    </w:p>
    <w:p w:rsidRPr="00B4699E" w:rsidR="001D01D0" w:rsidP="001D01D0" w:rsidRDefault="001D01D0" w14:paraId="22E03696" w14:textId="590B01D8">
      <w:pPr>
        <w:rPr>
          <w:rFonts w:ascii="Times New Roman" w:hAnsi="Times New Roman" w:cs="Times New Roman"/>
          <w:b/>
          <w:bCs/>
          <w:sz w:val="24"/>
          <w:szCs w:val="24"/>
        </w:rPr>
      </w:pPr>
      <w:r w:rsidRPr="00B4699E">
        <w:rPr>
          <w:rFonts w:ascii="Times New Roman" w:hAnsi="Times New Roman" w:cs="Times New Roman"/>
          <w:b/>
          <w:bCs/>
          <w:sz w:val="24"/>
          <w:szCs w:val="24"/>
        </w:rPr>
        <w:t xml:space="preserve">Vragen </w:t>
      </w:r>
      <w:r w:rsidRPr="00B4699E" w:rsidR="00EC1FB7">
        <w:rPr>
          <w:rFonts w:ascii="Times New Roman" w:hAnsi="Times New Roman" w:cs="Times New Roman"/>
          <w:b/>
          <w:bCs/>
          <w:sz w:val="24"/>
          <w:szCs w:val="24"/>
        </w:rPr>
        <w:t xml:space="preserve">en opmerkingen </w:t>
      </w:r>
      <w:r w:rsidRPr="00B4699E">
        <w:rPr>
          <w:rFonts w:ascii="Times New Roman" w:hAnsi="Times New Roman" w:cs="Times New Roman"/>
          <w:b/>
          <w:bCs/>
          <w:sz w:val="24"/>
          <w:szCs w:val="24"/>
        </w:rPr>
        <w:t>van de leden van de NSC-fractie</w:t>
      </w:r>
      <w:r w:rsidRPr="00B4699E" w:rsidR="005B0E19">
        <w:rPr>
          <w:rFonts w:ascii="Times New Roman" w:hAnsi="Times New Roman" w:cs="Times New Roman"/>
          <w:b/>
          <w:bCs/>
          <w:sz w:val="24"/>
          <w:szCs w:val="24"/>
        </w:rPr>
        <w:t xml:space="preserve"> en reactie van de bewindspersonen</w:t>
      </w:r>
    </w:p>
    <w:p w:rsidRPr="00B4699E" w:rsidR="00EC1FB7" w:rsidP="001D01D0" w:rsidRDefault="00EC1FB7" w14:paraId="208EEBFE" w14:textId="4FDC305E">
      <w:pPr>
        <w:rPr>
          <w:rFonts w:ascii="Times New Roman" w:hAnsi="Times New Roman" w:cs="Times New Roman"/>
          <w:i/>
          <w:iCs/>
          <w:sz w:val="24"/>
          <w:szCs w:val="24"/>
        </w:rPr>
      </w:pPr>
      <w:r w:rsidRPr="00B4699E">
        <w:rPr>
          <w:rFonts w:ascii="Times New Roman" w:hAnsi="Times New Roman" w:cs="Times New Roman"/>
          <w:i/>
          <w:iCs/>
          <w:sz w:val="24"/>
          <w:szCs w:val="24"/>
        </w:rPr>
        <w:t>De leden van de NSC-fractie onderschrijven het belang van de herziening. Deze leden zijn verheugd over de inhoud van de brief en hebben hierover nog enkele vragen.</w:t>
      </w:r>
    </w:p>
    <w:p w:rsidRPr="00B4699E" w:rsidR="0059296F" w:rsidP="0059296F" w:rsidRDefault="00082FE2" w14:paraId="4C9BFC1A" w14:textId="6362679D">
      <w:pPr>
        <w:rPr>
          <w:rFonts w:ascii="Times New Roman" w:hAnsi="Times New Roman" w:cs="Times New Roman"/>
          <w:i/>
          <w:iCs/>
          <w:sz w:val="24"/>
          <w:szCs w:val="24"/>
        </w:rPr>
      </w:pPr>
      <w:r w:rsidRPr="00B4699E">
        <w:rPr>
          <w:rFonts w:ascii="Times New Roman" w:hAnsi="Times New Roman" w:cs="Times New Roman"/>
          <w:i/>
          <w:iCs/>
          <w:sz w:val="24"/>
          <w:szCs w:val="24"/>
        </w:rPr>
        <w:t>De leden van de NSC-fractie lezen dat een wijziging in twee sporen wordt voorgesteld, waarbij het ene spoor de benodigde grondwetswijziging betreft en het andere spoor wijzigingen van andere wetten (in de brief “gewone” wetgeving genoemd). Volgens de minister kan een gedeelte van de problemen al worden opgelost door in eerste instantie alvast de “gewone” wetten te wijzigen en daarbij niet te wachten op een grondwetswijziging, aangezien dergelijke wijzigingen doorgaans meer tijd kosten. Deze leden begrijpen dat het dus kan voorkomen dat “gewone” wetten reeds gewijzigd zijn, terwijl het huidige artikel 119 van de Grondwet nog geldt. Dit grondwetsartikel schrijft onder andere voor: “De opdracht tot vervolging wordt gegeven bij koninklijk besluit of bij een besluit van de Tweede Kamer.” De leden van de NSC-fractie lezen dat de minister voornemens is om in de “gewone” wetgeving de mogelijkheid op te nemen voor de PGHR om ambtshalve een opsporingsonderzoek in te stellen. In de brief van de minister is aandacht besteed aan de vraag of een dergelijke regeling verenigbaar is met het huidige artikel 119 Grondwet. De minister bevestigt, met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die vraag, omdat opsporing en vervolging twee verschillende fasen betreft en omdat het wel mogelijk blijft voor de regering en de Tweede Kamer om te allen tijde gezamenlijk de procureur-generaal op te dragen een lopend opsporingsonderzoek te beëindigen. Deze leden kunnen dit gebaseerd op de wetteksten volgen. </w:t>
      </w:r>
      <w:r w:rsidRPr="00B4699E" w:rsidR="0059296F">
        <w:rPr>
          <w:rFonts w:ascii="Times New Roman" w:hAnsi="Times New Roman" w:cs="Times New Roman"/>
          <w:i/>
          <w:iCs/>
          <w:sz w:val="24"/>
          <w:szCs w:val="24"/>
        </w:rPr>
        <w:t xml:space="preserve">Kan de minister nog nader ingaan op deze vraag en bij het antwoord ook de ratio achter artikel 119 Grondwet betrekken? </w:t>
      </w:r>
    </w:p>
    <w:p w:rsidRPr="00B4699E" w:rsidR="0059296F" w:rsidP="0059296F" w:rsidRDefault="0059296F" w14:paraId="510E527D" w14:textId="01684AF1">
      <w:pPr>
        <w:rPr>
          <w:rFonts w:ascii="Times New Roman" w:hAnsi="Times New Roman" w:cs="Times New Roman"/>
          <w:sz w:val="24"/>
          <w:szCs w:val="24"/>
        </w:rPr>
      </w:pPr>
      <w:r w:rsidRPr="00B4699E">
        <w:rPr>
          <w:rFonts w:ascii="Times New Roman" w:hAnsi="Times New Roman" w:cs="Times New Roman"/>
          <w:sz w:val="24"/>
          <w:szCs w:val="24"/>
        </w:rPr>
        <w:t xml:space="preserve">Artikel 119 van de Grondwet vereist dat de opdracht tot vervolging wordt gegeven door de regering of de Tweede Kamer, maar vereist niet dat de regering of de Tweede Kamer zelf het opsporingsonderzoek uitvoert. </w:t>
      </w:r>
      <w:r w:rsidRPr="00B4699E" w:rsidR="00A73D49">
        <w:rPr>
          <w:rFonts w:ascii="Times New Roman" w:hAnsi="Times New Roman" w:cs="Times New Roman"/>
          <w:sz w:val="24"/>
          <w:szCs w:val="24"/>
        </w:rPr>
        <w:t xml:space="preserve">De ratio achter artikel 119 </w:t>
      </w:r>
      <w:r w:rsidRPr="00B4699E" w:rsidR="00FC56D4">
        <w:rPr>
          <w:rFonts w:ascii="Times New Roman" w:hAnsi="Times New Roman" w:cs="Times New Roman"/>
          <w:sz w:val="24"/>
          <w:szCs w:val="24"/>
        </w:rPr>
        <w:t xml:space="preserve">van de </w:t>
      </w:r>
      <w:r w:rsidRPr="00B4699E" w:rsidR="00A73D49">
        <w:rPr>
          <w:rFonts w:ascii="Times New Roman" w:hAnsi="Times New Roman" w:cs="Times New Roman"/>
          <w:sz w:val="24"/>
          <w:szCs w:val="24"/>
        </w:rPr>
        <w:t>Grondwet is dat de beslissing tot vervolging</w:t>
      </w:r>
      <w:r w:rsidRPr="00B4699E" w:rsidR="00E145EE">
        <w:rPr>
          <w:rFonts w:ascii="Times New Roman" w:hAnsi="Times New Roman" w:cs="Times New Roman"/>
          <w:sz w:val="24"/>
          <w:szCs w:val="24"/>
        </w:rPr>
        <w:t xml:space="preserve"> van </w:t>
      </w:r>
      <w:r w:rsidRPr="00B4699E" w:rsidR="00A73D49">
        <w:rPr>
          <w:rFonts w:ascii="Times New Roman" w:hAnsi="Times New Roman" w:cs="Times New Roman"/>
          <w:sz w:val="24"/>
          <w:szCs w:val="24"/>
        </w:rPr>
        <w:t>een Kamerlid of bewindspersoon wegens een ambtsdelict</w:t>
      </w:r>
      <w:r w:rsidRPr="00B4699E" w:rsidR="00E145EE">
        <w:rPr>
          <w:rFonts w:ascii="Times New Roman" w:hAnsi="Times New Roman" w:cs="Times New Roman"/>
          <w:sz w:val="24"/>
          <w:szCs w:val="24"/>
        </w:rPr>
        <w:t>, hetgeen in dit geval wil zeggen het aanbrengen van een strafzaak bij de Hoge Raad,</w:t>
      </w:r>
      <w:r w:rsidRPr="00B4699E" w:rsidR="00A73D49">
        <w:rPr>
          <w:rFonts w:ascii="Times New Roman" w:hAnsi="Times New Roman" w:cs="Times New Roman"/>
          <w:sz w:val="24"/>
          <w:szCs w:val="24"/>
        </w:rPr>
        <w:t xml:space="preserve"> een exclusieve bevoegdheid is van de regering of de Tweede Kamer</w:t>
      </w:r>
      <w:r w:rsidRPr="00B4699E" w:rsidR="000E0734">
        <w:rPr>
          <w:rFonts w:ascii="Times New Roman" w:hAnsi="Times New Roman" w:cs="Times New Roman"/>
          <w:sz w:val="24"/>
          <w:szCs w:val="24"/>
        </w:rPr>
        <w:t>.</w:t>
      </w:r>
      <w:r w:rsidRPr="00B4699E" w:rsidR="00A73D49">
        <w:rPr>
          <w:rFonts w:ascii="Times New Roman" w:hAnsi="Times New Roman" w:cs="Times New Roman"/>
          <w:sz w:val="24"/>
          <w:szCs w:val="24"/>
        </w:rPr>
        <w:t xml:space="preserve"> </w:t>
      </w:r>
      <w:r w:rsidRPr="00B4699E">
        <w:rPr>
          <w:rFonts w:ascii="Times New Roman" w:hAnsi="Times New Roman" w:cs="Times New Roman"/>
          <w:sz w:val="24"/>
          <w:szCs w:val="24"/>
        </w:rPr>
        <w:t xml:space="preserve">De grondwetgever heeft zich niet uitgelaten over de vraag wie </w:t>
      </w:r>
      <w:r w:rsidRPr="00B4699E" w:rsidR="00E145EE">
        <w:rPr>
          <w:rFonts w:ascii="Times New Roman" w:hAnsi="Times New Roman" w:cs="Times New Roman"/>
          <w:sz w:val="24"/>
          <w:szCs w:val="24"/>
        </w:rPr>
        <w:t xml:space="preserve">bevoegd is tot het nemen van beslissingen inzake </w:t>
      </w:r>
      <w:r w:rsidRPr="00B4699E">
        <w:rPr>
          <w:rFonts w:ascii="Times New Roman" w:hAnsi="Times New Roman" w:cs="Times New Roman"/>
          <w:sz w:val="24"/>
          <w:szCs w:val="24"/>
        </w:rPr>
        <w:t xml:space="preserve">de opsporing van </w:t>
      </w:r>
      <w:r w:rsidRPr="00B4699E" w:rsidR="00E145EE">
        <w:rPr>
          <w:rFonts w:ascii="Times New Roman" w:hAnsi="Times New Roman" w:cs="Times New Roman"/>
          <w:sz w:val="24"/>
          <w:szCs w:val="24"/>
        </w:rPr>
        <w:t xml:space="preserve">deze </w:t>
      </w:r>
      <w:r w:rsidRPr="00B4699E">
        <w:rPr>
          <w:rFonts w:ascii="Times New Roman" w:hAnsi="Times New Roman" w:cs="Times New Roman"/>
          <w:sz w:val="24"/>
          <w:szCs w:val="24"/>
        </w:rPr>
        <w:t>delicten</w:t>
      </w:r>
      <w:r w:rsidRPr="00B4699E" w:rsidR="00A73D49">
        <w:rPr>
          <w:rFonts w:ascii="Times New Roman" w:hAnsi="Times New Roman" w:cs="Times New Roman"/>
          <w:sz w:val="24"/>
          <w:szCs w:val="24"/>
        </w:rPr>
        <w:t>, dus zonder dat nog van vervolging sprake is,</w:t>
      </w:r>
      <w:r w:rsidRPr="00B4699E">
        <w:rPr>
          <w:rFonts w:ascii="Times New Roman" w:hAnsi="Times New Roman" w:cs="Times New Roman"/>
          <w:sz w:val="24"/>
          <w:szCs w:val="24"/>
        </w:rPr>
        <w:t xml:space="preserve"> en laat deze </w:t>
      </w:r>
      <w:r w:rsidRPr="00B4699E">
        <w:rPr>
          <w:rFonts w:ascii="Times New Roman" w:hAnsi="Times New Roman" w:cs="Times New Roman"/>
          <w:sz w:val="24"/>
          <w:szCs w:val="24"/>
        </w:rPr>
        <w:lastRenderedPageBreak/>
        <w:t xml:space="preserve">kwestie dus open. In de literatuur heeft men zich wel over deze </w:t>
      </w:r>
      <w:r w:rsidRPr="00B4699E" w:rsidR="00E145EE">
        <w:rPr>
          <w:rFonts w:ascii="Times New Roman" w:hAnsi="Times New Roman" w:cs="Times New Roman"/>
          <w:sz w:val="24"/>
          <w:szCs w:val="24"/>
        </w:rPr>
        <w:t>vraag</w:t>
      </w:r>
      <w:r w:rsidRPr="00B4699E">
        <w:rPr>
          <w:rFonts w:ascii="Times New Roman" w:hAnsi="Times New Roman" w:cs="Times New Roman"/>
          <w:sz w:val="24"/>
          <w:szCs w:val="24"/>
        </w:rPr>
        <w:t xml:space="preserve"> uitgelaten.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heeft in paragraaf 5.3 van haar rapport een overzicht opgenomen over de verschillende opvattingen daarover in de literatuur. De conclusie luidt dat </w:t>
      </w:r>
      <w:r w:rsidRPr="00B4699E" w:rsidR="00A73D49">
        <w:rPr>
          <w:rFonts w:ascii="Times New Roman" w:hAnsi="Times New Roman" w:cs="Times New Roman"/>
          <w:sz w:val="24"/>
          <w:szCs w:val="24"/>
        </w:rPr>
        <w:t xml:space="preserve">in de meer recente literatuur </w:t>
      </w:r>
      <w:r w:rsidRPr="00B4699E">
        <w:rPr>
          <w:rFonts w:ascii="Times New Roman" w:hAnsi="Times New Roman" w:cs="Times New Roman"/>
          <w:sz w:val="24"/>
          <w:szCs w:val="24"/>
        </w:rPr>
        <w:t>de vraag of de PGHR binnen de grenzen van het huidige artikel 119 van de Grondwet de bevoegdheid heeft zelf een opsporingsonderzoek te starten</w:t>
      </w:r>
      <w:r w:rsidRPr="00B4699E" w:rsidR="00A73D49">
        <w:rPr>
          <w:rFonts w:ascii="Times New Roman" w:hAnsi="Times New Roman" w:cs="Times New Roman"/>
          <w:sz w:val="24"/>
          <w:szCs w:val="24"/>
        </w:rPr>
        <w:t>, bevestigend wordt beantwoord</w:t>
      </w:r>
      <w:r w:rsidRPr="00B4699E">
        <w:rPr>
          <w:rFonts w:ascii="Times New Roman" w:hAnsi="Times New Roman" w:cs="Times New Roman"/>
          <w:sz w:val="24"/>
          <w:szCs w:val="24"/>
        </w:rPr>
        <w:t xml:space="preserve">. </w:t>
      </w:r>
    </w:p>
    <w:p w:rsidRPr="00B4699E" w:rsidR="0059296F" w:rsidP="0059296F" w:rsidRDefault="0059296F" w14:paraId="2D7F62C6" w14:textId="25CF637F">
      <w:pPr>
        <w:rPr>
          <w:rFonts w:ascii="Times New Roman" w:hAnsi="Times New Roman" w:cs="Times New Roman"/>
          <w:sz w:val="24"/>
          <w:szCs w:val="24"/>
        </w:rPr>
      </w:pPr>
      <w:r w:rsidRPr="00B4699E">
        <w:rPr>
          <w:rFonts w:ascii="Times New Roman" w:hAnsi="Times New Roman" w:cs="Times New Roman"/>
          <w:sz w:val="24"/>
          <w:szCs w:val="24"/>
        </w:rPr>
        <w:t>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merkt op dat die discussie aan belang heeft ingeboet als gevolg van de totstandkoming van het </w:t>
      </w:r>
      <w:r w:rsidRPr="00B4699E" w:rsidR="00A73D49">
        <w:rPr>
          <w:rFonts w:ascii="Times New Roman" w:hAnsi="Times New Roman" w:cs="Times New Roman"/>
          <w:sz w:val="24"/>
          <w:szCs w:val="24"/>
        </w:rPr>
        <w:t xml:space="preserve">eerdergenoemde </w:t>
      </w:r>
      <w:r w:rsidRPr="00B4699E">
        <w:rPr>
          <w:rFonts w:ascii="Times New Roman" w:hAnsi="Times New Roman" w:cs="Times New Roman"/>
          <w:sz w:val="24"/>
          <w:szCs w:val="24"/>
        </w:rPr>
        <w:t xml:space="preserve">Protocol van 11 oktober 2017 inzake de behandeling van aangiften bij een ministerie, het </w:t>
      </w:r>
      <w:r w:rsidRPr="00B4699E" w:rsidR="00DD6FC1">
        <w:rPr>
          <w:rFonts w:ascii="Times New Roman" w:hAnsi="Times New Roman" w:cs="Times New Roman"/>
          <w:sz w:val="24"/>
          <w:szCs w:val="24"/>
        </w:rPr>
        <w:t>OM</w:t>
      </w:r>
      <w:r w:rsidRPr="00B4699E" w:rsidR="00DA7756">
        <w:rPr>
          <w:rFonts w:ascii="Times New Roman" w:hAnsi="Times New Roman" w:cs="Times New Roman"/>
          <w:sz w:val="24"/>
          <w:szCs w:val="24"/>
        </w:rPr>
        <w:t>, de politie</w:t>
      </w:r>
      <w:r w:rsidRPr="00B4699E" w:rsidR="00DD6FC1">
        <w:rPr>
          <w:rFonts w:ascii="Times New Roman" w:hAnsi="Times New Roman" w:cs="Times New Roman"/>
          <w:sz w:val="24"/>
          <w:szCs w:val="24"/>
        </w:rPr>
        <w:t xml:space="preserve"> </w:t>
      </w:r>
      <w:r w:rsidRPr="00B4699E">
        <w:rPr>
          <w:rFonts w:ascii="Times New Roman" w:hAnsi="Times New Roman" w:cs="Times New Roman"/>
          <w:sz w:val="24"/>
          <w:szCs w:val="24"/>
        </w:rPr>
        <w:t xml:space="preserve">of de </w:t>
      </w:r>
      <w:r w:rsidRPr="00B4699E" w:rsidR="00DD6FC1">
        <w:rPr>
          <w:rFonts w:ascii="Times New Roman" w:hAnsi="Times New Roman" w:cs="Times New Roman"/>
          <w:sz w:val="24"/>
          <w:szCs w:val="24"/>
        </w:rPr>
        <w:t xml:space="preserve">PGHR </w:t>
      </w:r>
      <w:r w:rsidRPr="00B4699E">
        <w:rPr>
          <w:rFonts w:ascii="Times New Roman" w:hAnsi="Times New Roman" w:cs="Times New Roman"/>
          <w:sz w:val="24"/>
          <w:szCs w:val="24"/>
        </w:rPr>
        <w:t>tegen leden van de Staten-Generaal, Ministers en Staatssecretarissen. Indien een aangifte van een mogelijk ambtsdelict gepleegd door een Kamerlid of bewindspersoon wordt ontvangen door een ministerie, het OM, de politie of de PGHR, voert de PGHR een oriënterend onderzoek uit om te bepalen of</w:t>
      </w:r>
      <w:r w:rsidRPr="00B4699E" w:rsidR="00FE575F">
        <w:rPr>
          <w:rFonts w:ascii="Times New Roman" w:hAnsi="Times New Roman" w:cs="Times New Roman"/>
          <w:sz w:val="24"/>
          <w:szCs w:val="24"/>
        </w:rPr>
        <w:t xml:space="preserve"> er</w:t>
      </w:r>
      <w:r w:rsidRPr="00B4699E">
        <w:rPr>
          <w:rFonts w:ascii="Times New Roman" w:hAnsi="Times New Roman" w:cs="Times New Roman"/>
          <w:sz w:val="24"/>
          <w:szCs w:val="24"/>
        </w:rPr>
        <w:t xml:space="preserve"> aanknopingspunten zijn voor een opsporingsonderzoek. Als de minister van Justitie en Veiligheid na kennisneming van de bevindingen van de PGHR een opsporingsonderzoek geïndiceerd acht, start de PGHR een opsporingsonderzoek met bijstand van het OM.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concludeert daarom dat het protocol uitgaat van een bevoegdheid van de PGHR tot opsporing voorafgaand aan een vervolgingsbeslissing. In dat verband heeft de commissie ook verwezen naar artikel 111, derde lid, </w:t>
      </w:r>
      <w:r w:rsidRPr="00B4699E" w:rsidR="00DA7756">
        <w:rPr>
          <w:rFonts w:ascii="Times New Roman" w:hAnsi="Times New Roman" w:cs="Times New Roman"/>
          <w:sz w:val="24"/>
          <w:szCs w:val="24"/>
        </w:rPr>
        <w:t>in verbinding met</w:t>
      </w:r>
      <w:r w:rsidRPr="00B4699E">
        <w:rPr>
          <w:rFonts w:ascii="Times New Roman" w:hAnsi="Times New Roman" w:cs="Times New Roman"/>
          <w:sz w:val="24"/>
          <w:szCs w:val="24"/>
        </w:rPr>
        <w:t xml:space="preserve"> artikel 76 van de Wet op de rechterlijke organisatie</w:t>
      </w:r>
      <w:r w:rsidRPr="00B4699E" w:rsidR="009D4C9A">
        <w:rPr>
          <w:rFonts w:ascii="Times New Roman" w:hAnsi="Times New Roman" w:cs="Times New Roman"/>
          <w:sz w:val="24"/>
          <w:szCs w:val="24"/>
        </w:rPr>
        <w:t xml:space="preserve"> (hierna ook aangeduid als: Wet RO)</w:t>
      </w:r>
      <w:r w:rsidRPr="00B4699E">
        <w:rPr>
          <w:rFonts w:ascii="Times New Roman" w:hAnsi="Times New Roman" w:cs="Times New Roman"/>
          <w:sz w:val="24"/>
          <w:szCs w:val="24"/>
        </w:rPr>
        <w:t>, waarin staat dat de PGHR de taken en bevoegdheden van het OM waarneemt in de gevallen waarin de Hoge Raad ten principale recht doet, waaronder ambtsdelicten. Tot die taken behoort het opsporen van strafbare feiten (artikel 148 van het Wetboek van Strafvordering</w:t>
      </w:r>
      <w:r w:rsidRPr="00B4699E" w:rsidR="00325B5C">
        <w:rPr>
          <w:rFonts w:ascii="Times New Roman" w:hAnsi="Times New Roman" w:cs="Times New Roman"/>
          <w:sz w:val="24"/>
          <w:szCs w:val="24"/>
        </w:rPr>
        <w:t>, ook aangeduid als Sv</w:t>
      </w:r>
      <w:r w:rsidRPr="00B4699E">
        <w:rPr>
          <w:rFonts w:ascii="Times New Roman" w:hAnsi="Times New Roman" w:cs="Times New Roman"/>
          <w:sz w:val="24"/>
          <w:szCs w:val="24"/>
        </w:rPr>
        <w:t xml:space="preserve">). Het kabinet </w:t>
      </w:r>
      <w:r w:rsidRPr="00B4699E" w:rsidR="00A73D49">
        <w:rPr>
          <w:rFonts w:ascii="Times New Roman" w:hAnsi="Times New Roman" w:cs="Times New Roman"/>
          <w:sz w:val="24"/>
          <w:szCs w:val="24"/>
        </w:rPr>
        <w:t>onderschrijft</w:t>
      </w:r>
      <w:r w:rsidRPr="00B4699E">
        <w:rPr>
          <w:rFonts w:ascii="Times New Roman" w:hAnsi="Times New Roman" w:cs="Times New Roman"/>
          <w:sz w:val="24"/>
          <w:szCs w:val="24"/>
        </w:rPr>
        <w:t xml:space="preserve"> deze redenering. Met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meent het kabinet daarom dat artikel 119 van de Grondwet niet in de weg staat aan een ambtshalve opsporingsbevoegdheid van de PGHR.</w:t>
      </w:r>
    </w:p>
    <w:p w:rsidRPr="00B4699E" w:rsidR="0059296F" w:rsidP="0059296F" w:rsidRDefault="0059296F" w14:paraId="3E04967F" w14:textId="63C5C6A2">
      <w:pPr>
        <w:rPr>
          <w:rFonts w:ascii="Times New Roman" w:hAnsi="Times New Roman" w:cs="Times New Roman"/>
          <w:sz w:val="24"/>
          <w:szCs w:val="24"/>
        </w:rPr>
      </w:pPr>
      <w:r w:rsidRPr="00B4699E">
        <w:rPr>
          <w:rFonts w:ascii="Times New Roman" w:hAnsi="Times New Roman" w:cs="Times New Roman"/>
          <w:sz w:val="24"/>
          <w:szCs w:val="24"/>
        </w:rPr>
        <w:t xml:space="preserve">Wel </w:t>
      </w:r>
      <w:r w:rsidRPr="00B4699E" w:rsidR="00A73D49">
        <w:rPr>
          <w:rFonts w:ascii="Times New Roman" w:hAnsi="Times New Roman" w:cs="Times New Roman"/>
          <w:sz w:val="24"/>
          <w:szCs w:val="24"/>
        </w:rPr>
        <w:t>moet</w:t>
      </w:r>
      <w:r w:rsidRPr="00B4699E">
        <w:rPr>
          <w:rFonts w:ascii="Times New Roman" w:hAnsi="Times New Roman" w:cs="Times New Roman"/>
          <w:sz w:val="24"/>
          <w:szCs w:val="24"/>
        </w:rPr>
        <w:t xml:space="preserve"> – zolang het huidige artikel 119 van de Grondwet nog niet is aangepast – recht </w:t>
      </w:r>
      <w:r w:rsidRPr="00B4699E" w:rsidR="00A73D49">
        <w:rPr>
          <w:rFonts w:ascii="Times New Roman" w:hAnsi="Times New Roman" w:cs="Times New Roman"/>
          <w:sz w:val="24"/>
          <w:szCs w:val="24"/>
        </w:rPr>
        <w:t>worden</w:t>
      </w:r>
      <w:r w:rsidRPr="00B4699E">
        <w:rPr>
          <w:rFonts w:ascii="Times New Roman" w:hAnsi="Times New Roman" w:cs="Times New Roman"/>
          <w:sz w:val="24"/>
          <w:szCs w:val="24"/>
        </w:rPr>
        <w:t xml:space="preserve"> gedaan aan het exclusieve primaat van vervolging van de regering en Tweede Kamer.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concludeert dat uit het stelsel van het huidige artikel 119 van de Grondwet volgt dat de regering en de Tweede Kamer te allen tijde gezamenlijk de bevoegdheid moeten hebben om de PGHR op te dragen een lopend opsporingsonderzoek te beëindigen. Dat geldt overigens niet alleen in gevallen waarin de PGHR ambtshalve een opsporingsonderzoek heeft ingesteld, maar ook in gevallen waarin het opsporingsonderzoek is ingesteld op verzoek van de regering, de Tweede Kamer of beide. Het laatste woord over de opsporing blijft dus altijd bij de regering en de Tweede Kamer. Het kabinet benadrukt tot slot het belang om ambtshalve opsporing door de PGHR mogelijk te maken. Zoals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concludeert</w:t>
      </w:r>
      <w:r w:rsidRPr="00B4699E" w:rsidR="00A73D49">
        <w:rPr>
          <w:rFonts w:ascii="Times New Roman" w:hAnsi="Times New Roman" w:cs="Times New Roman"/>
          <w:sz w:val="24"/>
          <w:szCs w:val="24"/>
        </w:rPr>
        <w:t>,</w:t>
      </w:r>
      <w:r w:rsidRPr="00B4699E">
        <w:rPr>
          <w:rFonts w:ascii="Times New Roman" w:hAnsi="Times New Roman" w:cs="Times New Roman"/>
          <w:sz w:val="24"/>
          <w:szCs w:val="24"/>
        </w:rPr>
        <w:t xml:space="preserve"> biedt ambtshalve opsporing door de PGHR een zekere waarborg tegen de situatie dat eventuele verdenkingen van een ambtsdelict tegen een Kamerlid of bewindspersoon om politieke redenen niet worden onderzocht. Daarmee wordt kritiek op de huidige procedure </w:t>
      </w:r>
      <w:r w:rsidRPr="00B4699E" w:rsidR="00DA7756">
        <w:rPr>
          <w:rFonts w:ascii="Times New Roman" w:hAnsi="Times New Roman" w:cs="Times New Roman"/>
          <w:sz w:val="24"/>
          <w:szCs w:val="24"/>
        </w:rPr>
        <w:t xml:space="preserve">voor wat betreft opsporing van ambtsdelicten </w:t>
      </w:r>
      <w:r w:rsidRPr="00B4699E">
        <w:rPr>
          <w:rFonts w:ascii="Times New Roman" w:hAnsi="Times New Roman" w:cs="Times New Roman"/>
          <w:sz w:val="24"/>
          <w:szCs w:val="24"/>
        </w:rPr>
        <w:t xml:space="preserve">vooruitlopend op de grondwetswijziging </w:t>
      </w:r>
      <w:r w:rsidRPr="00B4699E" w:rsidR="00A73D49">
        <w:rPr>
          <w:rFonts w:ascii="Times New Roman" w:hAnsi="Times New Roman" w:cs="Times New Roman"/>
          <w:sz w:val="24"/>
          <w:szCs w:val="24"/>
        </w:rPr>
        <w:t xml:space="preserve">reeds </w:t>
      </w:r>
      <w:r w:rsidRPr="00B4699E">
        <w:rPr>
          <w:rFonts w:ascii="Times New Roman" w:hAnsi="Times New Roman" w:cs="Times New Roman"/>
          <w:sz w:val="24"/>
          <w:szCs w:val="24"/>
        </w:rPr>
        <w:t xml:space="preserve">voor een </w:t>
      </w:r>
      <w:r w:rsidRPr="00B4699E" w:rsidR="00A73D49">
        <w:rPr>
          <w:rFonts w:ascii="Times New Roman" w:hAnsi="Times New Roman" w:cs="Times New Roman"/>
          <w:sz w:val="24"/>
          <w:szCs w:val="24"/>
        </w:rPr>
        <w:t>belangrijk</w:t>
      </w:r>
      <w:r w:rsidRPr="00B4699E">
        <w:rPr>
          <w:rFonts w:ascii="Times New Roman" w:hAnsi="Times New Roman" w:cs="Times New Roman"/>
          <w:sz w:val="24"/>
          <w:szCs w:val="24"/>
        </w:rPr>
        <w:t xml:space="preserve"> deel ondervangen. </w:t>
      </w:r>
    </w:p>
    <w:p w:rsidRPr="00B4699E" w:rsidR="00112ADD" w:rsidP="001D01D0" w:rsidRDefault="00082FE2" w14:paraId="49F0E41F" w14:textId="5C65F441">
      <w:pPr>
        <w:rPr>
          <w:rFonts w:ascii="Times New Roman" w:hAnsi="Times New Roman" w:cs="Times New Roman"/>
          <w:i/>
          <w:iCs/>
          <w:sz w:val="24"/>
          <w:szCs w:val="24"/>
        </w:rPr>
      </w:pPr>
      <w:r w:rsidRPr="00B4699E">
        <w:rPr>
          <w:rFonts w:ascii="Times New Roman" w:hAnsi="Times New Roman" w:cs="Times New Roman"/>
          <w:i/>
          <w:iCs/>
          <w:sz w:val="24"/>
          <w:szCs w:val="24"/>
        </w:rPr>
        <w:lastRenderedPageBreak/>
        <w:t>Is het volgens de minister onwenselijk als de procureur-generaal een uitgebreid opsporingsonderzoek doet maar vervolgens niet tot vervolging kan worden overgegaan omdat de regering en Tweede Kamer geen vervolgingsopdracht geven?</w:t>
      </w:r>
    </w:p>
    <w:p w:rsidRPr="00B4699E" w:rsidR="00FD49A1" w:rsidP="00FD49A1" w:rsidRDefault="00FD49A1" w14:paraId="12783508" w14:textId="62BBE459">
      <w:pPr>
        <w:rPr>
          <w:rFonts w:ascii="Times New Roman" w:hAnsi="Times New Roman" w:cs="Times New Roman"/>
          <w:sz w:val="24"/>
          <w:szCs w:val="24"/>
        </w:rPr>
      </w:pPr>
      <w:r w:rsidRPr="00B4699E">
        <w:rPr>
          <w:rFonts w:ascii="Times New Roman" w:hAnsi="Times New Roman" w:cs="Times New Roman"/>
          <w:sz w:val="24"/>
          <w:szCs w:val="24"/>
        </w:rPr>
        <w:t>Het creëren van een ambtshalve opsporingsbevoegdheid voor de PGHR kan volgens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worden beschouwd als een zekere waarborg tegen de situatie dat eventuele verdenkingen van een ambtsdelict tegen een Kamerlid of bewindspersoon om politieke redenen niet worden onderzocht. De introductie van de ambtshalve opsporingsbevoegdheid geeft daarnaast opvolging aan de </w:t>
      </w:r>
      <w:r w:rsidRPr="00B4699E" w:rsidR="00E145EE">
        <w:rPr>
          <w:rFonts w:ascii="Times New Roman" w:hAnsi="Times New Roman" w:cs="Times New Roman"/>
          <w:sz w:val="24"/>
          <w:szCs w:val="24"/>
        </w:rPr>
        <w:t xml:space="preserve">in de inleiding van deze beantwoording genoemde </w:t>
      </w:r>
      <w:r w:rsidRPr="00B4699E">
        <w:rPr>
          <w:rFonts w:ascii="Times New Roman" w:hAnsi="Times New Roman" w:cs="Times New Roman"/>
          <w:sz w:val="24"/>
          <w:szCs w:val="24"/>
        </w:rPr>
        <w:t>aanbeveling van de GRECO uit 2019 om – kort samengevat – belemmeringen in strafrechtelijke onderzoeken naar ambtsdelicten van bewindspersonen weg te nemen.</w:t>
      </w:r>
      <w:r w:rsidRPr="00B4699E">
        <w:rPr>
          <w:rFonts w:ascii="Times New Roman" w:hAnsi="Times New Roman" w:cs="Times New Roman"/>
          <w:sz w:val="24"/>
          <w:szCs w:val="24"/>
        </w:rPr>
        <w:br/>
      </w:r>
      <w:r w:rsidRPr="00B4699E">
        <w:rPr>
          <w:rFonts w:ascii="Times New Roman" w:hAnsi="Times New Roman" w:cs="Times New Roman"/>
          <w:sz w:val="24"/>
          <w:szCs w:val="24"/>
        </w:rPr>
        <w:br/>
      </w:r>
      <w:r w:rsidRPr="00B4699E" w:rsidR="00E145EE">
        <w:rPr>
          <w:rFonts w:ascii="Times New Roman" w:hAnsi="Times New Roman" w:cs="Times New Roman"/>
          <w:sz w:val="24"/>
          <w:szCs w:val="24"/>
        </w:rPr>
        <w:t>Het instellen</w:t>
      </w:r>
      <w:r w:rsidRPr="00B4699E">
        <w:rPr>
          <w:rFonts w:ascii="Times New Roman" w:hAnsi="Times New Roman" w:cs="Times New Roman"/>
          <w:sz w:val="24"/>
          <w:szCs w:val="24"/>
        </w:rPr>
        <w:t xml:space="preserve"> van een opsporingsonderzoek tegen een Kamerlid of bewindspersoon kan grote (politieke) consequenties hebben, zeker wanneer informatie over het onderzoek openbaar wordt. Gelet hierop is de verwachting dat de PGHR niet lichtzinnig ambtshalve een opsporingsonderzoek zal starten. Wij achten het </w:t>
      </w:r>
      <w:r w:rsidRPr="00B4699E" w:rsidR="00DA7756">
        <w:rPr>
          <w:rFonts w:ascii="Times New Roman" w:hAnsi="Times New Roman" w:cs="Times New Roman"/>
          <w:sz w:val="24"/>
          <w:szCs w:val="24"/>
        </w:rPr>
        <w:t xml:space="preserve">zeker </w:t>
      </w:r>
      <w:r w:rsidRPr="00B4699E">
        <w:rPr>
          <w:rFonts w:ascii="Times New Roman" w:hAnsi="Times New Roman" w:cs="Times New Roman"/>
          <w:sz w:val="24"/>
          <w:szCs w:val="24"/>
        </w:rPr>
        <w:t xml:space="preserve">niet per definitie onwenselijk wanneer op basis van de resultaten van een opsporingsonderzoek geen vervolging wordt ingesteld. In dit verband wordt opgemerkt dat waarheidsvinding een van de belangrijkste doelen van het opsporingsonderzoek is. Een van de uitkomsten van een opsporingsonderzoek kan </w:t>
      </w:r>
      <w:r w:rsidRPr="00B4699E" w:rsidR="00E145EE">
        <w:rPr>
          <w:rFonts w:ascii="Times New Roman" w:hAnsi="Times New Roman" w:cs="Times New Roman"/>
          <w:sz w:val="24"/>
          <w:szCs w:val="24"/>
        </w:rPr>
        <w:t xml:space="preserve">dan ook </w:t>
      </w:r>
      <w:r w:rsidRPr="00B4699E">
        <w:rPr>
          <w:rFonts w:ascii="Times New Roman" w:hAnsi="Times New Roman" w:cs="Times New Roman"/>
          <w:sz w:val="24"/>
          <w:szCs w:val="24"/>
        </w:rPr>
        <w:t>zijn dat een persoon die eerder als verdachte werd aangemerkt, zich toch niet aan een strafbaar feit schuldig heeft gemaakt. In die gevallen is het juist wenselijk dat niet tot vervolging wordt overgegaan. Dit geldt ook voor Kamerleden en bewindspersonen die worden verdacht van een ambts</w:t>
      </w:r>
      <w:r w:rsidRPr="00B4699E" w:rsidR="00E145EE">
        <w:rPr>
          <w:rFonts w:ascii="Times New Roman" w:hAnsi="Times New Roman" w:cs="Times New Roman"/>
          <w:sz w:val="24"/>
          <w:szCs w:val="24"/>
        </w:rPr>
        <w:t>delict</w:t>
      </w:r>
      <w:r w:rsidRPr="00B4699E">
        <w:rPr>
          <w:rFonts w:ascii="Times New Roman" w:hAnsi="Times New Roman" w:cs="Times New Roman"/>
          <w:sz w:val="24"/>
          <w:szCs w:val="24"/>
        </w:rPr>
        <w:t xml:space="preserve">. </w:t>
      </w:r>
      <w:r w:rsidRPr="00B4699E">
        <w:rPr>
          <w:rFonts w:ascii="Times New Roman" w:hAnsi="Times New Roman" w:cs="Times New Roman"/>
          <w:sz w:val="24"/>
          <w:szCs w:val="24"/>
        </w:rPr>
        <w:br/>
      </w:r>
      <w:r w:rsidRPr="00B4699E">
        <w:rPr>
          <w:rFonts w:ascii="Times New Roman" w:hAnsi="Times New Roman" w:cs="Times New Roman"/>
          <w:sz w:val="24"/>
          <w:szCs w:val="24"/>
        </w:rPr>
        <w:br/>
        <w:t xml:space="preserve">Wel </w:t>
      </w:r>
      <w:r w:rsidRPr="00B4699E" w:rsidR="00E145EE">
        <w:rPr>
          <w:rFonts w:ascii="Times New Roman" w:hAnsi="Times New Roman" w:cs="Times New Roman"/>
          <w:sz w:val="24"/>
          <w:szCs w:val="24"/>
        </w:rPr>
        <w:t>is het</w:t>
      </w:r>
      <w:r w:rsidRPr="00B4699E">
        <w:rPr>
          <w:rFonts w:ascii="Times New Roman" w:hAnsi="Times New Roman" w:cs="Times New Roman"/>
          <w:sz w:val="24"/>
          <w:szCs w:val="24"/>
        </w:rPr>
        <w:t xml:space="preserve"> </w:t>
      </w:r>
      <w:r w:rsidRPr="00B4699E" w:rsidR="001046D1">
        <w:rPr>
          <w:rFonts w:ascii="Times New Roman" w:hAnsi="Times New Roman" w:cs="Times New Roman"/>
          <w:sz w:val="24"/>
          <w:szCs w:val="24"/>
        </w:rPr>
        <w:t xml:space="preserve">in het licht van het huidige artikel 119 </w:t>
      </w:r>
      <w:r w:rsidRPr="00B4699E" w:rsidR="00FC56D4">
        <w:rPr>
          <w:rFonts w:ascii="Times New Roman" w:hAnsi="Times New Roman" w:cs="Times New Roman"/>
          <w:sz w:val="24"/>
          <w:szCs w:val="24"/>
        </w:rPr>
        <w:t xml:space="preserve">van de </w:t>
      </w:r>
      <w:r w:rsidRPr="00B4699E" w:rsidR="001046D1">
        <w:rPr>
          <w:rFonts w:ascii="Times New Roman" w:hAnsi="Times New Roman" w:cs="Times New Roman"/>
          <w:sz w:val="24"/>
          <w:szCs w:val="24"/>
        </w:rPr>
        <w:t xml:space="preserve">Grondwet </w:t>
      </w:r>
      <w:r w:rsidRPr="00B4699E">
        <w:rPr>
          <w:rFonts w:ascii="Times New Roman" w:hAnsi="Times New Roman" w:cs="Times New Roman"/>
          <w:sz w:val="24"/>
          <w:szCs w:val="24"/>
        </w:rPr>
        <w:t xml:space="preserve">onwenselijk dat de PGHR een lopend opsporingsonderzoek zou voortzetten op het moment dat zowel de regering als de Tweede Kamer reeds hebben besloten dat in de betreffende zaak geen opdracht tot vervolging wordt gegeven. Omdat artikel 119 </w:t>
      </w:r>
      <w:r w:rsidRPr="00B4699E" w:rsidR="00FC56D4">
        <w:rPr>
          <w:rFonts w:ascii="Times New Roman" w:hAnsi="Times New Roman" w:cs="Times New Roman"/>
          <w:sz w:val="24"/>
          <w:szCs w:val="24"/>
        </w:rPr>
        <w:t xml:space="preserve">van de </w:t>
      </w:r>
      <w:r w:rsidRPr="00B4699E">
        <w:rPr>
          <w:rFonts w:ascii="Times New Roman" w:hAnsi="Times New Roman" w:cs="Times New Roman"/>
          <w:sz w:val="24"/>
          <w:szCs w:val="24"/>
        </w:rPr>
        <w:t>Grondwet aan laatstgenoemden een exclusief vervolgingsrecht toekent, kunnen de resultaten van het opsporingsonderzoek in dat geval immers niet tot</w:t>
      </w:r>
      <w:r w:rsidRPr="00B4699E" w:rsidR="00DA7756">
        <w:rPr>
          <w:rFonts w:ascii="Times New Roman" w:hAnsi="Times New Roman" w:cs="Times New Roman"/>
          <w:sz w:val="24"/>
          <w:szCs w:val="24"/>
        </w:rPr>
        <w:t xml:space="preserve"> vervolging</w:t>
      </w:r>
      <w:r w:rsidRPr="00B4699E">
        <w:rPr>
          <w:rFonts w:ascii="Times New Roman" w:hAnsi="Times New Roman" w:cs="Times New Roman"/>
          <w:sz w:val="24"/>
          <w:szCs w:val="24"/>
        </w:rPr>
        <w:t xml:space="preserve">  leiden. </w:t>
      </w:r>
      <w:r w:rsidRPr="00B4699E" w:rsidR="001046D1">
        <w:rPr>
          <w:rFonts w:ascii="Times New Roman" w:hAnsi="Times New Roman" w:cs="Times New Roman"/>
          <w:sz w:val="24"/>
          <w:szCs w:val="24"/>
        </w:rPr>
        <w:t>Zolang het huidige</w:t>
      </w:r>
      <w:r w:rsidRPr="00B4699E">
        <w:rPr>
          <w:rFonts w:ascii="Times New Roman" w:hAnsi="Times New Roman" w:cs="Times New Roman"/>
          <w:sz w:val="24"/>
          <w:szCs w:val="24"/>
        </w:rPr>
        <w:t xml:space="preserve"> artikel 119 </w:t>
      </w:r>
      <w:r w:rsidRPr="00B4699E" w:rsidR="00FC56D4">
        <w:rPr>
          <w:rFonts w:ascii="Times New Roman" w:hAnsi="Times New Roman" w:cs="Times New Roman"/>
          <w:sz w:val="24"/>
          <w:szCs w:val="24"/>
        </w:rPr>
        <w:t xml:space="preserve">van de </w:t>
      </w:r>
      <w:r w:rsidRPr="00B4699E">
        <w:rPr>
          <w:rFonts w:ascii="Times New Roman" w:hAnsi="Times New Roman" w:cs="Times New Roman"/>
          <w:sz w:val="24"/>
          <w:szCs w:val="24"/>
        </w:rPr>
        <w:t xml:space="preserve">Grondwet </w:t>
      </w:r>
      <w:r w:rsidRPr="00B4699E" w:rsidR="001046D1">
        <w:rPr>
          <w:rFonts w:ascii="Times New Roman" w:hAnsi="Times New Roman" w:cs="Times New Roman"/>
          <w:sz w:val="24"/>
          <w:szCs w:val="24"/>
        </w:rPr>
        <w:t xml:space="preserve">bestaat, </w:t>
      </w:r>
      <w:r w:rsidRPr="00B4699E" w:rsidR="00E8771F">
        <w:rPr>
          <w:rFonts w:ascii="Times New Roman" w:hAnsi="Times New Roman" w:cs="Times New Roman"/>
          <w:sz w:val="24"/>
          <w:szCs w:val="24"/>
        </w:rPr>
        <w:t xml:space="preserve">ligt het in de rede te </w:t>
      </w:r>
      <w:r w:rsidRPr="00B4699E">
        <w:rPr>
          <w:rFonts w:ascii="Times New Roman" w:hAnsi="Times New Roman" w:cs="Times New Roman"/>
          <w:sz w:val="24"/>
          <w:szCs w:val="24"/>
        </w:rPr>
        <w:t xml:space="preserve">voorzien in een bevoegdheid voor de regering en de Tweede Kamer om gezamenlijk een lopend opsporingsonderzoek te beëindigen. Zoals </w:t>
      </w:r>
      <w:r w:rsidRPr="00B4699E" w:rsidR="001046D1">
        <w:rPr>
          <w:rFonts w:ascii="Times New Roman" w:hAnsi="Times New Roman" w:cs="Times New Roman"/>
          <w:sz w:val="24"/>
          <w:szCs w:val="24"/>
        </w:rPr>
        <w:t xml:space="preserve">hierboven </w:t>
      </w:r>
      <w:r w:rsidRPr="00B4699E">
        <w:rPr>
          <w:rFonts w:ascii="Times New Roman" w:hAnsi="Times New Roman" w:cs="Times New Roman"/>
          <w:sz w:val="24"/>
          <w:szCs w:val="24"/>
        </w:rPr>
        <w:t xml:space="preserve">nader toegelicht in antwoord op een vraag van de PvdA-GroenLinks-fractie, zullen dergelijke gezamenlijke opdrachten openbaar worden gemaakt door publicatie in de Staatscourant. </w:t>
      </w:r>
    </w:p>
    <w:p w:rsidRPr="00B4699E" w:rsidR="00082FE2" w:rsidP="001D01D0" w:rsidRDefault="00082FE2" w14:paraId="59745830" w14:textId="0D9D4823">
      <w:pPr>
        <w:rPr>
          <w:rFonts w:ascii="Times New Roman" w:hAnsi="Times New Roman" w:cs="Times New Roman"/>
          <w:sz w:val="24"/>
          <w:szCs w:val="24"/>
        </w:rPr>
      </w:pPr>
      <w:r w:rsidRPr="00B4699E">
        <w:rPr>
          <w:rFonts w:ascii="Times New Roman" w:hAnsi="Times New Roman" w:cs="Times New Roman"/>
          <w:i/>
          <w:iCs/>
          <w:sz w:val="24"/>
          <w:szCs w:val="24"/>
        </w:rPr>
        <w:t xml:space="preserve">De leden van de NSC-fractie onderschrijven het oordeel van de minister dat de Hoge Raad niet de eerste en enige instantie zou moeten zijn die rechtspreekt als het gaat om ambtsmisdrijven. Deze leden zijn voorstander van het voorstel om voortaan, net als in andere strafzaken, twee feitelijke rechtsgangen open te stellen gevolgd door de mogelijkheid van cassatie. De oorspronkelijke gedachte achter het idee van slechts één rechtsgang was dat betrokken ambtsdragers dan niet te lang het middelpunt zouden zijn van politieke opschudding. Deze leden kunnen zich vinden in de afweging die de minister maakt dat het belang van meerdere rechtsgangen hierboven moet prevaleren en zijn van oordeel dat deze </w:t>
      </w:r>
      <w:r w:rsidRPr="00B4699E">
        <w:rPr>
          <w:rFonts w:ascii="Times New Roman" w:hAnsi="Times New Roman" w:cs="Times New Roman"/>
          <w:i/>
          <w:iCs/>
          <w:sz w:val="24"/>
          <w:szCs w:val="24"/>
        </w:rPr>
        <w:lastRenderedPageBreak/>
        <w:t>zaken niet anders moeten worden behandeld dan andere strafzaken. Deze leden vragen of de minister wel van oordeel is dat zaken waarin ambtsmisdrijven centraal staan prioriteit moeten krijgen bij rechtbanken, gerechtshoven en de Hoge Raad, om de doorlooptijden zo kort mogelijk te houden</w:t>
      </w:r>
      <w:r w:rsidRPr="00B4699E">
        <w:rPr>
          <w:rFonts w:ascii="Times New Roman" w:hAnsi="Times New Roman" w:cs="Times New Roman"/>
          <w:sz w:val="24"/>
          <w:szCs w:val="24"/>
        </w:rPr>
        <w:t>.</w:t>
      </w:r>
    </w:p>
    <w:p w:rsidRPr="00B4699E" w:rsidR="00082FE2" w:rsidP="001D01D0" w:rsidRDefault="001046D1" w14:paraId="352D02A3" w14:textId="65C4C6B4">
      <w:pPr>
        <w:rPr>
          <w:rFonts w:ascii="Times New Roman" w:hAnsi="Times New Roman" w:cs="Times New Roman"/>
          <w:sz w:val="24"/>
          <w:szCs w:val="24"/>
        </w:rPr>
      </w:pPr>
      <w:r w:rsidRPr="00B4699E">
        <w:rPr>
          <w:rFonts w:ascii="Times New Roman" w:hAnsi="Times New Roman" w:cs="Times New Roman"/>
          <w:sz w:val="24"/>
          <w:szCs w:val="24"/>
        </w:rPr>
        <w:t>Het verheugt ons dat ook de leden van de NSC-fractie er voorstander van zijn om de rechtsgang bij ambtsdelicten van Kamerleden en bewindspersonen geli</w:t>
      </w:r>
      <w:r w:rsidRPr="00B4699E" w:rsidR="006810CB">
        <w:rPr>
          <w:rFonts w:ascii="Times New Roman" w:hAnsi="Times New Roman" w:cs="Times New Roman"/>
          <w:sz w:val="24"/>
          <w:szCs w:val="24"/>
        </w:rPr>
        <w:t>j</w:t>
      </w:r>
      <w:r w:rsidRPr="00B4699E">
        <w:rPr>
          <w:rFonts w:ascii="Times New Roman" w:hAnsi="Times New Roman" w:cs="Times New Roman"/>
          <w:sz w:val="24"/>
          <w:szCs w:val="24"/>
        </w:rPr>
        <w:t xml:space="preserve">k te trekken met de rechtsgang in andere strafzaken. </w:t>
      </w:r>
      <w:r w:rsidRPr="00B4699E" w:rsidR="006810CB">
        <w:rPr>
          <w:rFonts w:ascii="Times New Roman" w:hAnsi="Times New Roman" w:cs="Times New Roman"/>
          <w:sz w:val="24"/>
          <w:szCs w:val="24"/>
        </w:rPr>
        <w:t>Wat betreft de vraag over de prioritering merken wij op dat het</w:t>
      </w:r>
      <w:r w:rsidRPr="00B4699E" w:rsidR="00082FE2">
        <w:rPr>
          <w:rFonts w:ascii="Times New Roman" w:hAnsi="Times New Roman" w:cs="Times New Roman"/>
          <w:sz w:val="24"/>
          <w:szCs w:val="24"/>
        </w:rPr>
        <w:t xml:space="preserve"> </w:t>
      </w:r>
      <w:r w:rsidRPr="00B4699E" w:rsidR="00C83128">
        <w:rPr>
          <w:rFonts w:ascii="Times New Roman" w:hAnsi="Times New Roman" w:cs="Times New Roman"/>
          <w:sz w:val="24"/>
          <w:szCs w:val="24"/>
        </w:rPr>
        <w:t xml:space="preserve">primair </w:t>
      </w:r>
      <w:r w:rsidRPr="00B4699E" w:rsidR="00082FE2">
        <w:rPr>
          <w:rFonts w:ascii="Times New Roman" w:hAnsi="Times New Roman" w:cs="Times New Roman"/>
          <w:sz w:val="24"/>
          <w:szCs w:val="24"/>
        </w:rPr>
        <w:t>aan de rechtspraak</w:t>
      </w:r>
      <w:r w:rsidRPr="00B4699E" w:rsidR="006810CB">
        <w:rPr>
          <w:rFonts w:ascii="Times New Roman" w:hAnsi="Times New Roman" w:cs="Times New Roman"/>
          <w:sz w:val="24"/>
          <w:szCs w:val="24"/>
        </w:rPr>
        <w:t xml:space="preserve"> is</w:t>
      </w:r>
      <w:r w:rsidRPr="00B4699E" w:rsidR="00082FE2">
        <w:rPr>
          <w:rFonts w:ascii="Times New Roman" w:hAnsi="Times New Roman" w:cs="Times New Roman"/>
          <w:sz w:val="24"/>
          <w:szCs w:val="24"/>
        </w:rPr>
        <w:t xml:space="preserve"> om de noodzakelijke afwegingen te maken in het belang van de goede procesorde en een ordentelijk verloop van de rechtsgang en daarbij zoveel mogelijk rekening te houden met de belangen van de procespartijen. Daarbij </w:t>
      </w:r>
      <w:r w:rsidRPr="00B4699E" w:rsidR="00C83128">
        <w:rPr>
          <w:rFonts w:ascii="Times New Roman" w:hAnsi="Times New Roman" w:cs="Times New Roman"/>
          <w:sz w:val="24"/>
          <w:szCs w:val="24"/>
        </w:rPr>
        <w:t xml:space="preserve">zal de rechtspraak ook </w:t>
      </w:r>
      <w:r w:rsidRPr="00B4699E" w:rsidR="00082FE2">
        <w:rPr>
          <w:rFonts w:ascii="Times New Roman" w:hAnsi="Times New Roman" w:cs="Times New Roman"/>
          <w:sz w:val="24"/>
          <w:szCs w:val="24"/>
        </w:rPr>
        <w:t xml:space="preserve">in ogenschouw </w:t>
      </w:r>
      <w:r w:rsidRPr="00B4699E" w:rsidR="00C83128">
        <w:rPr>
          <w:rFonts w:ascii="Times New Roman" w:hAnsi="Times New Roman" w:cs="Times New Roman"/>
          <w:sz w:val="24"/>
          <w:szCs w:val="24"/>
        </w:rPr>
        <w:t>nemen</w:t>
      </w:r>
      <w:r w:rsidRPr="00B4699E" w:rsidR="00082FE2">
        <w:rPr>
          <w:rFonts w:ascii="Times New Roman" w:hAnsi="Times New Roman" w:cs="Times New Roman"/>
          <w:sz w:val="24"/>
          <w:szCs w:val="24"/>
        </w:rPr>
        <w:t xml:space="preserve"> dat prioritering van een bepaalde categorie </w:t>
      </w:r>
      <w:r w:rsidRPr="00B4699E" w:rsidR="00C83128">
        <w:rPr>
          <w:rFonts w:ascii="Times New Roman" w:hAnsi="Times New Roman" w:cs="Times New Roman"/>
          <w:sz w:val="24"/>
          <w:szCs w:val="24"/>
        </w:rPr>
        <w:t xml:space="preserve">bij een gerecht aanhangige </w:t>
      </w:r>
      <w:r w:rsidRPr="00B4699E" w:rsidR="00082FE2">
        <w:rPr>
          <w:rFonts w:ascii="Times New Roman" w:hAnsi="Times New Roman" w:cs="Times New Roman"/>
          <w:sz w:val="24"/>
          <w:szCs w:val="24"/>
        </w:rPr>
        <w:t xml:space="preserve">zaken zou </w:t>
      </w:r>
      <w:r w:rsidRPr="00B4699E" w:rsidR="00967557">
        <w:rPr>
          <w:rFonts w:ascii="Times New Roman" w:hAnsi="Times New Roman" w:cs="Times New Roman"/>
          <w:sz w:val="24"/>
          <w:szCs w:val="24"/>
        </w:rPr>
        <w:t xml:space="preserve">kunnen </w:t>
      </w:r>
      <w:r w:rsidRPr="00B4699E" w:rsidR="00082FE2">
        <w:rPr>
          <w:rFonts w:ascii="Times New Roman" w:hAnsi="Times New Roman" w:cs="Times New Roman"/>
          <w:sz w:val="24"/>
          <w:szCs w:val="24"/>
        </w:rPr>
        <w:t>betekenen dat de doorlooptijden van andere zaken, waaronder zaken met andere zeer zwaarwegende belangen bij een spoedige behandeling, onder druk komen te staan.</w:t>
      </w:r>
      <w:r w:rsidRPr="00B4699E" w:rsidR="00967557">
        <w:rPr>
          <w:rFonts w:ascii="Times New Roman" w:hAnsi="Times New Roman" w:cs="Times New Roman"/>
          <w:sz w:val="24"/>
          <w:szCs w:val="24"/>
        </w:rPr>
        <w:t xml:space="preserve"> </w:t>
      </w:r>
      <w:r w:rsidRPr="00B4699E" w:rsidR="006810CB">
        <w:rPr>
          <w:rFonts w:ascii="Times New Roman" w:hAnsi="Times New Roman" w:cs="Times New Roman"/>
          <w:sz w:val="24"/>
          <w:szCs w:val="24"/>
        </w:rPr>
        <w:t>H</w:t>
      </w:r>
      <w:r w:rsidRPr="00B4699E" w:rsidR="00967557">
        <w:rPr>
          <w:rFonts w:ascii="Times New Roman" w:hAnsi="Times New Roman" w:cs="Times New Roman"/>
          <w:sz w:val="24"/>
          <w:szCs w:val="24"/>
        </w:rPr>
        <w:t xml:space="preserve">et kabinet </w:t>
      </w:r>
      <w:r w:rsidRPr="00B4699E" w:rsidR="006810CB">
        <w:rPr>
          <w:rFonts w:ascii="Times New Roman" w:hAnsi="Times New Roman" w:cs="Times New Roman"/>
          <w:sz w:val="24"/>
          <w:szCs w:val="24"/>
        </w:rPr>
        <w:t xml:space="preserve">acht het </w:t>
      </w:r>
      <w:r w:rsidRPr="00B4699E" w:rsidR="00967557">
        <w:rPr>
          <w:rFonts w:ascii="Times New Roman" w:hAnsi="Times New Roman" w:cs="Times New Roman"/>
          <w:sz w:val="24"/>
          <w:szCs w:val="24"/>
        </w:rPr>
        <w:t>raadzaam de goede procesorde en het verloop van de rechtsgang over te laten aan de rechtspraak.</w:t>
      </w:r>
      <w:r w:rsidRPr="00B4699E" w:rsidR="00082FE2">
        <w:rPr>
          <w:rFonts w:ascii="Times New Roman" w:hAnsi="Times New Roman" w:cs="Times New Roman"/>
          <w:sz w:val="24"/>
          <w:szCs w:val="24"/>
        </w:rPr>
        <w:t xml:space="preserve"> </w:t>
      </w:r>
    </w:p>
    <w:p w:rsidRPr="00B4699E" w:rsidR="00082FE2" w:rsidP="001D01D0" w:rsidRDefault="00082FE2" w14:paraId="77F19365" w14:textId="3E67C109">
      <w:pPr>
        <w:rPr>
          <w:rFonts w:ascii="Times New Roman" w:hAnsi="Times New Roman" w:cs="Times New Roman"/>
          <w:i/>
          <w:iCs/>
          <w:sz w:val="24"/>
          <w:szCs w:val="24"/>
        </w:rPr>
      </w:pPr>
      <w:r w:rsidRPr="00B4699E">
        <w:rPr>
          <w:rFonts w:ascii="Times New Roman" w:hAnsi="Times New Roman" w:cs="Times New Roman"/>
          <w:i/>
          <w:iCs/>
          <w:sz w:val="24"/>
          <w:szCs w:val="24"/>
        </w:rPr>
        <w:t>De leden van de NSC-fractie hebben kennisgenomen van de voorgestelde procedure omtrent de vervolging van “gewone”, dus niet-ambtsmisdrijven, door Kamerleden en bewindspersonen. Deze leden zijn het eens met het feit dat daarvoor een andere procedure geldt dan ten aanzien van ambtsmisdrijven. Ook begrijpen zij het voorstel van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om ook bij gewone misdrijven de algemene en bijzondere aanwijzingsbevoegdheden jegens het </w:t>
      </w:r>
      <w:r w:rsidRPr="00B4699E" w:rsidR="00F87AC2">
        <w:rPr>
          <w:rFonts w:ascii="Times New Roman" w:hAnsi="Times New Roman" w:cs="Times New Roman"/>
          <w:i/>
          <w:iCs/>
          <w:sz w:val="24"/>
          <w:szCs w:val="24"/>
        </w:rPr>
        <w:t xml:space="preserve">OM </w:t>
      </w:r>
      <w:r w:rsidRPr="00B4699E">
        <w:rPr>
          <w:rFonts w:ascii="Times New Roman" w:hAnsi="Times New Roman" w:cs="Times New Roman"/>
          <w:i/>
          <w:iCs/>
          <w:sz w:val="24"/>
          <w:szCs w:val="24"/>
        </w:rPr>
        <w:t>neer te leggen bij de procureur-generaal in plaats van bij de minister van Justitie en Veiligheid. Wel kunnen deze leden zich voorstellen dat er situaties kunnen zijn waarin niet onmiddellijk duidelijk is of iets moet worden bestempeld als een ambtsmisdrijf of een “gewoon” misdrijf. Kan de minister aangeven of zij rekening houdt met een ‘grijs gebied’ en kan de minister, eventueel aan de hand van voorbeelden, een nadere toelichting geven over de vraag wanneer iets als een ambtsmisdrijf moet worden bestempeld en wanneer niet?</w:t>
      </w:r>
    </w:p>
    <w:p w:rsidRPr="00B4699E" w:rsidR="00E90558" w:rsidP="00E90558" w:rsidRDefault="00E90558" w14:paraId="452B8C53" w14:textId="302936CE">
      <w:pPr>
        <w:rPr>
          <w:rFonts w:ascii="Times New Roman" w:hAnsi="Times New Roman" w:cs="Times New Roman"/>
          <w:sz w:val="24"/>
          <w:szCs w:val="24"/>
        </w:rPr>
      </w:pPr>
      <w:bookmarkStart w:name="_Hlk168581904" w:id="1"/>
      <w:r w:rsidRPr="00B4699E">
        <w:rPr>
          <w:rFonts w:ascii="Times New Roman" w:hAnsi="Times New Roman" w:cs="Times New Roman"/>
          <w:sz w:val="24"/>
          <w:szCs w:val="24"/>
        </w:rPr>
        <w:t xml:space="preserve">Of een bepaald strafbaar feit als ambtsdelict moet worden aangemerkt, kan ten eerste volgen uit de aard van het strafbare feit. Zo zijn alle strafbare feiten die zijn opgenomen in Titel XXVIII van het Tweede Boek van het Wetboek van Strafrecht aangemerkt als ambtsmisdrijf. De strafbare feiten uit Titel VIII </w:t>
      </w:r>
      <w:r w:rsidRPr="00B4699E" w:rsidR="00FC56D4">
        <w:rPr>
          <w:rFonts w:ascii="Times New Roman" w:hAnsi="Times New Roman" w:cs="Times New Roman"/>
          <w:sz w:val="24"/>
          <w:szCs w:val="24"/>
        </w:rPr>
        <w:t>van</w:t>
      </w:r>
      <w:r w:rsidRPr="00B4699E">
        <w:rPr>
          <w:rFonts w:ascii="Times New Roman" w:hAnsi="Times New Roman" w:cs="Times New Roman"/>
          <w:sz w:val="24"/>
          <w:szCs w:val="24"/>
        </w:rPr>
        <w:t xml:space="preserve"> het Derde Boek van het Wetboek van Strafrecht zijn aangemerkt als ambtsovertredingen. Ten tweede kan uit de omstandigheden waaronder een commuun delict is begaan, volgen dat een commuun feit ook als ambtsdelict moet worden aangemerkt. Het gaat dan om gevallen waarin de verdachte “door het begaan van een strafbaar feit een bijzondere ambtsplicht schendt of bij het begaan van een strafbaar feit gebruik maakt van macht, gelegenheid of middel hem door zijn ambt geschonken” (artikel 44 Sr). Deze categorie strafbare feiten wordt door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ook wel als “oneigenlijke ambtsdelicten” aangeduid. Voor een uitgebreider overzicht van de reikwijdte van het begrip “ambtsdelicten” zouden wij deze leden kortheidshalve willen verwijzen naar hoofdstuk 3 van het rapport van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w:t>
      </w:r>
    </w:p>
    <w:p w:rsidRPr="00B4699E" w:rsidR="00E33D87" w:rsidP="00E33D87" w:rsidRDefault="00E33D87" w14:paraId="5F92FB31" w14:textId="7A844B34">
      <w:pPr>
        <w:rPr>
          <w:rFonts w:ascii="Times New Roman" w:hAnsi="Times New Roman" w:cs="Times New Roman"/>
          <w:color w:val="FF0000"/>
          <w:sz w:val="24"/>
          <w:szCs w:val="24"/>
        </w:rPr>
      </w:pPr>
      <w:r w:rsidRPr="00B4699E">
        <w:rPr>
          <w:rFonts w:ascii="Times New Roman" w:hAnsi="Times New Roman" w:cs="Times New Roman"/>
          <w:sz w:val="24"/>
          <w:szCs w:val="24"/>
        </w:rPr>
        <w:lastRenderedPageBreak/>
        <w:t>Het is denkbaar dat in de praktijk niet altijd direct duidelijk is of een verdenking betrekking heeft op een ambts</w:t>
      </w:r>
      <w:r w:rsidRPr="00B4699E" w:rsidR="00E90558">
        <w:rPr>
          <w:rFonts w:ascii="Times New Roman" w:hAnsi="Times New Roman" w:cs="Times New Roman"/>
          <w:sz w:val="24"/>
          <w:szCs w:val="24"/>
        </w:rPr>
        <w:t>delict</w:t>
      </w:r>
      <w:r w:rsidRPr="00B4699E">
        <w:rPr>
          <w:rFonts w:ascii="Times New Roman" w:hAnsi="Times New Roman" w:cs="Times New Roman"/>
          <w:sz w:val="24"/>
          <w:szCs w:val="24"/>
        </w:rPr>
        <w:t xml:space="preserve"> (waar</w:t>
      </w:r>
      <w:r w:rsidRPr="00B4699E" w:rsidR="00E90558">
        <w:rPr>
          <w:rFonts w:ascii="Times New Roman" w:hAnsi="Times New Roman" w:cs="Times New Roman"/>
          <w:sz w:val="24"/>
          <w:szCs w:val="24"/>
        </w:rPr>
        <w:t>v</w:t>
      </w:r>
      <w:r w:rsidRPr="00B4699E">
        <w:rPr>
          <w:rFonts w:ascii="Times New Roman" w:hAnsi="Times New Roman" w:cs="Times New Roman"/>
          <w:sz w:val="24"/>
          <w:szCs w:val="24"/>
        </w:rPr>
        <w:t xml:space="preserve">oor in spoor II een opdracht van de PGHR is vereist voordat tot opsporing of vervolging wordt overgegaan) of een </w:t>
      </w:r>
      <w:r w:rsidRPr="00B4699E" w:rsidR="00E90558">
        <w:rPr>
          <w:rFonts w:ascii="Times New Roman" w:hAnsi="Times New Roman" w:cs="Times New Roman"/>
          <w:sz w:val="24"/>
          <w:szCs w:val="24"/>
        </w:rPr>
        <w:t>¨gewoon¨</w:t>
      </w:r>
      <w:r w:rsidRPr="00B4699E">
        <w:rPr>
          <w:rFonts w:ascii="Times New Roman" w:hAnsi="Times New Roman" w:cs="Times New Roman"/>
          <w:sz w:val="24"/>
          <w:szCs w:val="24"/>
        </w:rPr>
        <w:t xml:space="preserve"> strafbaar feit. Die onduidelijkheid kan zich met name voordoen bij feiten die onder de </w:t>
      </w:r>
      <w:r w:rsidRPr="00B4699E" w:rsidR="00E90558">
        <w:rPr>
          <w:rFonts w:ascii="Times New Roman" w:hAnsi="Times New Roman" w:cs="Times New Roman"/>
          <w:sz w:val="24"/>
          <w:szCs w:val="24"/>
        </w:rPr>
        <w:t xml:space="preserve">hierboven omschreven </w:t>
      </w:r>
      <w:r w:rsidRPr="00B4699E">
        <w:rPr>
          <w:rFonts w:ascii="Times New Roman" w:hAnsi="Times New Roman" w:cs="Times New Roman"/>
          <w:sz w:val="24"/>
          <w:szCs w:val="24"/>
        </w:rPr>
        <w:t xml:space="preserve">strafverzwarende omstandigheid van artikel 44 Sr vallen. In elk geval waarin een Kamerlid of bewindspersoon wordt verdacht van een commuun strafbaar feit, dient </w:t>
      </w:r>
      <w:r w:rsidRPr="00B4699E" w:rsidR="00E90558">
        <w:rPr>
          <w:rFonts w:ascii="Times New Roman" w:hAnsi="Times New Roman" w:cs="Times New Roman"/>
          <w:sz w:val="24"/>
          <w:szCs w:val="24"/>
        </w:rPr>
        <w:t xml:space="preserve">daarom </w:t>
      </w:r>
      <w:r w:rsidRPr="00B4699E">
        <w:rPr>
          <w:rFonts w:ascii="Times New Roman" w:hAnsi="Times New Roman" w:cs="Times New Roman"/>
          <w:sz w:val="24"/>
          <w:szCs w:val="24"/>
        </w:rPr>
        <w:t xml:space="preserve">te worden onderzocht of </w:t>
      </w:r>
      <w:r w:rsidRPr="00B4699E" w:rsidR="00E90558">
        <w:rPr>
          <w:rFonts w:ascii="Times New Roman" w:hAnsi="Times New Roman" w:cs="Times New Roman"/>
          <w:sz w:val="24"/>
          <w:szCs w:val="24"/>
        </w:rPr>
        <w:t xml:space="preserve">van een </w:t>
      </w:r>
      <w:r w:rsidRPr="00B4699E" w:rsidR="00FC56D4">
        <w:rPr>
          <w:rFonts w:ascii="Times New Roman" w:hAnsi="Times New Roman" w:cs="Times New Roman"/>
          <w:sz w:val="24"/>
          <w:szCs w:val="24"/>
        </w:rPr>
        <w:t>´</w:t>
      </w:r>
      <w:r w:rsidRPr="00B4699E" w:rsidR="00E90558">
        <w:rPr>
          <w:rFonts w:ascii="Times New Roman" w:hAnsi="Times New Roman" w:cs="Times New Roman"/>
          <w:sz w:val="24"/>
          <w:szCs w:val="24"/>
        </w:rPr>
        <w:t>oneigenlijk ambtsdelict</w:t>
      </w:r>
      <w:r w:rsidRPr="00B4699E" w:rsidR="00FC56D4">
        <w:rPr>
          <w:rFonts w:ascii="Times New Roman" w:hAnsi="Times New Roman" w:cs="Times New Roman"/>
          <w:sz w:val="24"/>
          <w:szCs w:val="24"/>
        </w:rPr>
        <w:t>´</w:t>
      </w:r>
      <w:r w:rsidRPr="00B4699E" w:rsidR="00E90558">
        <w:rPr>
          <w:rFonts w:ascii="Times New Roman" w:hAnsi="Times New Roman" w:cs="Times New Roman"/>
          <w:sz w:val="24"/>
          <w:szCs w:val="24"/>
        </w:rPr>
        <w:t xml:space="preserve"> </w:t>
      </w:r>
      <w:r w:rsidRPr="00B4699E">
        <w:rPr>
          <w:rFonts w:ascii="Times New Roman" w:hAnsi="Times New Roman" w:cs="Times New Roman"/>
          <w:sz w:val="24"/>
          <w:szCs w:val="24"/>
        </w:rPr>
        <w:t>sprake is. Volgens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kan dit leiden tot “afbakeningskwesties en ingewikkelde casuïstiek” (</w:t>
      </w:r>
      <w:r w:rsidRPr="00B4699E" w:rsidR="00E90558">
        <w:rPr>
          <w:rFonts w:ascii="Times New Roman" w:hAnsi="Times New Roman" w:cs="Times New Roman"/>
          <w:sz w:val="24"/>
          <w:szCs w:val="24"/>
        </w:rPr>
        <w:t xml:space="preserve">zie </w:t>
      </w:r>
      <w:r w:rsidRPr="00B4699E">
        <w:rPr>
          <w:rFonts w:ascii="Times New Roman" w:hAnsi="Times New Roman" w:cs="Times New Roman"/>
          <w:sz w:val="24"/>
          <w:szCs w:val="24"/>
        </w:rPr>
        <w:t>rapport-</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paragraaf 5.12). </w:t>
      </w:r>
      <w:r w:rsidRPr="00B4699E">
        <w:rPr>
          <w:rFonts w:ascii="Times New Roman" w:hAnsi="Times New Roman" w:cs="Times New Roman"/>
          <w:sz w:val="24"/>
          <w:szCs w:val="24"/>
        </w:rPr>
        <w:br/>
      </w:r>
      <w:r w:rsidRPr="00B4699E">
        <w:rPr>
          <w:rFonts w:ascii="Times New Roman" w:hAnsi="Times New Roman" w:cs="Times New Roman"/>
          <w:sz w:val="24"/>
          <w:szCs w:val="24"/>
        </w:rPr>
        <w:br/>
        <w:t xml:space="preserve">De </w:t>
      </w:r>
      <w:r w:rsidRPr="00B4699E" w:rsidR="00E90558">
        <w:rPr>
          <w:rFonts w:ascii="Times New Roman" w:hAnsi="Times New Roman" w:cs="Times New Roman"/>
          <w:sz w:val="24"/>
          <w:szCs w:val="24"/>
        </w:rPr>
        <w:t xml:space="preserve">leden van de </w:t>
      </w:r>
      <w:r w:rsidRPr="00B4699E">
        <w:rPr>
          <w:rFonts w:ascii="Times New Roman" w:hAnsi="Times New Roman" w:cs="Times New Roman"/>
          <w:sz w:val="24"/>
          <w:szCs w:val="24"/>
        </w:rPr>
        <w:t xml:space="preserve">NSC-fractie </w:t>
      </w:r>
      <w:r w:rsidRPr="00B4699E" w:rsidR="00E90558">
        <w:rPr>
          <w:rFonts w:ascii="Times New Roman" w:hAnsi="Times New Roman" w:cs="Times New Roman"/>
          <w:sz w:val="24"/>
          <w:szCs w:val="24"/>
        </w:rPr>
        <w:t>constateren</w:t>
      </w:r>
      <w:r w:rsidRPr="00B4699E">
        <w:rPr>
          <w:rFonts w:ascii="Times New Roman" w:hAnsi="Times New Roman" w:cs="Times New Roman"/>
          <w:sz w:val="24"/>
          <w:szCs w:val="24"/>
        </w:rPr>
        <w:t xml:space="preserve"> terecht dat in spoor II wordt voorgesteld om de algemene en bijzondere aanwijzingsbevoegdheid (</w:t>
      </w:r>
      <w:r w:rsidRPr="00B4699E" w:rsidR="00E90558">
        <w:rPr>
          <w:rFonts w:ascii="Times New Roman" w:hAnsi="Times New Roman" w:cs="Times New Roman"/>
          <w:sz w:val="24"/>
          <w:szCs w:val="24"/>
        </w:rPr>
        <w:t xml:space="preserve">de </w:t>
      </w:r>
      <w:r w:rsidRPr="00B4699E">
        <w:rPr>
          <w:rFonts w:ascii="Times New Roman" w:hAnsi="Times New Roman" w:cs="Times New Roman"/>
          <w:sz w:val="24"/>
          <w:szCs w:val="24"/>
        </w:rPr>
        <w:t>artikelen 127 en 128 Wet RO) te beleggen bij de PGHR in alle gevallen waarin een Kamerlid of bewindspersoon wordt verdacht van een strafbaar feit. Dit geldt dus zowel voor verdenkingen wegens een ambts</w:t>
      </w:r>
      <w:r w:rsidRPr="00B4699E" w:rsidR="00E90558">
        <w:rPr>
          <w:rFonts w:ascii="Times New Roman" w:hAnsi="Times New Roman" w:cs="Times New Roman"/>
          <w:sz w:val="24"/>
          <w:szCs w:val="24"/>
        </w:rPr>
        <w:t>delict</w:t>
      </w:r>
      <w:r w:rsidRPr="00B4699E">
        <w:rPr>
          <w:rFonts w:ascii="Times New Roman" w:hAnsi="Times New Roman" w:cs="Times New Roman"/>
          <w:sz w:val="24"/>
          <w:szCs w:val="24"/>
        </w:rPr>
        <w:t xml:space="preserve"> als </w:t>
      </w:r>
      <w:r w:rsidRPr="00B4699E" w:rsidR="005E10D8">
        <w:rPr>
          <w:rFonts w:ascii="Times New Roman" w:hAnsi="Times New Roman" w:cs="Times New Roman"/>
          <w:sz w:val="24"/>
          <w:szCs w:val="24"/>
        </w:rPr>
        <w:t xml:space="preserve">voor </w:t>
      </w:r>
      <w:r w:rsidRPr="00B4699E">
        <w:rPr>
          <w:rFonts w:ascii="Times New Roman" w:hAnsi="Times New Roman" w:cs="Times New Roman"/>
          <w:sz w:val="24"/>
          <w:szCs w:val="24"/>
        </w:rPr>
        <w:t>verdenkingen wegens een gewoon strafbaar feit</w:t>
      </w:r>
      <w:r w:rsidRPr="00B4699E" w:rsidR="005E10D8">
        <w:rPr>
          <w:rFonts w:ascii="Times New Roman" w:hAnsi="Times New Roman" w:cs="Times New Roman"/>
          <w:sz w:val="24"/>
          <w:szCs w:val="24"/>
        </w:rPr>
        <w:t>.</w:t>
      </w:r>
      <w:r w:rsidRPr="00B4699E">
        <w:rPr>
          <w:rFonts w:ascii="Times New Roman" w:hAnsi="Times New Roman" w:cs="Times New Roman"/>
          <w:sz w:val="24"/>
          <w:szCs w:val="24"/>
        </w:rPr>
        <w:t xml:space="preserve"> In dergelijke gevallen zal ook de inlichtingenplicht van het College van procureurs-generaal van het </w:t>
      </w:r>
      <w:r w:rsidRPr="00B4699E" w:rsidR="002B18FF">
        <w:rPr>
          <w:rFonts w:ascii="Times New Roman" w:hAnsi="Times New Roman" w:cs="Times New Roman"/>
          <w:sz w:val="24"/>
          <w:szCs w:val="24"/>
        </w:rPr>
        <w:t>OM</w:t>
      </w:r>
      <w:r w:rsidRPr="00B4699E">
        <w:rPr>
          <w:rFonts w:ascii="Times New Roman" w:hAnsi="Times New Roman" w:cs="Times New Roman"/>
          <w:sz w:val="24"/>
          <w:szCs w:val="24"/>
        </w:rPr>
        <w:t xml:space="preserve"> (artikel 129 Wet RO) moeten bestaan ten opzichte van de PGHR. Deze voorstellen zijn primair ingegeven vanuit de wens om (de schijn van) politieke bemoeienis in een strafzaak tegen een Kamerlid of bewindspersoon tegen te gaan. Een bijkomend voordeel hiervan is dat onduidelijkheid wordt voorkomen over de vraag of een bepaald strafbaar feit als ambts</w:t>
      </w:r>
      <w:r w:rsidRPr="00B4699E" w:rsidR="00E90558">
        <w:rPr>
          <w:rFonts w:ascii="Times New Roman" w:hAnsi="Times New Roman" w:cs="Times New Roman"/>
          <w:sz w:val="24"/>
          <w:szCs w:val="24"/>
        </w:rPr>
        <w:t xml:space="preserve">delict </w:t>
      </w:r>
      <w:r w:rsidRPr="00B4699E">
        <w:rPr>
          <w:rFonts w:ascii="Times New Roman" w:hAnsi="Times New Roman" w:cs="Times New Roman"/>
          <w:sz w:val="24"/>
          <w:szCs w:val="24"/>
        </w:rPr>
        <w:t xml:space="preserve">moet worden beschouwd. Door de aanpassing van de eerdergenoemde inlichtingenplicht zal de PGHR immers in alle gevallen worden geïnformeerd over een gerezen verdenking tegen een </w:t>
      </w:r>
      <w:r w:rsidRPr="00B4699E" w:rsidR="005E10D8">
        <w:rPr>
          <w:rFonts w:ascii="Times New Roman" w:hAnsi="Times New Roman" w:cs="Times New Roman"/>
          <w:sz w:val="24"/>
          <w:szCs w:val="24"/>
        </w:rPr>
        <w:t>Kamer</w:t>
      </w:r>
      <w:r w:rsidRPr="00B4699E">
        <w:rPr>
          <w:rFonts w:ascii="Times New Roman" w:hAnsi="Times New Roman" w:cs="Times New Roman"/>
          <w:sz w:val="24"/>
          <w:szCs w:val="24"/>
        </w:rPr>
        <w:t>lid of be</w:t>
      </w:r>
      <w:r w:rsidRPr="00B4699E" w:rsidR="005E10D8">
        <w:rPr>
          <w:rFonts w:ascii="Times New Roman" w:hAnsi="Times New Roman" w:cs="Times New Roman"/>
          <w:sz w:val="24"/>
          <w:szCs w:val="24"/>
        </w:rPr>
        <w:t>w</w:t>
      </w:r>
      <w:r w:rsidRPr="00B4699E">
        <w:rPr>
          <w:rFonts w:ascii="Times New Roman" w:hAnsi="Times New Roman" w:cs="Times New Roman"/>
          <w:sz w:val="24"/>
          <w:szCs w:val="24"/>
        </w:rPr>
        <w:t>indspersoon. De PGHR kan op basis van die informatie beoordelen of sprake is van een ambts</w:t>
      </w:r>
      <w:r w:rsidRPr="00B4699E" w:rsidR="00E90558">
        <w:rPr>
          <w:rFonts w:ascii="Times New Roman" w:hAnsi="Times New Roman" w:cs="Times New Roman"/>
          <w:sz w:val="24"/>
          <w:szCs w:val="24"/>
        </w:rPr>
        <w:t xml:space="preserve">delict </w:t>
      </w:r>
      <w:r w:rsidRPr="00B4699E">
        <w:rPr>
          <w:rFonts w:ascii="Times New Roman" w:hAnsi="Times New Roman" w:cs="Times New Roman"/>
          <w:sz w:val="24"/>
          <w:szCs w:val="24"/>
        </w:rPr>
        <w:t>en, als dat het geval is, beslissen of hij een opdracht tot opsporing en eventueel vervolging zal geven. Volledigheidshalve wordt opgemerkt dat de rechter het laatste woord heeft over de vraag of een bepaald strafbaar feit al dan niet als ambts</w:t>
      </w:r>
      <w:r w:rsidRPr="00B4699E" w:rsidR="00E90558">
        <w:rPr>
          <w:rFonts w:ascii="Times New Roman" w:hAnsi="Times New Roman" w:cs="Times New Roman"/>
          <w:sz w:val="24"/>
          <w:szCs w:val="24"/>
        </w:rPr>
        <w:t>delict</w:t>
      </w:r>
      <w:r w:rsidRPr="00B4699E">
        <w:rPr>
          <w:rFonts w:ascii="Times New Roman" w:hAnsi="Times New Roman" w:cs="Times New Roman"/>
          <w:sz w:val="24"/>
          <w:szCs w:val="24"/>
        </w:rPr>
        <w:t xml:space="preserve"> dient te worden aangemerkt.</w:t>
      </w:r>
      <w:r w:rsidRPr="00B4699E">
        <w:rPr>
          <w:rFonts w:ascii="Times New Roman" w:hAnsi="Times New Roman" w:cs="Times New Roman"/>
          <w:color w:val="FF0000"/>
          <w:sz w:val="24"/>
          <w:szCs w:val="24"/>
        </w:rPr>
        <w:t xml:space="preserve"> </w:t>
      </w:r>
    </w:p>
    <w:p w:rsidRPr="00B4699E" w:rsidR="00E90558" w:rsidP="00E33D87" w:rsidRDefault="00E90558" w14:paraId="2B91195F" w14:textId="58A7FBC7">
      <w:pPr>
        <w:rPr>
          <w:rFonts w:ascii="Times New Roman" w:hAnsi="Times New Roman" w:cs="Times New Roman"/>
          <w:sz w:val="24"/>
          <w:szCs w:val="24"/>
        </w:rPr>
      </w:pPr>
      <w:r w:rsidRPr="00B4699E">
        <w:rPr>
          <w:rFonts w:ascii="Times New Roman" w:hAnsi="Times New Roman" w:cs="Times New Roman"/>
          <w:sz w:val="24"/>
          <w:szCs w:val="24"/>
        </w:rPr>
        <w:t xml:space="preserve">Met het voorgaande beantwoorden wij ook een vraag van de leden van de D66-fractie over de reikwijdte van het begrip </w:t>
      </w:r>
      <w:r w:rsidRPr="00B4699E" w:rsidR="00FC56D4">
        <w:rPr>
          <w:rFonts w:ascii="Times New Roman" w:hAnsi="Times New Roman" w:cs="Times New Roman"/>
          <w:sz w:val="24"/>
          <w:szCs w:val="24"/>
        </w:rPr>
        <w:t>´</w:t>
      </w:r>
      <w:r w:rsidRPr="00B4699E">
        <w:rPr>
          <w:rFonts w:ascii="Times New Roman" w:hAnsi="Times New Roman" w:cs="Times New Roman"/>
          <w:sz w:val="24"/>
          <w:szCs w:val="24"/>
        </w:rPr>
        <w:t>ambtsdelict</w:t>
      </w:r>
      <w:r w:rsidRPr="00B4699E" w:rsidR="00FC56D4">
        <w:rPr>
          <w:rFonts w:ascii="Times New Roman" w:hAnsi="Times New Roman" w:cs="Times New Roman"/>
          <w:sz w:val="24"/>
          <w:szCs w:val="24"/>
        </w:rPr>
        <w:t>´</w:t>
      </w:r>
      <w:r w:rsidRPr="00B4699E">
        <w:rPr>
          <w:rFonts w:ascii="Times New Roman" w:hAnsi="Times New Roman" w:cs="Times New Roman"/>
          <w:sz w:val="24"/>
          <w:szCs w:val="24"/>
        </w:rPr>
        <w:t xml:space="preserve">. </w:t>
      </w:r>
    </w:p>
    <w:bookmarkEnd w:id="1"/>
    <w:p w:rsidRPr="00B4699E" w:rsidR="00FD588B" w:rsidP="000D66A1" w:rsidRDefault="000D66A1" w14:paraId="75071D45" w14:textId="5A4A6A71">
      <w:pPr>
        <w:rPr>
          <w:rFonts w:ascii="Times New Roman" w:hAnsi="Times New Roman" w:cs="Times New Roman"/>
          <w:i/>
          <w:iCs/>
          <w:sz w:val="24"/>
          <w:szCs w:val="24"/>
        </w:rPr>
      </w:pPr>
      <w:r w:rsidRPr="00B4699E">
        <w:rPr>
          <w:rFonts w:ascii="Times New Roman" w:hAnsi="Times New Roman" w:cs="Times New Roman"/>
          <w:i/>
          <w:iCs/>
          <w:sz w:val="24"/>
          <w:szCs w:val="24"/>
        </w:rPr>
        <w:t>De leden van de NSC-fractie hebben kennisgenomen van het voornemen, gebaseerd op het advies van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om de artikel</w:t>
      </w:r>
      <w:r w:rsidRPr="00B4699E" w:rsidR="00FE575F">
        <w:rPr>
          <w:rFonts w:ascii="Times New Roman" w:hAnsi="Times New Roman" w:cs="Times New Roman"/>
          <w:i/>
          <w:iCs/>
          <w:sz w:val="24"/>
          <w:szCs w:val="24"/>
        </w:rPr>
        <w:t>en</w:t>
      </w:r>
      <w:r w:rsidRPr="00B4699E">
        <w:rPr>
          <w:rFonts w:ascii="Times New Roman" w:hAnsi="Times New Roman" w:cs="Times New Roman"/>
          <w:i/>
          <w:iCs/>
          <w:sz w:val="24"/>
          <w:szCs w:val="24"/>
        </w:rPr>
        <w:t xml:space="preserve"> 355 en 356 te schrappen uit het Wetboek van Strafrecht. Deze leden vinden dat strafrechtelijke bepalingen voldoende concreet moeten zijn gedefinieerd en dat artikelen die niet aan deze maatstaven voldoen mogelijk in strijd zijn met het legaliteitsbeginsel. De minister is van oordeel dat het niet nodig is om voornoemde artikelen te vervangen door beter gedefinieerde bepalingen, maar dat kan worden volstaan met een schrapping. De minister merkt in de brief echter ook op dat een argument vóór behoud van de strafbepalingen zou zijn dat deze bepalingen uitdrukking geven aan de norm dat ook bewindspersonen zich in hun ambt altijd aan de (Grond)wet moeten houden. Ook zouden deze strafbepalingen in zeer extreme situaties mogelijk als noodrem kunnen fungeren, zo schrijft de minister. Kan de minister dit nader toelichten en daarbij nader ingaan op de vraag wat “zeer extreme situaties” zouden kunnen zijn waarvoor na schrapping van de artikelen wellicht onvoldoende een strafrechtelijk vangnet bestaat?</w:t>
      </w:r>
    </w:p>
    <w:p w:rsidRPr="00B4699E" w:rsidR="000D66A1" w:rsidP="000D66A1" w:rsidRDefault="00E33D87" w14:paraId="54F8EFBC" w14:textId="23D4C06A">
      <w:pPr>
        <w:rPr>
          <w:rFonts w:ascii="Times New Roman" w:hAnsi="Times New Roman" w:cs="Times New Roman"/>
          <w:i/>
          <w:iCs/>
          <w:sz w:val="24"/>
          <w:szCs w:val="24"/>
        </w:rPr>
      </w:pPr>
      <w:r w:rsidRPr="00B4699E">
        <w:rPr>
          <w:rFonts w:ascii="Times New Roman" w:hAnsi="Times New Roman" w:cs="Times New Roman"/>
          <w:sz w:val="24"/>
          <w:szCs w:val="24"/>
        </w:rPr>
        <w:lastRenderedPageBreak/>
        <w:t>De opmerking dat de artikelen 355 en 356 Sr in zeer extreme situaties als noodrem zouden kunnen fungeren houdt vooral verband met de (theoretische) mogelijkheid dat een bewindspersoon opzettelijk in strijd handelt met de (Grond)wet en zich daarbij niet laat weerhouden door de gevolgen die de parlementaire controlemechanismen aan dit handelen (kunnen) verbinden. De mogelijkheid van strafrechtelijke vervolging kan in dit verband worden beschouwd als een uiterste waarborg om te voorkomen dat bewindspersonen in strijd met de (Grond)wet handelen. Om ook in de praktijk als een zodanige waarborg te kunnen functioneren, is echter wel van belang dat in de voorkomende uitzonderlijke gevallen een vervolging en veroordeling wegens de artikelen 355 en 356 Sr ook reële mogelijkheden zijn. Dit laatste is zeer twijfelachtig, met name omdat deze artikelen op gespannen voet staan met het legaliteitsbeginsel (zie de paragrafen 5.13 en 6.4.2 uit het rapport-</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Het voorgaande, tezamen met het feit dat het belang van de artikelen 355 en 356 Sr is gemarginaliseerd door de invoering van de politieke ministeriële verantwoordelijkheid in 1848</w:t>
      </w:r>
      <w:r w:rsidRPr="00B4699E" w:rsidR="005E10D8">
        <w:rPr>
          <w:rFonts w:ascii="Times New Roman" w:hAnsi="Times New Roman" w:cs="Times New Roman"/>
          <w:sz w:val="24"/>
          <w:szCs w:val="24"/>
        </w:rPr>
        <w:t xml:space="preserve"> en het feit dat veel van de gedragingen die mogelijk onder het bereik van de artikelen 355 en 356 Sr vallen, elders in het Wetboek van Strafrecht specifiek strafbaar zijn gesteld</w:t>
      </w:r>
      <w:r w:rsidRPr="00B4699E">
        <w:rPr>
          <w:rFonts w:ascii="Times New Roman" w:hAnsi="Times New Roman" w:cs="Times New Roman"/>
          <w:sz w:val="24"/>
          <w:szCs w:val="24"/>
        </w:rPr>
        <w:t>, maken dat de argumenten voor schrapping van deze artikelen naar het oordeel van het kabinet zwaarder wegen dan de hiervoor omschreven (theoretische) waarborgfunctie van die artikelen.</w:t>
      </w:r>
      <w:r w:rsidRPr="00B4699E" w:rsidR="002D12F6">
        <w:rPr>
          <w:rFonts w:ascii="Times New Roman" w:hAnsi="Times New Roman" w:cs="Times New Roman"/>
          <w:sz w:val="24"/>
          <w:szCs w:val="24"/>
        </w:rPr>
        <w:t xml:space="preserve"> Wij verwijzen in dit verband verder naar de beantwoording hierboven van hierop betrekking hebbende vragen van de leden van de GroenLinks-PvdA-fractie.</w:t>
      </w:r>
    </w:p>
    <w:p w:rsidRPr="00B4699E" w:rsidR="005B0E19" w:rsidP="005B0E19" w:rsidRDefault="001D01D0" w14:paraId="2D166CB1" w14:textId="77777777">
      <w:pPr>
        <w:rPr>
          <w:rFonts w:ascii="Times New Roman" w:hAnsi="Times New Roman" w:cs="Times New Roman"/>
          <w:b/>
          <w:bCs/>
          <w:sz w:val="24"/>
          <w:szCs w:val="24"/>
        </w:rPr>
      </w:pPr>
      <w:r w:rsidRPr="00B4699E">
        <w:rPr>
          <w:rFonts w:ascii="Times New Roman" w:hAnsi="Times New Roman" w:cs="Times New Roman"/>
          <w:b/>
          <w:bCs/>
          <w:sz w:val="24"/>
          <w:szCs w:val="24"/>
        </w:rPr>
        <w:t xml:space="preserve">Vragen </w:t>
      </w:r>
      <w:r w:rsidRPr="00B4699E" w:rsidR="00EC1FB7">
        <w:rPr>
          <w:rFonts w:ascii="Times New Roman" w:hAnsi="Times New Roman" w:cs="Times New Roman"/>
          <w:b/>
          <w:bCs/>
          <w:sz w:val="24"/>
          <w:szCs w:val="24"/>
        </w:rPr>
        <w:t xml:space="preserve">en opmerkingen </w:t>
      </w:r>
      <w:r w:rsidRPr="00B4699E">
        <w:rPr>
          <w:rFonts w:ascii="Times New Roman" w:hAnsi="Times New Roman" w:cs="Times New Roman"/>
          <w:b/>
          <w:bCs/>
          <w:sz w:val="24"/>
          <w:szCs w:val="24"/>
        </w:rPr>
        <w:t>van de leden van de D66-fractie</w:t>
      </w:r>
      <w:r w:rsidRPr="00B4699E" w:rsidR="005B0E19">
        <w:rPr>
          <w:rFonts w:ascii="Times New Roman" w:hAnsi="Times New Roman" w:cs="Times New Roman"/>
          <w:b/>
          <w:bCs/>
          <w:sz w:val="24"/>
          <w:szCs w:val="24"/>
        </w:rPr>
        <w:t xml:space="preserve"> en reactie van de bewindspersonen</w:t>
      </w:r>
    </w:p>
    <w:p w:rsidRPr="00B4699E" w:rsidR="00EC1FB7" w:rsidP="00776078" w:rsidRDefault="00EC1FB7" w14:paraId="1519B5BC" w14:textId="518937B5">
      <w:pPr>
        <w:rPr>
          <w:rFonts w:ascii="Times New Roman" w:hAnsi="Times New Roman" w:cs="Times New Roman"/>
          <w:i/>
          <w:iCs/>
          <w:sz w:val="24"/>
          <w:szCs w:val="24"/>
        </w:rPr>
      </w:pPr>
      <w:r w:rsidRPr="00B4699E">
        <w:rPr>
          <w:rFonts w:ascii="Times New Roman" w:hAnsi="Times New Roman" w:cs="Times New Roman"/>
          <w:i/>
          <w:iCs/>
          <w:sz w:val="24"/>
          <w:szCs w:val="24"/>
        </w:rPr>
        <w:t>De leden van de D66-fractie hebben kennisgenomen van de beoogde herziening van de wetgeving over ambtsdelicten van Kamerleden en bewindspersonen en hebben hier nog een aantal vragen over.</w:t>
      </w:r>
    </w:p>
    <w:p w:rsidRPr="00B4699E" w:rsidR="00776078" w:rsidP="00776078" w:rsidRDefault="00776078" w14:paraId="7E2C7BF1" w14:textId="10793602">
      <w:pPr>
        <w:rPr>
          <w:rFonts w:ascii="Times New Roman" w:hAnsi="Times New Roman" w:cs="Times New Roman"/>
          <w:i/>
          <w:iCs/>
          <w:sz w:val="24"/>
          <w:szCs w:val="24"/>
        </w:rPr>
      </w:pPr>
      <w:r w:rsidRPr="00B4699E">
        <w:rPr>
          <w:rFonts w:ascii="Times New Roman" w:hAnsi="Times New Roman" w:cs="Times New Roman"/>
          <w:i/>
          <w:iCs/>
          <w:sz w:val="24"/>
          <w:szCs w:val="24"/>
        </w:rPr>
        <w:t xml:space="preserve">De leden van de D66-fractie constateren dat enerzijds een sanctiemogelijkheid bestaat jegens Kamerleden op grond van het Reglement van Orde, en dat anderzijds een strafrechtelijke procedure kan worden ingesteld tegen een Kamerlid bij de Hoge Raad op grond van artikel 119 van de Grondwet. Deze leden constateren dat de twee voornoemde procedures in aard en in zwaarte ver uit elkaar liggen, en zij constateren dat de er situaties denkbaar zijn waarin de sanctioneringsmogelijkheid op grond van het Reglement van Orde te licht wordt geacht in verhouding tot het laakbare handelen van een Kamerlid, maar een strafrechtelijke procedure bij de Hoge Raad te zwaar. Kan de minister uiteenzetten of er behalve de twee voornoemde procedures andere mogelijkheden zijn ter bestrijding van laakbaar handelen door Kamerleden, waarmee kan worden voorzien in dergelijke gevallen? </w:t>
      </w:r>
    </w:p>
    <w:p w:rsidRPr="00B4699E" w:rsidR="002F6577" w:rsidP="002F6577" w:rsidRDefault="00733573" w14:paraId="0E770A8A" w14:textId="120317BD">
      <w:pPr>
        <w:rPr>
          <w:rFonts w:ascii="Times New Roman" w:hAnsi="Times New Roman" w:cs="Times New Roman"/>
          <w:sz w:val="24"/>
          <w:szCs w:val="24"/>
        </w:rPr>
      </w:pPr>
      <w:r w:rsidRPr="00B4699E">
        <w:rPr>
          <w:rFonts w:ascii="Times New Roman" w:hAnsi="Times New Roman" w:cs="Times New Roman"/>
          <w:sz w:val="24"/>
          <w:szCs w:val="24"/>
        </w:rPr>
        <w:t xml:space="preserve">Er moet inderdaad </w:t>
      </w:r>
      <w:r w:rsidRPr="00B4699E" w:rsidR="005F1D74">
        <w:rPr>
          <w:rFonts w:ascii="Times New Roman" w:hAnsi="Times New Roman" w:cs="Times New Roman"/>
          <w:sz w:val="24"/>
          <w:szCs w:val="24"/>
        </w:rPr>
        <w:t xml:space="preserve">onderscheid </w:t>
      </w:r>
      <w:r w:rsidRPr="00B4699E">
        <w:rPr>
          <w:rFonts w:ascii="Times New Roman" w:hAnsi="Times New Roman" w:cs="Times New Roman"/>
          <w:sz w:val="24"/>
          <w:szCs w:val="24"/>
        </w:rPr>
        <w:t xml:space="preserve">worden gemaakt </w:t>
      </w:r>
      <w:r w:rsidRPr="00B4699E" w:rsidR="005F1D74">
        <w:rPr>
          <w:rFonts w:ascii="Times New Roman" w:hAnsi="Times New Roman" w:cs="Times New Roman"/>
          <w:sz w:val="24"/>
          <w:szCs w:val="24"/>
        </w:rPr>
        <w:t xml:space="preserve">tussen de mogelijkheid van strafrechtelijke vervolging van Kamerleden en de mogelijkheid van de Kamer om op basis van interne reglementen Kamerleden te sanctioneren. In het Reglement van Orde van </w:t>
      </w:r>
      <w:r w:rsidRPr="00B4699E" w:rsidR="00DF480D">
        <w:rPr>
          <w:rFonts w:ascii="Times New Roman" w:hAnsi="Times New Roman" w:cs="Times New Roman"/>
          <w:sz w:val="24"/>
          <w:szCs w:val="24"/>
        </w:rPr>
        <w:t xml:space="preserve">de Tweede </w:t>
      </w:r>
      <w:r w:rsidRPr="00B4699E" w:rsidR="005F1D74">
        <w:rPr>
          <w:rFonts w:ascii="Times New Roman" w:hAnsi="Times New Roman" w:cs="Times New Roman"/>
          <w:sz w:val="24"/>
          <w:szCs w:val="24"/>
        </w:rPr>
        <w:t xml:space="preserve">Kamer zijn verschillende bepalingen opgenomen om onder meer een ordelijk verloop van de vergaderingen te waarborgen. Daarin zijn bevoegdheden opgenomen voor de voorzitter van </w:t>
      </w:r>
      <w:r w:rsidRPr="00B4699E" w:rsidR="00DF480D">
        <w:rPr>
          <w:rFonts w:ascii="Times New Roman" w:hAnsi="Times New Roman" w:cs="Times New Roman"/>
          <w:sz w:val="24"/>
          <w:szCs w:val="24"/>
        </w:rPr>
        <w:t>de Tweede</w:t>
      </w:r>
      <w:r w:rsidRPr="00B4699E" w:rsidR="005F1D74">
        <w:rPr>
          <w:rFonts w:ascii="Times New Roman" w:hAnsi="Times New Roman" w:cs="Times New Roman"/>
          <w:sz w:val="24"/>
          <w:szCs w:val="24"/>
        </w:rPr>
        <w:t xml:space="preserve"> Kamer om in voorkomende gevallen op te treden tegen bijvoorbeeld bedreiging of verstoring van de orde. Deze bevoegdheden zijn echter geen strafrechtelijke bevoegdheden. </w:t>
      </w:r>
      <w:r w:rsidRPr="00B4699E" w:rsidR="005F1D74">
        <w:rPr>
          <w:rFonts w:ascii="Times New Roman" w:hAnsi="Times New Roman" w:cs="Times New Roman"/>
          <w:sz w:val="24"/>
          <w:szCs w:val="24"/>
        </w:rPr>
        <w:lastRenderedPageBreak/>
        <w:t xml:space="preserve">Dat geldt voor het toezicht op de naleving en sanctionering van de bepalingen uit de Gedragscode voor leden van </w:t>
      </w:r>
      <w:r w:rsidRPr="00B4699E" w:rsidR="00DF480D">
        <w:rPr>
          <w:rFonts w:ascii="Times New Roman" w:hAnsi="Times New Roman" w:cs="Times New Roman"/>
          <w:sz w:val="24"/>
          <w:szCs w:val="24"/>
        </w:rPr>
        <w:t>de Tweede</w:t>
      </w:r>
      <w:r w:rsidRPr="00B4699E" w:rsidR="005F1D74">
        <w:rPr>
          <w:rFonts w:ascii="Times New Roman" w:hAnsi="Times New Roman" w:cs="Times New Roman"/>
          <w:sz w:val="24"/>
          <w:szCs w:val="24"/>
        </w:rPr>
        <w:t xml:space="preserve"> Kamer evenmin. Zowel de vaststelling van de inhoud van deze interne reglementen van </w:t>
      </w:r>
      <w:r w:rsidRPr="00B4699E" w:rsidR="00DF480D">
        <w:rPr>
          <w:rFonts w:ascii="Times New Roman" w:hAnsi="Times New Roman" w:cs="Times New Roman"/>
          <w:sz w:val="24"/>
          <w:szCs w:val="24"/>
        </w:rPr>
        <w:t>de Tweede</w:t>
      </w:r>
      <w:r w:rsidRPr="00B4699E" w:rsidR="005F1D74">
        <w:rPr>
          <w:rFonts w:ascii="Times New Roman" w:hAnsi="Times New Roman" w:cs="Times New Roman"/>
          <w:sz w:val="24"/>
          <w:szCs w:val="24"/>
        </w:rPr>
        <w:t xml:space="preserve"> Kamer als het toezicht en de naleving daarvan is bij uitstek een bevoegdheid van </w:t>
      </w:r>
      <w:r w:rsidRPr="00B4699E" w:rsidR="00DF480D">
        <w:rPr>
          <w:rFonts w:ascii="Times New Roman" w:hAnsi="Times New Roman" w:cs="Times New Roman"/>
          <w:sz w:val="24"/>
          <w:szCs w:val="24"/>
        </w:rPr>
        <w:t>de Tweede</w:t>
      </w:r>
      <w:r w:rsidRPr="00B4699E" w:rsidR="005F1D74">
        <w:rPr>
          <w:rFonts w:ascii="Times New Roman" w:hAnsi="Times New Roman" w:cs="Times New Roman"/>
          <w:sz w:val="24"/>
          <w:szCs w:val="24"/>
        </w:rPr>
        <w:t xml:space="preserve"> Kamer. Strafrechtelijke vervolging van Kamerleden kan plaatsvinden ingeval van een ambtsdelict of een commuun delict. Voor de vervolging en berechting van ambtsdelicten geldt de bijzondere procedure als bedoeld in artikel 119 van de Grondwet en de daaronder liggende wetgeving. Voor de opsporing, vervolging en berechting van andere strafbare feiten geldt het reguliere strafprocesrecht. </w:t>
      </w:r>
    </w:p>
    <w:p w:rsidRPr="00B4699E" w:rsidR="00776078" w:rsidP="00776078" w:rsidRDefault="00776078" w14:paraId="0B9BD227" w14:textId="77777777">
      <w:pPr>
        <w:rPr>
          <w:rFonts w:ascii="Times New Roman" w:hAnsi="Times New Roman" w:cs="Times New Roman"/>
          <w:i/>
          <w:iCs/>
          <w:sz w:val="24"/>
          <w:szCs w:val="24"/>
        </w:rPr>
      </w:pPr>
      <w:r w:rsidRPr="00B4699E">
        <w:rPr>
          <w:rFonts w:ascii="Times New Roman" w:hAnsi="Times New Roman" w:cs="Times New Roman"/>
          <w:i/>
          <w:iCs/>
          <w:sz w:val="24"/>
          <w:szCs w:val="24"/>
        </w:rPr>
        <w:t xml:space="preserve">De leden van de D66-fractie stellen dat het in de praktijk lastig kan zijn om ambtsdelicten te onderscheiden van commune delicten gepleegd door Kamerleden of bewindspersonen. Kan de minister nader uiteenzetten wanneer sprake is van een ambtsdelict en wanneer sprake is van een commuun delict gepleegd door een ambtsdrager? </w:t>
      </w:r>
    </w:p>
    <w:p w:rsidRPr="00B4699E" w:rsidR="002736E0" w:rsidP="00776078" w:rsidRDefault="00763C5F" w14:paraId="3B844CB5" w14:textId="77777777">
      <w:pPr>
        <w:rPr>
          <w:rFonts w:ascii="Times New Roman" w:hAnsi="Times New Roman" w:cs="Times New Roman"/>
          <w:sz w:val="24"/>
          <w:szCs w:val="24"/>
        </w:rPr>
      </w:pPr>
      <w:r w:rsidRPr="00B4699E">
        <w:rPr>
          <w:rFonts w:ascii="Times New Roman" w:hAnsi="Times New Roman" w:cs="Times New Roman"/>
          <w:sz w:val="24"/>
          <w:szCs w:val="24"/>
        </w:rPr>
        <w:t xml:space="preserve">Voor het antwoord op deze vraag verwijzen wij naar ons eerdere antwoord op een vraag van de leden van de NSC-fractie over de reikwijdte van het begrip </w:t>
      </w:r>
      <w:r w:rsidRPr="00B4699E" w:rsidR="00FC56D4">
        <w:rPr>
          <w:rFonts w:ascii="Times New Roman" w:hAnsi="Times New Roman" w:cs="Times New Roman"/>
          <w:sz w:val="24"/>
          <w:szCs w:val="24"/>
        </w:rPr>
        <w:t>´</w:t>
      </w:r>
      <w:r w:rsidRPr="00B4699E">
        <w:rPr>
          <w:rFonts w:ascii="Times New Roman" w:hAnsi="Times New Roman" w:cs="Times New Roman"/>
          <w:sz w:val="24"/>
          <w:szCs w:val="24"/>
        </w:rPr>
        <w:t>ambtsdelict</w:t>
      </w:r>
      <w:r w:rsidRPr="00B4699E" w:rsidR="00FC56D4">
        <w:rPr>
          <w:rFonts w:ascii="Times New Roman" w:hAnsi="Times New Roman" w:cs="Times New Roman"/>
          <w:sz w:val="24"/>
          <w:szCs w:val="24"/>
        </w:rPr>
        <w:t>´</w:t>
      </w:r>
      <w:r w:rsidRPr="00B4699E">
        <w:rPr>
          <w:rFonts w:ascii="Times New Roman" w:hAnsi="Times New Roman" w:cs="Times New Roman"/>
          <w:sz w:val="24"/>
          <w:szCs w:val="24"/>
        </w:rPr>
        <w:t xml:space="preserve">. </w:t>
      </w:r>
    </w:p>
    <w:p w:rsidRPr="00B4699E" w:rsidR="00776078" w:rsidP="00776078" w:rsidRDefault="00776078" w14:paraId="73D9D08C" w14:textId="6FAF84BD">
      <w:pPr>
        <w:rPr>
          <w:rFonts w:ascii="Times New Roman" w:hAnsi="Times New Roman" w:cs="Times New Roman"/>
          <w:i/>
          <w:iCs/>
          <w:sz w:val="24"/>
          <w:szCs w:val="24"/>
        </w:rPr>
      </w:pPr>
      <w:r w:rsidRPr="00B4699E">
        <w:rPr>
          <w:rFonts w:ascii="Times New Roman" w:hAnsi="Times New Roman" w:cs="Times New Roman"/>
          <w:i/>
          <w:iCs/>
          <w:sz w:val="24"/>
          <w:szCs w:val="24"/>
        </w:rPr>
        <w:t>De leden van de D66-fractie vragen de minister om uiteen te zetten of een schending van artikel 5 van de Wet schadeloosstelling leden Tweede Kamer gekwalificeerd moet worden als een ambtsmisdrijf.</w:t>
      </w:r>
    </w:p>
    <w:p w:rsidRPr="00B4699E" w:rsidR="00776078" w:rsidP="00776078" w:rsidRDefault="00C13FA1" w14:paraId="3C9C62EC" w14:textId="0DFEB521">
      <w:pPr>
        <w:rPr>
          <w:rFonts w:ascii="Times New Roman" w:hAnsi="Times New Roman" w:cs="Times New Roman"/>
          <w:sz w:val="24"/>
          <w:szCs w:val="24"/>
        </w:rPr>
      </w:pPr>
      <w:r w:rsidRPr="00B4699E">
        <w:rPr>
          <w:rFonts w:ascii="Times New Roman" w:hAnsi="Times New Roman" w:cs="Times New Roman"/>
          <w:sz w:val="24"/>
          <w:szCs w:val="24"/>
        </w:rPr>
        <w:t xml:space="preserve">Artikel 5 van de Wet schadeloosstelling Tweede Kamer bevat een verplichting voor Tweede Kamerleden om hun nevenfuncties en de inkomsten uit hun nevenfuncties openbaar te maken. </w:t>
      </w:r>
      <w:r w:rsidRPr="00B4699E" w:rsidR="00301557">
        <w:rPr>
          <w:rFonts w:ascii="Times New Roman" w:hAnsi="Times New Roman" w:cs="Times New Roman"/>
          <w:sz w:val="24"/>
          <w:szCs w:val="24"/>
        </w:rPr>
        <w:t xml:space="preserve">Overtreding van </w:t>
      </w:r>
      <w:r w:rsidRPr="00B4699E">
        <w:rPr>
          <w:rFonts w:ascii="Times New Roman" w:hAnsi="Times New Roman" w:cs="Times New Roman"/>
          <w:sz w:val="24"/>
          <w:szCs w:val="24"/>
        </w:rPr>
        <w:t xml:space="preserve">dat </w:t>
      </w:r>
      <w:r w:rsidRPr="00B4699E" w:rsidR="00301557">
        <w:rPr>
          <w:rFonts w:ascii="Times New Roman" w:hAnsi="Times New Roman" w:cs="Times New Roman"/>
          <w:sz w:val="24"/>
          <w:szCs w:val="24"/>
        </w:rPr>
        <w:t>artikel kan op zichzelf niet worden gekwalificeerd als een ambts</w:t>
      </w:r>
      <w:r w:rsidRPr="00B4699E" w:rsidR="00763C5F">
        <w:rPr>
          <w:rFonts w:ascii="Times New Roman" w:hAnsi="Times New Roman" w:cs="Times New Roman"/>
          <w:sz w:val="24"/>
          <w:szCs w:val="24"/>
        </w:rPr>
        <w:t>delict</w:t>
      </w:r>
      <w:r w:rsidRPr="00B4699E" w:rsidR="00301557">
        <w:rPr>
          <w:rFonts w:ascii="Times New Roman" w:hAnsi="Times New Roman" w:cs="Times New Roman"/>
          <w:sz w:val="24"/>
          <w:szCs w:val="24"/>
        </w:rPr>
        <w:t>, omdat overtreding van dat artikel niet strafbaar is gesteld. Wel is het denkbaar dat gedragingen die samenhangen met de in dat artikel neergelegde verplichting een ambt</w:t>
      </w:r>
      <w:r w:rsidRPr="00B4699E" w:rsidR="00763C5F">
        <w:rPr>
          <w:rFonts w:ascii="Times New Roman" w:hAnsi="Times New Roman" w:cs="Times New Roman"/>
          <w:sz w:val="24"/>
          <w:szCs w:val="24"/>
        </w:rPr>
        <w:t>sdelict</w:t>
      </w:r>
      <w:r w:rsidRPr="00B4699E" w:rsidR="00301557">
        <w:rPr>
          <w:rFonts w:ascii="Times New Roman" w:hAnsi="Times New Roman" w:cs="Times New Roman"/>
          <w:sz w:val="24"/>
          <w:szCs w:val="24"/>
        </w:rPr>
        <w:t xml:space="preserve"> kunnen opleveren. Daarbij kan bijvoorbeeld worden gedacht </w:t>
      </w:r>
      <w:r w:rsidRPr="00B4699E">
        <w:rPr>
          <w:rFonts w:ascii="Times New Roman" w:hAnsi="Times New Roman" w:cs="Times New Roman"/>
          <w:sz w:val="24"/>
          <w:szCs w:val="24"/>
        </w:rPr>
        <w:t xml:space="preserve">aan </w:t>
      </w:r>
      <w:r w:rsidRPr="00B4699E" w:rsidR="00320235">
        <w:rPr>
          <w:rFonts w:ascii="Times New Roman" w:hAnsi="Times New Roman" w:cs="Times New Roman"/>
          <w:sz w:val="24"/>
          <w:szCs w:val="24"/>
        </w:rPr>
        <w:t xml:space="preserve">het geval waarin </w:t>
      </w:r>
      <w:r w:rsidRPr="00B4699E" w:rsidR="00301557">
        <w:rPr>
          <w:rFonts w:ascii="Times New Roman" w:hAnsi="Times New Roman" w:cs="Times New Roman"/>
          <w:sz w:val="24"/>
          <w:szCs w:val="24"/>
        </w:rPr>
        <w:t xml:space="preserve">een Kamerlid wel inkomsten uit nevenfuncties opgeeft, maar deze gegevens vervalst. Indien dit wordt gekwalificeerd als valsheid in geschrifte (artikel 225 Sr) </w:t>
      </w:r>
      <w:r w:rsidRPr="00B4699E" w:rsidR="00320235">
        <w:rPr>
          <w:rFonts w:ascii="Times New Roman" w:hAnsi="Times New Roman" w:cs="Times New Roman"/>
          <w:sz w:val="24"/>
          <w:szCs w:val="24"/>
        </w:rPr>
        <w:t>en dit</w:t>
      </w:r>
      <w:r w:rsidRPr="00B4699E" w:rsidR="00301557">
        <w:rPr>
          <w:rFonts w:ascii="Times New Roman" w:hAnsi="Times New Roman" w:cs="Times New Roman"/>
          <w:sz w:val="24"/>
          <w:szCs w:val="24"/>
        </w:rPr>
        <w:t xml:space="preserve"> valt onder de strafverzwarende omstandigheid van artikel 44 Sr, </w:t>
      </w:r>
      <w:r w:rsidRPr="00B4699E" w:rsidR="00320235">
        <w:rPr>
          <w:rFonts w:ascii="Times New Roman" w:hAnsi="Times New Roman" w:cs="Times New Roman"/>
          <w:sz w:val="24"/>
          <w:szCs w:val="24"/>
        </w:rPr>
        <w:t xml:space="preserve">dan </w:t>
      </w:r>
      <w:r w:rsidRPr="00B4699E" w:rsidR="00301557">
        <w:rPr>
          <w:rFonts w:ascii="Times New Roman" w:hAnsi="Times New Roman" w:cs="Times New Roman"/>
          <w:sz w:val="24"/>
          <w:szCs w:val="24"/>
        </w:rPr>
        <w:t>is sprake van een ambts</w:t>
      </w:r>
      <w:r w:rsidRPr="00B4699E" w:rsidR="00763C5F">
        <w:rPr>
          <w:rFonts w:ascii="Times New Roman" w:hAnsi="Times New Roman" w:cs="Times New Roman"/>
          <w:sz w:val="24"/>
          <w:szCs w:val="24"/>
        </w:rPr>
        <w:t>delict</w:t>
      </w:r>
      <w:r w:rsidRPr="00B4699E" w:rsidR="00301557">
        <w:rPr>
          <w:rFonts w:ascii="Times New Roman" w:hAnsi="Times New Roman" w:cs="Times New Roman"/>
          <w:sz w:val="24"/>
          <w:szCs w:val="24"/>
        </w:rPr>
        <w:t xml:space="preserve">. </w:t>
      </w:r>
    </w:p>
    <w:p w:rsidRPr="00B4699E" w:rsidR="00776078" w:rsidP="00776078" w:rsidRDefault="00776078" w14:paraId="098E0627" w14:textId="06227569">
      <w:pPr>
        <w:rPr>
          <w:rFonts w:ascii="Times New Roman" w:hAnsi="Times New Roman" w:cs="Times New Roman"/>
          <w:i/>
          <w:iCs/>
          <w:sz w:val="24"/>
          <w:szCs w:val="24"/>
        </w:rPr>
      </w:pPr>
      <w:r w:rsidRPr="00B4699E">
        <w:rPr>
          <w:rFonts w:ascii="Times New Roman" w:hAnsi="Times New Roman" w:cs="Times New Roman"/>
          <w:i/>
          <w:iCs/>
          <w:sz w:val="24"/>
          <w:szCs w:val="24"/>
        </w:rPr>
        <w:t>De leden van de D66-fractie onderschrijven het voorstel van de minister om de algemene en bijzondere aanwijzingsbevoegdheid van de minister van Justitie en Veiligheid jegens het OM niet van toepassing te laten zijn op onderzoeken van de PGHR en de leden van het OM die in opdracht van de PGHR aan een opsporingsonderzoek deelnemen in geval van onderzoek naar een ambtsmisdrijf. Deze leden achten dit juist, gezien de bijzondere aard van de delicten en het risico op politieke beïnvloeding daarbij. De minister kiest er niet voor om de algemene en bijzondere aanwijzingsbevoegdheid te schrappen in bij vervolging van een ambtsdrager voor een commuun delict. Kan de minister toelichten waarom in het geval van vervolging van commune delicten gepleegd door ambtsdragers niet is gekozen voor het schrappen van de aanwijzingsbevoegdheid, nu ook in die gevallen sprake is van een groot risico op politieke beïnvloeding van een zaak?</w:t>
      </w:r>
    </w:p>
    <w:p w:rsidRPr="00B4699E" w:rsidR="00E66CFE" w:rsidP="003F1019" w:rsidRDefault="00ED274D" w14:paraId="7FCA7DC6" w14:textId="7F7761D1">
      <w:pPr>
        <w:rPr>
          <w:rFonts w:ascii="Times New Roman" w:hAnsi="Times New Roman" w:cs="Times New Roman"/>
          <w:sz w:val="24"/>
          <w:szCs w:val="24"/>
        </w:rPr>
      </w:pPr>
      <w:r w:rsidRPr="00B4699E">
        <w:rPr>
          <w:rFonts w:ascii="Times New Roman" w:hAnsi="Times New Roman" w:cs="Times New Roman"/>
          <w:sz w:val="24"/>
          <w:szCs w:val="24"/>
        </w:rPr>
        <w:t>Het kabinet volgt hierin de aanbevelingen van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op, die ertoe strekken in de tussenfase waarin de Grondwet nog niet aangepast is (spoor I) verschillende praktische knelpunten op te lossen binnen het bestaande grondwettelijk</w:t>
      </w:r>
      <w:r w:rsidRPr="00B4699E" w:rsidR="005F1D74">
        <w:rPr>
          <w:rFonts w:ascii="Times New Roman" w:hAnsi="Times New Roman" w:cs="Times New Roman"/>
          <w:sz w:val="24"/>
          <w:szCs w:val="24"/>
        </w:rPr>
        <w:t>e</w:t>
      </w:r>
      <w:r w:rsidRPr="00B4699E">
        <w:rPr>
          <w:rFonts w:ascii="Times New Roman" w:hAnsi="Times New Roman" w:cs="Times New Roman"/>
          <w:sz w:val="24"/>
          <w:szCs w:val="24"/>
        </w:rPr>
        <w:t xml:space="preserve"> kader. Een belangrijke </w:t>
      </w:r>
      <w:r w:rsidRPr="00B4699E">
        <w:rPr>
          <w:rFonts w:ascii="Times New Roman" w:hAnsi="Times New Roman" w:cs="Times New Roman"/>
          <w:sz w:val="24"/>
          <w:szCs w:val="24"/>
        </w:rPr>
        <w:lastRenderedPageBreak/>
        <w:t xml:space="preserve">wijziging daarbij is dat de </w:t>
      </w:r>
      <w:r w:rsidRPr="00B4699E" w:rsidR="002B18FF">
        <w:rPr>
          <w:rFonts w:ascii="Times New Roman" w:hAnsi="Times New Roman" w:cs="Times New Roman"/>
          <w:sz w:val="24"/>
          <w:szCs w:val="24"/>
        </w:rPr>
        <w:t>PGHR</w:t>
      </w:r>
      <w:r w:rsidRPr="00B4699E">
        <w:rPr>
          <w:rFonts w:ascii="Times New Roman" w:hAnsi="Times New Roman" w:cs="Times New Roman"/>
          <w:sz w:val="24"/>
          <w:szCs w:val="24"/>
        </w:rPr>
        <w:t xml:space="preserve"> een centralere rol krijgt in de opsporing, waarmee belangrijke knelpunten in de (onwerkbaar gebleken) procedure voor opsporing van ambtsdelicten </w:t>
      </w:r>
      <w:r w:rsidRPr="00B4699E" w:rsidR="0056595E">
        <w:rPr>
          <w:rFonts w:ascii="Times New Roman" w:hAnsi="Times New Roman" w:cs="Times New Roman"/>
          <w:sz w:val="24"/>
          <w:szCs w:val="24"/>
        </w:rPr>
        <w:t xml:space="preserve">begaan door Kamerleden of bewindspersonen </w:t>
      </w:r>
      <w:r w:rsidRPr="00B4699E">
        <w:rPr>
          <w:rFonts w:ascii="Times New Roman" w:hAnsi="Times New Roman" w:cs="Times New Roman"/>
          <w:sz w:val="24"/>
          <w:szCs w:val="24"/>
        </w:rPr>
        <w:t>worden weggenomen. Deze centralere rol laat onverlet dat in spoor I</w:t>
      </w:r>
      <w:r w:rsidRPr="00B4699E" w:rsidR="009907B1">
        <w:rPr>
          <w:rFonts w:ascii="Times New Roman" w:hAnsi="Times New Roman" w:cs="Times New Roman"/>
          <w:sz w:val="24"/>
          <w:szCs w:val="24"/>
        </w:rPr>
        <w:t xml:space="preserve"> (net als </w:t>
      </w:r>
      <w:r w:rsidRPr="00B4699E" w:rsidR="00763C5F">
        <w:rPr>
          <w:rFonts w:ascii="Times New Roman" w:hAnsi="Times New Roman" w:cs="Times New Roman"/>
          <w:sz w:val="24"/>
          <w:szCs w:val="24"/>
        </w:rPr>
        <w:t>nu</w:t>
      </w:r>
      <w:r w:rsidRPr="00B4699E" w:rsidR="009907B1">
        <w:rPr>
          <w:rFonts w:ascii="Times New Roman" w:hAnsi="Times New Roman" w:cs="Times New Roman"/>
          <w:sz w:val="24"/>
          <w:szCs w:val="24"/>
        </w:rPr>
        <w:t xml:space="preserve"> het geval is)</w:t>
      </w:r>
      <w:r w:rsidRPr="00B4699E">
        <w:rPr>
          <w:rFonts w:ascii="Times New Roman" w:hAnsi="Times New Roman" w:cs="Times New Roman"/>
          <w:sz w:val="24"/>
          <w:szCs w:val="24"/>
        </w:rPr>
        <w:t xml:space="preserve"> de regering en de Tweede Kamer bevoegd zijn om strafrechtelijke vervolging te initiëren, waar in commune strafzaken het </w:t>
      </w:r>
      <w:r w:rsidRPr="00B4699E" w:rsidR="002B18FF">
        <w:rPr>
          <w:rFonts w:ascii="Times New Roman" w:hAnsi="Times New Roman" w:cs="Times New Roman"/>
          <w:sz w:val="24"/>
          <w:szCs w:val="24"/>
        </w:rPr>
        <w:t>OM</w:t>
      </w:r>
      <w:r w:rsidRPr="00B4699E">
        <w:rPr>
          <w:rFonts w:ascii="Times New Roman" w:hAnsi="Times New Roman" w:cs="Times New Roman"/>
          <w:sz w:val="24"/>
          <w:szCs w:val="24"/>
        </w:rPr>
        <w:t xml:space="preserve"> bevoegd is. </w:t>
      </w:r>
      <w:r w:rsidRPr="00B4699E" w:rsidR="009907B1">
        <w:rPr>
          <w:rFonts w:ascii="Times New Roman" w:hAnsi="Times New Roman" w:cs="Times New Roman"/>
          <w:sz w:val="24"/>
          <w:szCs w:val="24"/>
        </w:rPr>
        <w:t xml:space="preserve">Dit verschil werkt door in de wijze waarop de </w:t>
      </w:r>
      <w:r w:rsidRPr="00B4699E" w:rsidR="0056595E">
        <w:rPr>
          <w:rFonts w:ascii="Times New Roman" w:hAnsi="Times New Roman" w:cs="Times New Roman"/>
          <w:sz w:val="24"/>
          <w:szCs w:val="24"/>
        </w:rPr>
        <w:t>ministeriële</w:t>
      </w:r>
      <w:r w:rsidRPr="00B4699E" w:rsidR="009907B1">
        <w:rPr>
          <w:rFonts w:ascii="Times New Roman" w:hAnsi="Times New Roman" w:cs="Times New Roman"/>
          <w:sz w:val="24"/>
          <w:szCs w:val="24"/>
        </w:rPr>
        <w:t xml:space="preserve"> verantwoordelijkheid en het afleggen van verantwoording aan het parlement </w:t>
      </w:r>
      <w:r w:rsidRPr="00B4699E" w:rsidR="005F1D74">
        <w:rPr>
          <w:rFonts w:ascii="Times New Roman" w:hAnsi="Times New Roman" w:cs="Times New Roman"/>
          <w:sz w:val="24"/>
          <w:szCs w:val="24"/>
        </w:rPr>
        <w:t>zijn</w:t>
      </w:r>
      <w:r w:rsidRPr="00B4699E" w:rsidR="009907B1">
        <w:rPr>
          <w:rFonts w:ascii="Times New Roman" w:hAnsi="Times New Roman" w:cs="Times New Roman"/>
          <w:sz w:val="24"/>
          <w:szCs w:val="24"/>
        </w:rPr>
        <w:t xml:space="preserve"> georganiseerd. Waar de Tweede Kamer of de regering zelf </w:t>
      </w:r>
      <w:r w:rsidRPr="00B4699E" w:rsidR="0056595E">
        <w:rPr>
          <w:rFonts w:ascii="Times New Roman" w:hAnsi="Times New Roman" w:cs="Times New Roman"/>
          <w:sz w:val="24"/>
          <w:szCs w:val="24"/>
        </w:rPr>
        <w:t>de vervolgingsbeslissing neemt</w:t>
      </w:r>
      <w:r w:rsidRPr="00B4699E" w:rsidR="009907B1">
        <w:rPr>
          <w:rFonts w:ascii="Times New Roman" w:hAnsi="Times New Roman" w:cs="Times New Roman"/>
          <w:sz w:val="24"/>
          <w:szCs w:val="24"/>
        </w:rPr>
        <w:t xml:space="preserve">, </w:t>
      </w:r>
      <w:r w:rsidRPr="00B4699E" w:rsidR="00370444">
        <w:rPr>
          <w:rFonts w:ascii="Times New Roman" w:hAnsi="Times New Roman" w:cs="Times New Roman"/>
          <w:sz w:val="24"/>
          <w:szCs w:val="24"/>
        </w:rPr>
        <w:t xml:space="preserve">is </w:t>
      </w:r>
      <w:r w:rsidRPr="00B4699E" w:rsidR="003F1019">
        <w:rPr>
          <w:rFonts w:ascii="Times New Roman" w:hAnsi="Times New Roman" w:cs="Times New Roman"/>
          <w:sz w:val="24"/>
          <w:szCs w:val="24"/>
        </w:rPr>
        <w:t xml:space="preserve">een aanwijzingsbevoegdheid van de minister jegens het </w:t>
      </w:r>
      <w:r w:rsidRPr="00B4699E" w:rsidR="002B18FF">
        <w:rPr>
          <w:rFonts w:ascii="Times New Roman" w:hAnsi="Times New Roman" w:cs="Times New Roman"/>
          <w:sz w:val="24"/>
          <w:szCs w:val="24"/>
        </w:rPr>
        <w:t>OM</w:t>
      </w:r>
      <w:r w:rsidRPr="00B4699E" w:rsidR="00370444">
        <w:rPr>
          <w:rFonts w:ascii="Times New Roman" w:hAnsi="Times New Roman" w:cs="Times New Roman"/>
          <w:sz w:val="24"/>
          <w:szCs w:val="24"/>
        </w:rPr>
        <w:t xml:space="preserve"> niet aan de orde</w:t>
      </w:r>
      <w:r w:rsidRPr="00B4699E" w:rsidR="003F1019">
        <w:rPr>
          <w:rFonts w:ascii="Times New Roman" w:hAnsi="Times New Roman" w:cs="Times New Roman"/>
          <w:sz w:val="24"/>
          <w:szCs w:val="24"/>
        </w:rPr>
        <w:t xml:space="preserve">. Waar het </w:t>
      </w:r>
      <w:r w:rsidRPr="00B4699E" w:rsidR="002B18FF">
        <w:rPr>
          <w:rFonts w:ascii="Times New Roman" w:hAnsi="Times New Roman" w:cs="Times New Roman"/>
          <w:sz w:val="24"/>
          <w:szCs w:val="24"/>
        </w:rPr>
        <w:t>OM</w:t>
      </w:r>
      <w:r w:rsidRPr="00B4699E" w:rsidR="003F1019">
        <w:rPr>
          <w:rFonts w:ascii="Times New Roman" w:hAnsi="Times New Roman" w:cs="Times New Roman"/>
          <w:sz w:val="24"/>
          <w:szCs w:val="24"/>
        </w:rPr>
        <w:t xml:space="preserve"> wel zelfstandig opereert</w:t>
      </w:r>
      <w:r w:rsidRPr="00B4699E" w:rsidR="00370444">
        <w:rPr>
          <w:rFonts w:ascii="Times New Roman" w:hAnsi="Times New Roman" w:cs="Times New Roman"/>
          <w:sz w:val="24"/>
          <w:szCs w:val="24"/>
        </w:rPr>
        <w:t xml:space="preserve"> en zelfstandig </w:t>
      </w:r>
      <w:r w:rsidRPr="00B4699E" w:rsidR="00551DA3">
        <w:rPr>
          <w:rFonts w:ascii="Times New Roman" w:hAnsi="Times New Roman" w:cs="Times New Roman"/>
          <w:sz w:val="24"/>
          <w:szCs w:val="24"/>
        </w:rPr>
        <w:t>de vervolgingsbeslissing neemt</w:t>
      </w:r>
      <w:r w:rsidRPr="00B4699E" w:rsidR="003F1019">
        <w:rPr>
          <w:rFonts w:ascii="Times New Roman" w:hAnsi="Times New Roman" w:cs="Times New Roman"/>
          <w:sz w:val="24"/>
          <w:szCs w:val="24"/>
        </w:rPr>
        <w:t xml:space="preserve">, zoals in commune strafzaken het geval is, dient deze aanwijzingsbevoegdheid jegens het </w:t>
      </w:r>
      <w:r w:rsidRPr="00B4699E" w:rsidR="002B18FF">
        <w:rPr>
          <w:rFonts w:ascii="Times New Roman" w:hAnsi="Times New Roman" w:cs="Times New Roman"/>
          <w:sz w:val="24"/>
          <w:szCs w:val="24"/>
        </w:rPr>
        <w:t>OM</w:t>
      </w:r>
      <w:r w:rsidRPr="00B4699E" w:rsidR="003F1019">
        <w:rPr>
          <w:rFonts w:ascii="Times New Roman" w:hAnsi="Times New Roman" w:cs="Times New Roman"/>
          <w:sz w:val="24"/>
          <w:szCs w:val="24"/>
        </w:rPr>
        <w:t xml:space="preserve"> </w:t>
      </w:r>
      <w:r w:rsidRPr="00B4699E" w:rsidR="00370444">
        <w:rPr>
          <w:rFonts w:ascii="Times New Roman" w:hAnsi="Times New Roman" w:cs="Times New Roman"/>
          <w:sz w:val="24"/>
          <w:szCs w:val="24"/>
        </w:rPr>
        <w:t xml:space="preserve">het doel van </w:t>
      </w:r>
      <w:r w:rsidRPr="00B4699E" w:rsidR="003F1019">
        <w:rPr>
          <w:rFonts w:ascii="Times New Roman" w:hAnsi="Times New Roman" w:cs="Times New Roman"/>
          <w:sz w:val="24"/>
          <w:szCs w:val="24"/>
        </w:rPr>
        <w:t xml:space="preserve">de democratische controle. Artikel 128 Wet RO biedt </w:t>
      </w:r>
      <w:r w:rsidRPr="00B4699E" w:rsidR="00370444">
        <w:rPr>
          <w:rFonts w:ascii="Times New Roman" w:hAnsi="Times New Roman" w:cs="Times New Roman"/>
          <w:sz w:val="24"/>
          <w:szCs w:val="24"/>
        </w:rPr>
        <w:t xml:space="preserve">daarbij </w:t>
      </w:r>
      <w:r w:rsidRPr="00B4699E" w:rsidR="003F1019">
        <w:rPr>
          <w:rFonts w:ascii="Times New Roman" w:hAnsi="Times New Roman" w:cs="Times New Roman"/>
          <w:sz w:val="24"/>
          <w:szCs w:val="24"/>
        </w:rPr>
        <w:t xml:space="preserve">de nodige waarborgen ter voorkoming van </w:t>
      </w:r>
      <w:r w:rsidRPr="00B4699E" w:rsidR="00E66CFE">
        <w:rPr>
          <w:rFonts w:ascii="Times New Roman" w:hAnsi="Times New Roman" w:cs="Times New Roman"/>
          <w:sz w:val="24"/>
          <w:szCs w:val="24"/>
        </w:rPr>
        <w:t>politieke</w:t>
      </w:r>
      <w:r w:rsidRPr="00B4699E" w:rsidR="003F1019">
        <w:rPr>
          <w:rFonts w:ascii="Times New Roman" w:hAnsi="Times New Roman" w:cs="Times New Roman"/>
          <w:sz w:val="24"/>
          <w:szCs w:val="24"/>
        </w:rPr>
        <w:t xml:space="preserve"> </w:t>
      </w:r>
      <w:r w:rsidRPr="00B4699E" w:rsidR="00E66CFE">
        <w:rPr>
          <w:rFonts w:ascii="Times New Roman" w:hAnsi="Times New Roman" w:cs="Times New Roman"/>
          <w:sz w:val="24"/>
          <w:szCs w:val="24"/>
        </w:rPr>
        <w:t>beïnvloeding</w:t>
      </w:r>
      <w:r w:rsidRPr="00B4699E" w:rsidR="003F1019">
        <w:rPr>
          <w:rFonts w:ascii="Times New Roman" w:hAnsi="Times New Roman" w:cs="Times New Roman"/>
          <w:sz w:val="24"/>
          <w:szCs w:val="24"/>
        </w:rPr>
        <w:t>, waaronder waarborgen die voorzien in transparante besluitvorming.</w:t>
      </w:r>
    </w:p>
    <w:p w:rsidRPr="00B4699E" w:rsidR="005B0E19" w:rsidP="005B0E19" w:rsidRDefault="001D01D0" w14:paraId="7A9299B8" w14:textId="77777777">
      <w:pPr>
        <w:rPr>
          <w:rFonts w:ascii="Times New Roman" w:hAnsi="Times New Roman" w:cs="Times New Roman"/>
          <w:b/>
          <w:bCs/>
          <w:sz w:val="24"/>
          <w:szCs w:val="24"/>
        </w:rPr>
      </w:pPr>
      <w:r w:rsidRPr="00B4699E">
        <w:rPr>
          <w:rFonts w:ascii="Times New Roman" w:hAnsi="Times New Roman" w:cs="Times New Roman"/>
          <w:b/>
          <w:bCs/>
          <w:sz w:val="24"/>
          <w:szCs w:val="24"/>
        </w:rPr>
        <w:t>Vragen</w:t>
      </w:r>
      <w:r w:rsidRPr="00B4699E" w:rsidR="00EC1FB7">
        <w:rPr>
          <w:rFonts w:ascii="Times New Roman" w:hAnsi="Times New Roman" w:cs="Times New Roman"/>
          <w:b/>
          <w:bCs/>
          <w:sz w:val="24"/>
          <w:szCs w:val="24"/>
        </w:rPr>
        <w:t xml:space="preserve"> en opmerkingen</w:t>
      </w:r>
      <w:r w:rsidRPr="00B4699E">
        <w:rPr>
          <w:rFonts w:ascii="Times New Roman" w:hAnsi="Times New Roman" w:cs="Times New Roman"/>
          <w:b/>
          <w:bCs/>
          <w:sz w:val="24"/>
          <w:szCs w:val="24"/>
        </w:rPr>
        <w:t xml:space="preserve"> van de leden van de BBB-fractie</w:t>
      </w:r>
      <w:r w:rsidRPr="00B4699E" w:rsidR="005B0E19">
        <w:rPr>
          <w:rFonts w:ascii="Times New Roman" w:hAnsi="Times New Roman" w:cs="Times New Roman"/>
          <w:b/>
          <w:bCs/>
          <w:sz w:val="24"/>
          <w:szCs w:val="24"/>
        </w:rPr>
        <w:t xml:space="preserve"> en reactie van de bewindspersonen</w:t>
      </w:r>
    </w:p>
    <w:p w:rsidRPr="00B4699E" w:rsidR="00EC1FB7" w:rsidP="001D01D0" w:rsidRDefault="00EC1FB7" w14:paraId="052E960B" w14:textId="33887779">
      <w:pPr>
        <w:rPr>
          <w:rFonts w:ascii="Times New Roman" w:hAnsi="Times New Roman" w:cs="Times New Roman"/>
          <w:i/>
          <w:iCs/>
          <w:sz w:val="24"/>
          <w:szCs w:val="24"/>
        </w:rPr>
      </w:pPr>
      <w:r w:rsidRPr="00B4699E">
        <w:rPr>
          <w:rFonts w:ascii="Times New Roman" w:hAnsi="Times New Roman" w:cs="Times New Roman"/>
          <w:i/>
          <w:iCs/>
          <w:sz w:val="24"/>
          <w:szCs w:val="24"/>
        </w:rPr>
        <w:t>De leden van de BBB-fractie</w:t>
      </w:r>
      <w:r w:rsidRPr="00B4699E" w:rsidR="00284FA1">
        <w:rPr>
          <w:rFonts w:ascii="Times New Roman" w:hAnsi="Times New Roman" w:cs="Times New Roman"/>
          <w:i/>
          <w:iCs/>
          <w:sz w:val="24"/>
          <w:szCs w:val="24"/>
        </w:rPr>
        <w:t xml:space="preserve"> hebben</w:t>
      </w:r>
      <w:r w:rsidRPr="00B4699E">
        <w:rPr>
          <w:rFonts w:ascii="Times New Roman" w:hAnsi="Times New Roman" w:cs="Times New Roman"/>
          <w:i/>
          <w:iCs/>
          <w:sz w:val="24"/>
          <w:szCs w:val="24"/>
        </w:rPr>
        <w:t xml:space="preserve"> kennisgenomen van de beoogde herziening van de wetgeving over ambtsdelicten van Kamerleden en bewindspersonen en hebben hier nog een aantal vragen over.</w:t>
      </w:r>
    </w:p>
    <w:p w:rsidRPr="00B4699E" w:rsidR="00D32B14" w:rsidP="001D01D0" w:rsidRDefault="009E39B8" w14:paraId="6CA25C42" w14:textId="0BC660DA">
      <w:pPr>
        <w:rPr>
          <w:rFonts w:ascii="Times New Roman" w:hAnsi="Times New Roman" w:cs="Times New Roman"/>
          <w:i/>
          <w:iCs/>
          <w:sz w:val="24"/>
          <w:szCs w:val="24"/>
        </w:rPr>
      </w:pPr>
      <w:r w:rsidRPr="00B4699E">
        <w:rPr>
          <w:rFonts w:ascii="Times New Roman" w:hAnsi="Times New Roman" w:cs="Times New Roman"/>
          <w:i/>
          <w:iCs/>
          <w:sz w:val="24"/>
          <w:szCs w:val="24"/>
        </w:rPr>
        <w:t xml:space="preserve">De leden van de BBB-fractie merken op dat beoogd wordt om artikel 119 van de Grondwet te laten vervallen en ter vervanging in het Wetboek van Strafvordering een gemoderniseerde regeling op te nemen. In de huidige situatie is geregeld dat de Tweede Kamer bevoegd is opdracht te geven aan de PGHR tot vervolging van een Kamerlid of bewindspersoon naar aanleiding van een door minimaal vijf Kamerleden ingediende aanklacht. De nieuwe situatie in het Wetboek van Strafvordering moet regelen dat dit niet meer bij de Tweede Kamer ligt maar bij de PGHR. Vervolging op basis van ambtsdelicten van Kamerleden en bewindspersonen komen hierbij, net als bij andere delicten, bij het </w:t>
      </w:r>
      <w:r w:rsidRPr="00B4699E" w:rsidR="00F87AC2">
        <w:rPr>
          <w:rFonts w:ascii="Times New Roman" w:hAnsi="Times New Roman" w:cs="Times New Roman"/>
          <w:i/>
          <w:iCs/>
          <w:sz w:val="24"/>
          <w:szCs w:val="24"/>
        </w:rPr>
        <w:t xml:space="preserve">OM </w:t>
      </w:r>
      <w:r w:rsidRPr="00B4699E">
        <w:rPr>
          <w:rFonts w:ascii="Times New Roman" w:hAnsi="Times New Roman" w:cs="Times New Roman"/>
          <w:i/>
          <w:iCs/>
          <w:sz w:val="24"/>
          <w:szCs w:val="24"/>
        </w:rPr>
        <w:t xml:space="preserve">te liggen. Reden hiervoor zijn (mogelijk) politieke processen rondom vervolgingen. Deze leden juichen dit toe. </w:t>
      </w:r>
      <w:r w:rsidRPr="00B4699E" w:rsidR="00D32B14">
        <w:rPr>
          <w:rFonts w:ascii="Times New Roman" w:hAnsi="Times New Roman" w:cs="Times New Roman"/>
          <w:i/>
          <w:iCs/>
          <w:sz w:val="24"/>
          <w:szCs w:val="24"/>
        </w:rPr>
        <w:t xml:space="preserve">De leden van de BBB-fractie lezen </w:t>
      </w:r>
      <w:r w:rsidRPr="00B4699E">
        <w:rPr>
          <w:rFonts w:ascii="Times New Roman" w:hAnsi="Times New Roman" w:cs="Times New Roman"/>
          <w:i/>
          <w:iCs/>
          <w:sz w:val="24"/>
          <w:szCs w:val="24"/>
        </w:rPr>
        <w:t>echter ook</w:t>
      </w:r>
      <w:r w:rsidRPr="00B4699E" w:rsidR="00D32B14">
        <w:rPr>
          <w:rFonts w:ascii="Times New Roman" w:hAnsi="Times New Roman" w:cs="Times New Roman"/>
          <w:i/>
          <w:iCs/>
          <w:sz w:val="24"/>
          <w:szCs w:val="24"/>
        </w:rPr>
        <w:t xml:space="preserve"> in de brief dat de minister voornemens is om de artikelen 355 en 356 Wetboek van Strafrecht te laten vervallen, met als reden dat deze artikelen een te ruim karakter kennen. Zijn er bij de minister zaken bekend waarbij een persoon vervolgd is op grond van deze twee artikelen? Zo nee, kan de minister dan een aantal voorbeelden geven waarbij iemand vervolgd kan worden op basis van deze twee artikelen?</w:t>
      </w:r>
    </w:p>
    <w:p w:rsidRPr="00B4699E" w:rsidR="006E1685" w:rsidP="00B72D89" w:rsidRDefault="002B18FF" w14:paraId="0F0B061E" w14:textId="77777777">
      <w:pPr>
        <w:rPr>
          <w:rFonts w:ascii="Times New Roman" w:hAnsi="Times New Roman" w:cs="Times New Roman"/>
          <w:sz w:val="24"/>
          <w:szCs w:val="24"/>
        </w:rPr>
      </w:pPr>
      <w:bookmarkStart w:name="_Hlk168585073" w:id="2"/>
      <w:r w:rsidRPr="00B4699E">
        <w:rPr>
          <w:rFonts w:ascii="Times New Roman" w:hAnsi="Times New Roman" w:cs="Times New Roman"/>
          <w:sz w:val="24"/>
          <w:szCs w:val="24"/>
        </w:rPr>
        <w:t xml:space="preserve">Het verheugt ons dat ook de leden van de BBB-fractie de nieuw voorgestelde regeling </w:t>
      </w:r>
      <w:r w:rsidRPr="00B4699E" w:rsidR="00356401">
        <w:rPr>
          <w:rFonts w:ascii="Times New Roman" w:hAnsi="Times New Roman" w:cs="Times New Roman"/>
          <w:sz w:val="24"/>
          <w:szCs w:val="24"/>
        </w:rPr>
        <w:t xml:space="preserve">over de opsporing en vervolging van ambtsdelicten van Kamerleden en bewindspersonen </w:t>
      </w:r>
      <w:r w:rsidRPr="00B4699E" w:rsidR="006810CB">
        <w:rPr>
          <w:rFonts w:ascii="Times New Roman" w:hAnsi="Times New Roman" w:cs="Times New Roman"/>
          <w:sz w:val="24"/>
          <w:szCs w:val="24"/>
        </w:rPr>
        <w:t xml:space="preserve">steunen. </w:t>
      </w:r>
      <w:r w:rsidRPr="00B4699E" w:rsidR="00356401">
        <w:rPr>
          <w:rFonts w:ascii="Times New Roman" w:hAnsi="Times New Roman" w:cs="Times New Roman"/>
          <w:sz w:val="24"/>
          <w:szCs w:val="24"/>
        </w:rPr>
        <w:t xml:space="preserve">Over hun vragen over het voornemen om de artikelen 355 en 356 Sr te laten vervallen, </w:t>
      </w:r>
      <w:r w:rsidRPr="00B4699E" w:rsidR="006E1685">
        <w:rPr>
          <w:rFonts w:ascii="Times New Roman" w:hAnsi="Times New Roman" w:cs="Times New Roman"/>
          <w:sz w:val="24"/>
          <w:szCs w:val="24"/>
        </w:rPr>
        <w:t xml:space="preserve">alsook over de vergelijkbare vraag van de leden van de SP-fractie, </w:t>
      </w:r>
      <w:r w:rsidRPr="00B4699E" w:rsidR="00356401">
        <w:rPr>
          <w:rFonts w:ascii="Times New Roman" w:hAnsi="Times New Roman" w:cs="Times New Roman"/>
          <w:sz w:val="24"/>
          <w:szCs w:val="24"/>
        </w:rPr>
        <w:t xml:space="preserve">merken wij het volgende op. </w:t>
      </w:r>
    </w:p>
    <w:p w:rsidRPr="00B4699E" w:rsidR="00D516C7" w:rsidP="00D516C7" w:rsidRDefault="006E1685" w14:paraId="725F362D" w14:textId="21F07CEC">
      <w:pPr>
        <w:rPr>
          <w:rFonts w:ascii="Times New Roman" w:hAnsi="Times New Roman" w:cs="Times New Roman"/>
          <w:sz w:val="24"/>
          <w:szCs w:val="24"/>
        </w:rPr>
      </w:pPr>
      <w:r w:rsidRPr="00B4699E">
        <w:rPr>
          <w:rFonts w:ascii="Times New Roman" w:hAnsi="Times New Roman" w:cs="Times New Roman"/>
          <w:sz w:val="24"/>
          <w:szCs w:val="24"/>
        </w:rPr>
        <w:t xml:space="preserve">Het is de verwachting dat het vervallen van de artikelen 355 en 356 Sr in de praktijk geen grote gevolgen zal hebben. Die verwachting is allereerst gebaseerd op het feit dat er nog nooit </w:t>
      </w:r>
      <w:r w:rsidRPr="00B4699E">
        <w:rPr>
          <w:rFonts w:ascii="Times New Roman" w:hAnsi="Times New Roman" w:cs="Times New Roman"/>
          <w:sz w:val="24"/>
          <w:szCs w:val="24"/>
        </w:rPr>
        <w:lastRenderedPageBreak/>
        <w:t xml:space="preserve">vervolging wegens deze delicten tegen een bewindspersoon is ingesteld. Daarnaast zijn veel gedragingen die onder de artikelen 355 en 356 Sr kunnen vallen, elders in het Wetboek van Strafrecht nader gespecifieerd in gedetailleerdere strafbepalingen die de integriteit van het overheidsapparaat en andere, publieke waarden van een zwaar sociaal-ethisch kaliber beschermen. Voorbeelden hiervan zijn niet alleen de andere ambtsmisdrijven uit titel XXVIII van het Tweede Boek van het Wetboek van Strafrecht, maar ook actieve ambtelijke omkoping, (artikelen 177, 178 en 178a Sr), ambtsdwang (artikel 179 Sr), meineed (artikel 207 Sr), valsheid in geschrifte (Tweede Boek, Titel XII, Sr) en schending van geheimen (Tweede Boek, Titel XVII, Sr). Het schrappen van de artikelen 355 en 356 Sr laat onverlet dat bewindspersonen voor andere ambtsdelicten en “gewone” strafbare feiten kunnen worden vervolgd. Wij verwijzen voor een nadere toelichting op dit punt naar het overzicht dat is gegeven door de toenmalige </w:t>
      </w:r>
      <w:r w:rsidRPr="00B4699E" w:rsidR="00D516C7">
        <w:rPr>
          <w:rFonts w:ascii="Times New Roman" w:hAnsi="Times New Roman" w:cs="Times New Roman"/>
          <w:sz w:val="24"/>
          <w:szCs w:val="24"/>
        </w:rPr>
        <w:t>m</w:t>
      </w:r>
      <w:r w:rsidRPr="00B4699E">
        <w:rPr>
          <w:rFonts w:ascii="Times New Roman" w:hAnsi="Times New Roman" w:cs="Times New Roman"/>
          <w:sz w:val="24"/>
          <w:szCs w:val="24"/>
        </w:rPr>
        <w:t xml:space="preserve">inister van Justitie en Veiligheid </w:t>
      </w:r>
      <w:r w:rsidRPr="00B4699E" w:rsidR="00D516C7">
        <w:rPr>
          <w:rFonts w:ascii="Times New Roman" w:hAnsi="Times New Roman" w:cs="Times New Roman"/>
          <w:sz w:val="24"/>
          <w:szCs w:val="24"/>
        </w:rPr>
        <w:t xml:space="preserve">mede namens de toenmalige minister van Binnenlandse Zaken en Koninkrijkrelaties </w:t>
      </w:r>
      <w:r w:rsidRPr="00B4699E">
        <w:rPr>
          <w:rFonts w:ascii="Times New Roman" w:hAnsi="Times New Roman" w:cs="Times New Roman"/>
          <w:sz w:val="24"/>
          <w:szCs w:val="24"/>
        </w:rPr>
        <w:t>in antwoord op vragen van de vaste commissie voor Justitie en Veiligheid over het rapport van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w:t>
      </w:r>
      <w:r w:rsidRPr="00B4699E">
        <w:rPr>
          <w:rStyle w:val="Voetnootmarkering"/>
          <w:rFonts w:ascii="Times New Roman" w:hAnsi="Times New Roman" w:cs="Times New Roman"/>
          <w:sz w:val="24"/>
          <w:szCs w:val="24"/>
        </w:rPr>
        <w:footnoteReference w:id="8"/>
      </w:r>
    </w:p>
    <w:p w:rsidRPr="00B4699E" w:rsidR="00B72D89" w:rsidP="00D516C7" w:rsidRDefault="00D516C7" w14:paraId="4CDC0F0C" w14:textId="29CC8973">
      <w:pPr>
        <w:rPr>
          <w:rFonts w:ascii="Times New Roman" w:hAnsi="Times New Roman" w:cs="Times New Roman"/>
          <w:sz w:val="24"/>
          <w:szCs w:val="24"/>
        </w:rPr>
      </w:pPr>
      <w:r w:rsidRPr="00B4699E">
        <w:rPr>
          <w:rFonts w:ascii="Times New Roman" w:hAnsi="Times New Roman" w:cs="Times New Roman"/>
          <w:sz w:val="24"/>
          <w:szCs w:val="24"/>
        </w:rPr>
        <w:t xml:space="preserve">Hoewel, zoals eerder genoemd, er tot op heden nog nooit vervolging in verband met de artikelen 355 en 356 Sr heeft plaatsgevonden, </w:t>
      </w:r>
      <w:r w:rsidRPr="00B4699E" w:rsidR="00B72D89">
        <w:rPr>
          <w:rFonts w:ascii="Times New Roman" w:hAnsi="Times New Roman" w:cs="Times New Roman"/>
          <w:sz w:val="24"/>
          <w:szCs w:val="24"/>
        </w:rPr>
        <w:t xml:space="preserve">is in het verleden met enige regelmaat aangifte bij de politie of het </w:t>
      </w:r>
      <w:r w:rsidRPr="00B4699E" w:rsidR="002B18FF">
        <w:rPr>
          <w:rFonts w:ascii="Times New Roman" w:hAnsi="Times New Roman" w:cs="Times New Roman"/>
          <w:sz w:val="24"/>
          <w:szCs w:val="24"/>
        </w:rPr>
        <w:t>OM</w:t>
      </w:r>
      <w:r w:rsidRPr="00B4699E" w:rsidR="00B72D89">
        <w:rPr>
          <w:rFonts w:ascii="Times New Roman" w:hAnsi="Times New Roman" w:cs="Times New Roman"/>
          <w:sz w:val="24"/>
          <w:szCs w:val="24"/>
        </w:rPr>
        <w:t xml:space="preserve"> gedaan wegens een vermeende overtreding van die artikelen of zijn aanklachten in verband met die artikelen gedaan op grond van de </w:t>
      </w:r>
      <w:r w:rsidRPr="00B4699E" w:rsidR="00356401">
        <w:rPr>
          <w:rFonts w:ascii="Times New Roman" w:hAnsi="Times New Roman" w:cs="Times New Roman"/>
          <w:sz w:val="24"/>
          <w:szCs w:val="24"/>
        </w:rPr>
        <w:t>Wet ministeriële verantwoordelijkheid en ambtsdelicten leden Staten-Generaal, ministers en staatssecretarissen (</w:t>
      </w:r>
      <w:proofErr w:type="spellStart"/>
      <w:r w:rsidRPr="00B4699E" w:rsidR="00B72D89">
        <w:rPr>
          <w:rFonts w:ascii="Times New Roman" w:hAnsi="Times New Roman" w:cs="Times New Roman"/>
          <w:sz w:val="24"/>
          <w:szCs w:val="24"/>
        </w:rPr>
        <w:t>Wmv</w:t>
      </w:r>
      <w:proofErr w:type="spellEnd"/>
      <w:r w:rsidRPr="00B4699E" w:rsidR="00356401">
        <w:rPr>
          <w:rFonts w:ascii="Times New Roman" w:hAnsi="Times New Roman" w:cs="Times New Roman"/>
          <w:sz w:val="24"/>
          <w:szCs w:val="24"/>
        </w:rPr>
        <w:t>)</w:t>
      </w:r>
      <w:r w:rsidRPr="00B4699E" w:rsidR="00B72D89">
        <w:rPr>
          <w:rFonts w:ascii="Times New Roman" w:hAnsi="Times New Roman" w:cs="Times New Roman"/>
          <w:sz w:val="24"/>
          <w:szCs w:val="24"/>
        </w:rPr>
        <w:t>. In paragraaf 3.2.2 van het rapport-</w:t>
      </w:r>
      <w:proofErr w:type="spellStart"/>
      <w:r w:rsidRPr="00B4699E" w:rsidR="00B72D89">
        <w:rPr>
          <w:rFonts w:ascii="Times New Roman" w:hAnsi="Times New Roman" w:cs="Times New Roman"/>
          <w:sz w:val="24"/>
          <w:szCs w:val="24"/>
        </w:rPr>
        <w:t>Fokkens</w:t>
      </w:r>
      <w:proofErr w:type="spellEnd"/>
      <w:r w:rsidRPr="00B4699E" w:rsidR="00B72D89">
        <w:rPr>
          <w:rFonts w:ascii="Times New Roman" w:hAnsi="Times New Roman" w:cs="Times New Roman"/>
          <w:sz w:val="24"/>
          <w:szCs w:val="24"/>
        </w:rPr>
        <w:t xml:space="preserve"> is een overzicht opgenomen van zaken sinds 1948 waarin vermoedens of beschuldigingen wegens de artikelen 355 en 356 </w:t>
      </w:r>
      <w:r w:rsidRPr="00B4699E">
        <w:rPr>
          <w:rFonts w:ascii="Times New Roman" w:hAnsi="Times New Roman" w:cs="Times New Roman"/>
          <w:sz w:val="24"/>
          <w:szCs w:val="24"/>
        </w:rPr>
        <w:t xml:space="preserve">Sr </w:t>
      </w:r>
      <w:r w:rsidRPr="00B4699E" w:rsidR="00B72D89">
        <w:rPr>
          <w:rFonts w:ascii="Times New Roman" w:hAnsi="Times New Roman" w:cs="Times New Roman"/>
          <w:sz w:val="24"/>
          <w:szCs w:val="24"/>
        </w:rPr>
        <w:t xml:space="preserve">aan de orde waren. </w:t>
      </w:r>
      <w:r w:rsidRPr="00B4699E">
        <w:rPr>
          <w:rFonts w:ascii="Times New Roman" w:hAnsi="Times New Roman" w:cs="Times New Roman"/>
          <w:sz w:val="24"/>
          <w:szCs w:val="24"/>
        </w:rPr>
        <w:t>Uit deze voorbeelden</w:t>
      </w:r>
      <w:r w:rsidRPr="00B4699E" w:rsidR="00F5345A">
        <w:rPr>
          <w:rFonts w:ascii="Times New Roman" w:hAnsi="Times New Roman" w:cs="Times New Roman"/>
          <w:sz w:val="24"/>
          <w:szCs w:val="24"/>
        </w:rPr>
        <w:t xml:space="preserve"> </w:t>
      </w:r>
      <w:r w:rsidRPr="00B4699E" w:rsidR="00B72D89">
        <w:rPr>
          <w:rFonts w:ascii="Times New Roman" w:hAnsi="Times New Roman" w:cs="Times New Roman"/>
          <w:sz w:val="24"/>
          <w:szCs w:val="24"/>
        </w:rPr>
        <w:t>blijkt dat het gaat om zeer uiteenlopende kwesties, die normaliter via de mechanismen van parlementaire controle worden geredresseerd.</w:t>
      </w:r>
    </w:p>
    <w:bookmarkEnd w:id="2"/>
    <w:p w:rsidRPr="00B4699E" w:rsidR="005B0E19" w:rsidP="005B0E19" w:rsidRDefault="001D01D0" w14:paraId="6F3E8895" w14:textId="77777777">
      <w:pPr>
        <w:rPr>
          <w:rFonts w:ascii="Times New Roman" w:hAnsi="Times New Roman" w:cs="Times New Roman"/>
          <w:b/>
          <w:bCs/>
          <w:sz w:val="24"/>
          <w:szCs w:val="24"/>
        </w:rPr>
      </w:pPr>
      <w:r w:rsidRPr="00B4699E">
        <w:rPr>
          <w:rFonts w:ascii="Times New Roman" w:hAnsi="Times New Roman" w:cs="Times New Roman"/>
          <w:b/>
          <w:bCs/>
          <w:sz w:val="24"/>
          <w:szCs w:val="24"/>
        </w:rPr>
        <w:t xml:space="preserve">Vragen </w:t>
      </w:r>
      <w:r w:rsidRPr="00B4699E" w:rsidR="00EC1FB7">
        <w:rPr>
          <w:rFonts w:ascii="Times New Roman" w:hAnsi="Times New Roman" w:cs="Times New Roman"/>
          <w:b/>
          <w:bCs/>
          <w:sz w:val="24"/>
          <w:szCs w:val="24"/>
        </w:rPr>
        <w:t xml:space="preserve">en opmerkingen </w:t>
      </w:r>
      <w:r w:rsidRPr="00B4699E">
        <w:rPr>
          <w:rFonts w:ascii="Times New Roman" w:hAnsi="Times New Roman" w:cs="Times New Roman"/>
          <w:b/>
          <w:bCs/>
          <w:sz w:val="24"/>
          <w:szCs w:val="24"/>
        </w:rPr>
        <w:t>van de leden van de CDA-fractie</w:t>
      </w:r>
      <w:r w:rsidRPr="00B4699E" w:rsidR="005B0E19">
        <w:rPr>
          <w:rFonts w:ascii="Times New Roman" w:hAnsi="Times New Roman" w:cs="Times New Roman"/>
          <w:b/>
          <w:bCs/>
          <w:sz w:val="24"/>
          <w:szCs w:val="24"/>
        </w:rPr>
        <w:t xml:space="preserve"> en reactie van de bewindspersonen</w:t>
      </w:r>
    </w:p>
    <w:p w:rsidRPr="00B4699E" w:rsidR="00EC1FB7" w:rsidP="00E9115F" w:rsidRDefault="00EC1FB7" w14:paraId="454DFE2E" w14:textId="6A6AB517">
      <w:pPr>
        <w:rPr>
          <w:rFonts w:ascii="Times New Roman" w:hAnsi="Times New Roman" w:cs="Times New Roman"/>
          <w:i/>
          <w:iCs/>
          <w:sz w:val="24"/>
          <w:szCs w:val="24"/>
        </w:rPr>
      </w:pPr>
      <w:r w:rsidRPr="00B4699E">
        <w:rPr>
          <w:rFonts w:ascii="Times New Roman" w:hAnsi="Times New Roman" w:cs="Times New Roman"/>
          <w:i/>
          <w:iCs/>
          <w:sz w:val="24"/>
          <w:szCs w:val="24"/>
        </w:rPr>
        <w:t>De leden van de CDA-fractie hebben met belangstelling kennisgenomen van de hoofdlijnenbrief en maken graag van de gelegenheid gebruik om enkele vragen te stellen over deze brief.</w:t>
      </w:r>
    </w:p>
    <w:p w:rsidRPr="00B4699E" w:rsidR="00E9115F" w:rsidP="00E9115F" w:rsidRDefault="00E9115F" w14:paraId="585B17B8" w14:textId="1585B3C3">
      <w:pPr>
        <w:rPr>
          <w:rFonts w:ascii="Times New Roman" w:hAnsi="Times New Roman" w:cs="Times New Roman"/>
          <w:i/>
          <w:iCs/>
          <w:sz w:val="24"/>
          <w:szCs w:val="24"/>
        </w:rPr>
      </w:pPr>
      <w:r w:rsidRPr="00B4699E">
        <w:rPr>
          <w:rFonts w:ascii="Times New Roman" w:hAnsi="Times New Roman" w:cs="Times New Roman"/>
          <w:i/>
          <w:iCs/>
          <w:sz w:val="24"/>
          <w:szCs w:val="24"/>
        </w:rPr>
        <w:t>De leden van de CDA-fractie vragen of de minister kan aangeven wat het tijdspad is van de voorbereiding en uitvoering van zowel spoor I (wijziging ‘gewone’ wet) als spoor II (grondwetswijziging).</w:t>
      </w:r>
    </w:p>
    <w:p w:rsidRPr="00B4699E" w:rsidR="00E9115F" w:rsidP="00E9115F" w:rsidRDefault="0038459E" w14:paraId="689937C2" w14:textId="633A111B">
      <w:pPr>
        <w:rPr>
          <w:rFonts w:ascii="Times New Roman" w:hAnsi="Times New Roman" w:cs="Times New Roman"/>
          <w:sz w:val="24"/>
          <w:szCs w:val="24"/>
        </w:rPr>
      </w:pPr>
      <w:r w:rsidRPr="00B4699E">
        <w:rPr>
          <w:rFonts w:ascii="Times New Roman" w:hAnsi="Times New Roman" w:cs="Times New Roman"/>
          <w:sz w:val="24"/>
          <w:szCs w:val="24"/>
        </w:rPr>
        <w:t xml:space="preserve">Het kabinet heeft kennisgenomen van de </w:t>
      </w:r>
      <w:r w:rsidRPr="00B4699E" w:rsidR="00356401">
        <w:rPr>
          <w:rFonts w:ascii="Times New Roman" w:hAnsi="Times New Roman" w:cs="Times New Roman"/>
          <w:sz w:val="24"/>
          <w:szCs w:val="24"/>
        </w:rPr>
        <w:t xml:space="preserve">op </w:t>
      </w:r>
      <w:r w:rsidRPr="00B4699E" w:rsidR="00442D93">
        <w:rPr>
          <w:rFonts w:ascii="Times New Roman" w:hAnsi="Times New Roman" w:cs="Times New Roman"/>
          <w:sz w:val="24"/>
          <w:szCs w:val="24"/>
        </w:rPr>
        <w:t xml:space="preserve">9 april 2024 </w:t>
      </w:r>
      <w:r w:rsidRPr="00B4699E" w:rsidR="00356401">
        <w:rPr>
          <w:rFonts w:ascii="Times New Roman" w:hAnsi="Times New Roman" w:cs="Times New Roman"/>
          <w:sz w:val="24"/>
          <w:szCs w:val="24"/>
        </w:rPr>
        <w:t xml:space="preserve">door de Tweede Kamer aanvaarde </w:t>
      </w:r>
      <w:r w:rsidRPr="00B4699E">
        <w:rPr>
          <w:rFonts w:ascii="Times New Roman" w:hAnsi="Times New Roman" w:cs="Times New Roman"/>
          <w:sz w:val="24"/>
          <w:szCs w:val="24"/>
        </w:rPr>
        <w:t>motie</w:t>
      </w:r>
      <w:r w:rsidRPr="00B4699E" w:rsidR="00356401">
        <w:rPr>
          <w:rFonts w:ascii="Times New Roman" w:hAnsi="Times New Roman" w:cs="Times New Roman"/>
          <w:sz w:val="24"/>
          <w:szCs w:val="24"/>
        </w:rPr>
        <w:t>-</w:t>
      </w:r>
      <w:r w:rsidRPr="00B4699E">
        <w:rPr>
          <w:rFonts w:ascii="Times New Roman" w:hAnsi="Times New Roman" w:cs="Times New Roman"/>
          <w:sz w:val="24"/>
          <w:szCs w:val="24"/>
        </w:rPr>
        <w:t xml:space="preserve">Koekkoek en </w:t>
      </w:r>
      <w:r w:rsidRPr="00B4699E" w:rsidR="005F1D74">
        <w:rPr>
          <w:rFonts w:ascii="Times New Roman" w:hAnsi="Times New Roman" w:cs="Times New Roman"/>
          <w:sz w:val="24"/>
          <w:szCs w:val="24"/>
        </w:rPr>
        <w:t xml:space="preserve">de </w:t>
      </w:r>
      <w:r w:rsidRPr="00B4699E">
        <w:rPr>
          <w:rFonts w:ascii="Times New Roman" w:hAnsi="Times New Roman" w:cs="Times New Roman"/>
          <w:sz w:val="24"/>
          <w:szCs w:val="24"/>
        </w:rPr>
        <w:t>motie</w:t>
      </w:r>
      <w:r w:rsidRPr="00B4699E" w:rsidR="00356401">
        <w:rPr>
          <w:rFonts w:ascii="Times New Roman" w:hAnsi="Times New Roman" w:cs="Times New Roman"/>
          <w:sz w:val="24"/>
          <w:szCs w:val="24"/>
        </w:rPr>
        <w:t>-</w:t>
      </w:r>
      <w:r w:rsidRPr="00B4699E">
        <w:rPr>
          <w:rFonts w:ascii="Times New Roman" w:hAnsi="Times New Roman" w:cs="Times New Roman"/>
          <w:sz w:val="24"/>
          <w:szCs w:val="24"/>
        </w:rPr>
        <w:t>Omtzigt c.s.</w:t>
      </w:r>
      <w:r w:rsidRPr="00B4699E" w:rsidR="005652ED">
        <w:rPr>
          <w:rStyle w:val="Voetnootmarkering"/>
          <w:rFonts w:ascii="Times New Roman" w:hAnsi="Times New Roman" w:cs="Times New Roman"/>
          <w:sz w:val="24"/>
          <w:szCs w:val="24"/>
        </w:rPr>
        <w:t xml:space="preserve"> </w:t>
      </w:r>
      <w:r w:rsidRPr="00B4699E" w:rsidR="005652ED">
        <w:rPr>
          <w:rStyle w:val="Voetnootmarkering"/>
          <w:rFonts w:ascii="Times New Roman" w:hAnsi="Times New Roman" w:cs="Times New Roman"/>
          <w:sz w:val="24"/>
          <w:szCs w:val="24"/>
        </w:rPr>
        <w:footnoteReference w:id="9"/>
      </w:r>
      <w:r w:rsidRPr="00B4699E">
        <w:rPr>
          <w:rFonts w:ascii="Times New Roman" w:hAnsi="Times New Roman" w:cs="Times New Roman"/>
          <w:sz w:val="24"/>
          <w:szCs w:val="24"/>
        </w:rPr>
        <w:t xml:space="preserve">, waarin de regering kort gezegd </w:t>
      </w:r>
      <w:r w:rsidRPr="00B4699E" w:rsidR="00356401">
        <w:rPr>
          <w:rFonts w:ascii="Times New Roman" w:hAnsi="Times New Roman" w:cs="Times New Roman"/>
          <w:sz w:val="24"/>
          <w:szCs w:val="24"/>
        </w:rPr>
        <w:t>werd</w:t>
      </w:r>
      <w:r w:rsidRPr="00B4699E">
        <w:rPr>
          <w:rFonts w:ascii="Times New Roman" w:hAnsi="Times New Roman" w:cs="Times New Roman"/>
          <w:sz w:val="24"/>
          <w:szCs w:val="24"/>
        </w:rPr>
        <w:t xml:space="preserve"> verzocht de aanbevelingen van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met spoed respectievelijk binnen een jaar in te dienen bij de </w:t>
      </w:r>
      <w:r w:rsidRPr="00B4699E" w:rsidR="00356401">
        <w:rPr>
          <w:rFonts w:ascii="Times New Roman" w:hAnsi="Times New Roman" w:cs="Times New Roman"/>
          <w:sz w:val="24"/>
          <w:szCs w:val="24"/>
        </w:rPr>
        <w:t xml:space="preserve">Tweede </w:t>
      </w:r>
      <w:r w:rsidRPr="00B4699E">
        <w:rPr>
          <w:rFonts w:ascii="Times New Roman" w:hAnsi="Times New Roman" w:cs="Times New Roman"/>
          <w:sz w:val="24"/>
          <w:szCs w:val="24"/>
        </w:rPr>
        <w:t xml:space="preserve">Kamer. Het kabinet streeft ernaar zowel het wetsvoorstel tot wijziging van de ‘gewone’ wet </w:t>
      </w:r>
      <w:r w:rsidRPr="00B4699E" w:rsidR="003905FC">
        <w:rPr>
          <w:rFonts w:ascii="Times New Roman" w:hAnsi="Times New Roman" w:cs="Times New Roman"/>
          <w:sz w:val="24"/>
          <w:szCs w:val="24"/>
        </w:rPr>
        <w:t xml:space="preserve">(Spoor I) </w:t>
      </w:r>
      <w:r w:rsidRPr="00B4699E">
        <w:rPr>
          <w:rFonts w:ascii="Times New Roman" w:hAnsi="Times New Roman" w:cs="Times New Roman"/>
          <w:sz w:val="24"/>
          <w:szCs w:val="24"/>
        </w:rPr>
        <w:t>als het grondwets</w:t>
      </w:r>
      <w:r w:rsidRPr="00B4699E" w:rsidR="00442D93">
        <w:rPr>
          <w:rFonts w:ascii="Times New Roman" w:hAnsi="Times New Roman" w:cs="Times New Roman"/>
          <w:sz w:val="24"/>
          <w:szCs w:val="24"/>
        </w:rPr>
        <w:t>wijzigings</w:t>
      </w:r>
      <w:r w:rsidRPr="00B4699E">
        <w:rPr>
          <w:rFonts w:ascii="Times New Roman" w:hAnsi="Times New Roman" w:cs="Times New Roman"/>
          <w:sz w:val="24"/>
          <w:szCs w:val="24"/>
        </w:rPr>
        <w:t>voorstel</w:t>
      </w:r>
      <w:r w:rsidRPr="00B4699E" w:rsidR="003905FC">
        <w:rPr>
          <w:rFonts w:ascii="Times New Roman" w:hAnsi="Times New Roman" w:cs="Times New Roman"/>
          <w:sz w:val="24"/>
          <w:szCs w:val="24"/>
        </w:rPr>
        <w:t xml:space="preserve"> (Spoor II)</w:t>
      </w:r>
      <w:r w:rsidRPr="00B4699E">
        <w:rPr>
          <w:rFonts w:ascii="Times New Roman" w:hAnsi="Times New Roman" w:cs="Times New Roman"/>
          <w:sz w:val="24"/>
          <w:szCs w:val="24"/>
        </w:rPr>
        <w:t xml:space="preserve"> in het najaar </w:t>
      </w:r>
      <w:r w:rsidRPr="00B4699E">
        <w:rPr>
          <w:rFonts w:ascii="Times New Roman" w:hAnsi="Times New Roman" w:cs="Times New Roman"/>
          <w:sz w:val="24"/>
          <w:szCs w:val="24"/>
        </w:rPr>
        <w:lastRenderedPageBreak/>
        <w:t xml:space="preserve">van 2024 te publiceren voor internetconsultatie. Het kabinet hoopt beide voorstellen </w:t>
      </w:r>
      <w:r w:rsidRPr="00B4699E" w:rsidR="00442D93">
        <w:rPr>
          <w:rFonts w:ascii="Times New Roman" w:hAnsi="Times New Roman" w:cs="Times New Roman"/>
          <w:sz w:val="24"/>
          <w:szCs w:val="24"/>
        </w:rPr>
        <w:t xml:space="preserve">dan </w:t>
      </w:r>
      <w:r w:rsidRPr="00B4699E">
        <w:rPr>
          <w:rFonts w:ascii="Times New Roman" w:hAnsi="Times New Roman" w:cs="Times New Roman"/>
          <w:sz w:val="24"/>
          <w:szCs w:val="24"/>
        </w:rPr>
        <w:t xml:space="preserve">medio 2025 in te </w:t>
      </w:r>
      <w:r w:rsidRPr="00B4699E" w:rsidR="00442D93">
        <w:rPr>
          <w:rFonts w:ascii="Times New Roman" w:hAnsi="Times New Roman" w:cs="Times New Roman"/>
          <w:sz w:val="24"/>
          <w:szCs w:val="24"/>
        </w:rPr>
        <w:t xml:space="preserve">kunnen </w:t>
      </w:r>
      <w:r w:rsidRPr="00B4699E">
        <w:rPr>
          <w:rFonts w:ascii="Times New Roman" w:hAnsi="Times New Roman" w:cs="Times New Roman"/>
          <w:sz w:val="24"/>
          <w:szCs w:val="24"/>
        </w:rPr>
        <w:t xml:space="preserve">dienen bij </w:t>
      </w:r>
      <w:r w:rsidRPr="00B4699E" w:rsidR="00DF480D">
        <w:rPr>
          <w:rFonts w:ascii="Times New Roman" w:hAnsi="Times New Roman" w:cs="Times New Roman"/>
          <w:sz w:val="24"/>
          <w:szCs w:val="24"/>
        </w:rPr>
        <w:t>de Tweede</w:t>
      </w:r>
      <w:r w:rsidRPr="00B4699E">
        <w:rPr>
          <w:rFonts w:ascii="Times New Roman" w:hAnsi="Times New Roman" w:cs="Times New Roman"/>
          <w:sz w:val="24"/>
          <w:szCs w:val="24"/>
        </w:rPr>
        <w:t xml:space="preserve"> Kamer.</w:t>
      </w:r>
    </w:p>
    <w:p w:rsidRPr="00B4699E" w:rsidR="00E9115F" w:rsidP="00E9115F" w:rsidRDefault="00E9115F" w14:paraId="40EE3B4A" w14:textId="5BE6BF5F">
      <w:pPr>
        <w:rPr>
          <w:rFonts w:ascii="Times New Roman" w:hAnsi="Times New Roman" w:cs="Times New Roman"/>
          <w:i/>
          <w:iCs/>
          <w:sz w:val="24"/>
          <w:szCs w:val="24"/>
        </w:rPr>
      </w:pPr>
      <w:r w:rsidRPr="00B4699E">
        <w:rPr>
          <w:rFonts w:ascii="Times New Roman" w:hAnsi="Times New Roman" w:cs="Times New Roman"/>
          <w:i/>
          <w:iCs/>
          <w:sz w:val="24"/>
          <w:szCs w:val="24"/>
        </w:rPr>
        <w:t>De leden van de CDA-fractie lezen dat de minister het eens is met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dat een aantal van tien rechters van de Hoge Raad om praktische redenen minder geschikt is voor de berechting van complexe ambtsmisdrijven als corruptie en fraude. Kan de minister nader ingaan op deze praktische bezwaren en de keuze om het terug te brengen van tien naar zeven rechters?</w:t>
      </w:r>
    </w:p>
    <w:p w:rsidRPr="00B4699E" w:rsidR="00E62B86" w:rsidP="00E62B86" w:rsidRDefault="0068658E" w14:paraId="7DA0C833" w14:textId="0109C611">
      <w:pPr>
        <w:rPr>
          <w:rFonts w:ascii="Times New Roman" w:hAnsi="Times New Roman" w:cs="Times New Roman"/>
          <w:sz w:val="24"/>
          <w:szCs w:val="24"/>
        </w:rPr>
      </w:pPr>
      <w:r w:rsidRPr="00B4699E">
        <w:rPr>
          <w:rFonts w:ascii="Times New Roman" w:hAnsi="Times New Roman" w:cs="Times New Roman"/>
          <w:sz w:val="24"/>
          <w:szCs w:val="24"/>
        </w:rPr>
        <w:t>De praktische bezwaren tegen het aantal van tien raadsheren zijn door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w:t>
      </w:r>
      <w:r w:rsidRPr="00B4699E" w:rsidR="00E62B86">
        <w:rPr>
          <w:rFonts w:ascii="Times New Roman" w:hAnsi="Times New Roman" w:cs="Times New Roman"/>
          <w:sz w:val="24"/>
          <w:szCs w:val="24"/>
        </w:rPr>
        <w:t xml:space="preserve">toegelicht in </w:t>
      </w:r>
      <w:r w:rsidRPr="00B4699E" w:rsidR="00442D93">
        <w:rPr>
          <w:rFonts w:ascii="Times New Roman" w:hAnsi="Times New Roman" w:cs="Times New Roman"/>
          <w:sz w:val="24"/>
          <w:szCs w:val="24"/>
        </w:rPr>
        <w:t>haar</w:t>
      </w:r>
      <w:r w:rsidRPr="00B4699E" w:rsidR="00E62B86">
        <w:rPr>
          <w:rFonts w:ascii="Times New Roman" w:hAnsi="Times New Roman" w:cs="Times New Roman"/>
          <w:sz w:val="24"/>
          <w:szCs w:val="24"/>
        </w:rPr>
        <w:t xml:space="preserve"> rapport</w:t>
      </w:r>
      <w:r w:rsidRPr="00B4699E" w:rsidR="00442D93">
        <w:rPr>
          <w:rFonts w:ascii="Times New Roman" w:hAnsi="Times New Roman" w:cs="Times New Roman"/>
          <w:sz w:val="24"/>
          <w:szCs w:val="24"/>
        </w:rPr>
        <w:t xml:space="preserve"> (paragraaf 5.8)</w:t>
      </w:r>
      <w:r w:rsidRPr="00B4699E" w:rsidR="00E62B86">
        <w:rPr>
          <w:rFonts w:ascii="Times New Roman" w:hAnsi="Times New Roman" w:cs="Times New Roman"/>
          <w:sz w:val="24"/>
          <w:szCs w:val="24"/>
        </w:rPr>
        <w:t>. De commissie stelt vast dat de Hoge Raad bij de berechting van ambts</w:t>
      </w:r>
      <w:r w:rsidRPr="00B4699E" w:rsidR="00D516C7">
        <w:rPr>
          <w:rFonts w:ascii="Times New Roman" w:hAnsi="Times New Roman" w:cs="Times New Roman"/>
          <w:sz w:val="24"/>
          <w:szCs w:val="24"/>
        </w:rPr>
        <w:t>delicten</w:t>
      </w:r>
      <w:r w:rsidRPr="00B4699E" w:rsidR="00E62B86">
        <w:rPr>
          <w:rFonts w:ascii="Times New Roman" w:hAnsi="Times New Roman" w:cs="Times New Roman"/>
          <w:sz w:val="24"/>
          <w:szCs w:val="24"/>
        </w:rPr>
        <w:t xml:space="preserve"> van Kamerleden en bewindspersonen niet als cassatierechter optreedt, maar als feitenrechter. Uit de procedure beschreven door de commissie-</w:t>
      </w:r>
      <w:proofErr w:type="spellStart"/>
      <w:r w:rsidRPr="00B4699E" w:rsidR="00E62B86">
        <w:rPr>
          <w:rFonts w:ascii="Times New Roman" w:hAnsi="Times New Roman" w:cs="Times New Roman"/>
          <w:sz w:val="24"/>
          <w:szCs w:val="24"/>
        </w:rPr>
        <w:t>Fokkens</w:t>
      </w:r>
      <w:proofErr w:type="spellEnd"/>
      <w:r w:rsidRPr="00B4699E" w:rsidR="00E62B86">
        <w:rPr>
          <w:rFonts w:ascii="Times New Roman" w:hAnsi="Times New Roman" w:cs="Times New Roman"/>
          <w:sz w:val="24"/>
          <w:szCs w:val="24"/>
        </w:rPr>
        <w:t xml:space="preserve"> blijkt dat er bij het onderzoek naar en de berechting van ambts</w:t>
      </w:r>
      <w:r w:rsidRPr="00B4699E" w:rsidR="00D516C7">
        <w:rPr>
          <w:rFonts w:ascii="Times New Roman" w:hAnsi="Times New Roman" w:cs="Times New Roman"/>
          <w:sz w:val="24"/>
          <w:szCs w:val="24"/>
        </w:rPr>
        <w:t xml:space="preserve">delicten </w:t>
      </w:r>
      <w:r w:rsidRPr="00B4699E" w:rsidR="00E62B86">
        <w:rPr>
          <w:rFonts w:ascii="Times New Roman" w:hAnsi="Times New Roman" w:cs="Times New Roman"/>
          <w:sz w:val="24"/>
          <w:szCs w:val="24"/>
        </w:rPr>
        <w:t>al snel zestien raadsheren betrokken kunnen zijn.</w:t>
      </w:r>
      <w:r w:rsidRPr="00B4699E" w:rsidR="00E62B86">
        <w:rPr>
          <w:rStyle w:val="Voetnootmarkering"/>
          <w:rFonts w:ascii="Times New Roman" w:hAnsi="Times New Roman" w:cs="Times New Roman"/>
          <w:sz w:val="24"/>
          <w:szCs w:val="24"/>
        </w:rPr>
        <w:footnoteReference w:id="10"/>
      </w:r>
      <w:r w:rsidRPr="00B4699E" w:rsidR="00E62B86">
        <w:rPr>
          <w:rFonts w:ascii="Times New Roman" w:hAnsi="Times New Roman" w:cs="Times New Roman"/>
          <w:sz w:val="24"/>
          <w:szCs w:val="24"/>
        </w:rPr>
        <w:t xml:space="preserve"> Berechting van ambts</w:t>
      </w:r>
      <w:r w:rsidRPr="00B4699E" w:rsidR="00D516C7">
        <w:rPr>
          <w:rFonts w:ascii="Times New Roman" w:hAnsi="Times New Roman" w:cs="Times New Roman"/>
          <w:sz w:val="24"/>
          <w:szCs w:val="24"/>
        </w:rPr>
        <w:t xml:space="preserve">delicten </w:t>
      </w:r>
      <w:r w:rsidRPr="00B4699E" w:rsidR="00442D93">
        <w:rPr>
          <w:rFonts w:ascii="Times New Roman" w:hAnsi="Times New Roman" w:cs="Times New Roman"/>
          <w:sz w:val="24"/>
          <w:szCs w:val="24"/>
        </w:rPr>
        <w:t>kan</w:t>
      </w:r>
      <w:r w:rsidRPr="00B4699E" w:rsidR="00E62B86">
        <w:rPr>
          <w:rFonts w:ascii="Times New Roman" w:hAnsi="Times New Roman" w:cs="Times New Roman"/>
          <w:sz w:val="24"/>
          <w:szCs w:val="24"/>
        </w:rPr>
        <w:t xml:space="preserve"> niet alleen een langdurig voorbereidend onderzoek met een grote taak voor de raadsheer-commissaris meebrengen, maar </w:t>
      </w:r>
      <w:r w:rsidRPr="00B4699E" w:rsidR="008D78AA">
        <w:rPr>
          <w:rFonts w:ascii="Times New Roman" w:hAnsi="Times New Roman" w:cs="Times New Roman"/>
          <w:sz w:val="24"/>
          <w:szCs w:val="24"/>
        </w:rPr>
        <w:t xml:space="preserve">kan </w:t>
      </w:r>
      <w:r w:rsidRPr="00B4699E" w:rsidR="00E62B86">
        <w:rPr>
          <w:rFonts w:ascii="Times New Roman" w:hAnsi="Times New Roman" w:cs="Times New Roman"/>
          <w:sz w:val="24"/>
          <w:szCs w:val="24"/>
        </w:rPr>
        <w:t>ook een uitgebreid onderzoek ter terechtzitting</w:t>
      </w:r>
      <w:r w:rsidRPr="00B4699E" w:rsidR="008D78AA">
        <w:rPr>
          <w:rFonts w:ascii="Times New Roman" w:hAnsi="Times New Roman" w:cs="Times New Roman"/>
          <w:sz w:val="24"/>
          <w:szCs w:val="24"/>
        </w:rPr>
        <w:t xml:space="preserve"> vergen</w:t>
      </w:r>
      <w:r w:rsidRPr="00B4699E" w:rsidR="00E62B86">
        <w:rPr>
          <w:rFonts w:ascii="Times New Roman" w:hAnsi="Times New Roman" w:cs="Times New Roman"/>
          <w:sz w:val="24"/>
          <w:szCs w:val="24"/>
        </w:rPr>
        <w:t xml:space="preserve">, inclusief het horen van getuigen, en </w:t>
      </w:r>
      <w:r w:rsidRPr="00B4699E" w:rsidR="008D78AA">
        <w:rPr>
          <w:rFonts w:ascii="Times New Roman" w:hAnsi="Times New Roman" w:cs="Times New Roman"/>
          <w:sz w:val="24"/>
          <w:szCs w:val="24"/>
        </w:rPr>
        <w:t xml:space="preserve">kan leiden </w:t>
      </w:r>
      <w:r w:rsidRPr="00B4699E" w:rsidR="00E62B86">
        <w:rPr>
          <w:rFonts w:ascii="Times New Roman" w:hAnsi="Times New Roman" w:cs="Times New Roman"/>
          <w:sz w:val="24"/>
          <w:szCs w:val="24"/>
        </w:rPr>
        <w:t>tot een zodanige belasting van de raadsheren van de Hoge Raad, dat daardoor zijn reguliere werkzaamheden ernstig in het gedrang komen.</w:t>
      </w:r>
    </w:p>
    <w:p w:rsidRPr="00B4699E" w:rsidR="00E9115F" w:rsidP="00E9115F" w:rsidRDefault="00E9115F" w14:paraId="3B6DE105" w14:textId="01F04E2D">
      <w:pPr>
        <w:rPr>
          <w:rFonts w:ascii="Times New Roman" w:hAnsi="Times New Roman" w:cs="Times New Roman"/>
          <w:i/>
          <w:iCs/>
          <w:sz w:val="24"/>
          <w:szCs w:val="24"/>
        </w:rPr>
      </w:pPr>
      <w:r w:rsidRPr="00B4699E">
        <w:rPr>
          <w:rFonts w:ascii="Times New Roman" w:hAnsi="Times New Roman" w:cs="Times New Roman"/>
          <w:i/>
          <w:iCs/>
          <w:sz w:val="24"/>
          <w:szCs w:val="24"/>
        </w:rPr>
        <w:t>De leden van de CDA-fractie lezen dat een bijkomend argument tegen berechting in één instantie door de Hoge Raad is dat de inhoudelijke behandeling van gecompliceerde ambtsmisdrijven zoals corruptie niet goed past in de werkzaamheden van de Hoge Raad als cassatierechter, omdat daarmee een te groot beslag kan worden gelegd op de capaciteit van dat college. Kan de minister een inschatting geven van de capaciteit die wordt gespaard bij de Hoge Raad wanneer de huidige regeling zoals in art</w:t>
      </w:r>
      <w:r w:rsidRPr="00B4699E" w:rsidR="00F87AC2">
        <w:rPr>
          <w:rFonts w:ascii="Times New Roman" w:hAnsi="Times New Roman" w:cs="Times New Roman"/>
          <w:i/>
          <w:iCs/>
          <w:sz w:val="24"/>
          <w:szCs w:val="24"/>
        </w:rPr>
        <w:t>ikel</w:t>
      </w:r>
      <w:r w:rsidRPr="00B4699E">
        <w:rPr>
          <w:rFonts w:ascii="Times New Roman" w:hAnsi="Times New Roman" w:cs="Times New Roman"/>
          <w:i/>
          <w:iCs/>
          <w:sz w:val="24"/>
          <w:szCs w:val="24"/>
        </w:rPr>
        <w:t xml:space="preserve"> 119 Grondwet is bepaald, niet (meer) geldt? </w:t>
      </w:r>
    </w:p>
    <w:p w:rsidRPr="00B4699E" w:rsidR="00E9115F" w:rsidP="00E9115F" w:rsidRDefault="00E9115F" w14:paraId="1EECD34B" w14:textId="136567EC">
      <w:pPr>
        <w:rPr>
          <w:rFonts w:ascii="Times New Roman" w:hAnsi="Times New Roman" w:cs="Times New Roman"/>
          <w:sz w:val="24"/>
          <w:szCs w:val="24"/>
        </w:rPr>
      </w:pPr>
      <w:r w:rsidRPr="00B4699E">
        <w:rPr>
          <w:rFonts w:ascii="Times New Roman" w:hAnsi="Times New Roman" w:cs="Times New Roman"/>
          <w:sz w:val="24"/>
          <w:szCs w:val="24"/>
        </w:rPr>
        <w:t xml:space="preserve">De voorgestelde wijziging van artikel 119 van de Grondwet levert geen directe besparing van capaciteit op, omdat een procedure op grond van dit artikel zich nog nooit heeft voorgedaan. </w:t>
      </w:r>
      <w:r w:rsidRPr="00B4699E" w:rsidR="00D3530C">
        <w:rPr>
          <w:rFonts w:ascii="Times New Roman" w:hAnsi="Times New Roman" w:cs="Times New Roman"/>
          <w:sz w:val="24"/>
          <w:szCs w:val="24"/>
        </w:rPr>
        <w:t>De commissie-</w:t>
      </w:r>
      <w:proofErr w:type="spellStart"/>
      <w:r w:rsidRPr="00B4699E" w:rsidR="00D3530C">
        <w:rPr>
          <w:rFonts w:ascii="Times New Roman" w:hAnsi="Times New Roman" w:cs="Times New Roman"/>
          <w:sz w:val="24"/>
          <w:szCs w:val="24"/>
        </w:rPr>
        <w:t>Fokkens</w:t>
      </w:r>
      <w:proofErr w:type="spellEnd"/>
      <w:r w:rsidRPr="00B4699E" w:rsidR="00D3530C">
        <w:rPr>
          <w:rFonts w:ascii="Times New Roman" w:hAnsi="Times New Roman" w:cs="Times New Roman"/>
          <w:sz w:val="24"/>
          <w:szCs w:val="24"/>
        </w:rPr>
        <w:t xml:space="preserve"> constateert dat als die procedure zich wel voorgedaan zou hebben, dit in dat geval een te groot beslag op de capaciteit van de Hoge Raad zou hebben gelegd. </w:t>
      </w:r>
      <w:r w:rsidRPr="00B4699E">
        <w:rPr>
          <w:rFonts w:ascii="Times New Roman" w:hAnsi="Times New Roman" w:cs="Times New Roman"/>
          <w:sz w:val="24"/>
          <w:szCs w:val="24"/>
        </w:rPr>
        <w:t xml:space="preserve">De </w:t>
      </w:r>
      <w:r w:rsidRPr="00B4699E" w:rsidR="00D3530C">
        <w:rPr>
          <w:rFonts w:ascii="Times New Roman" w:hAnsi="Times New Roman" w:cs="Times New Roman"/>
          <w:sz w:val="24"/>
          <w:szCs w:val="24"/>
        </w:rPr>
        <w:t xml:space="preserve">kerntaak van de Hoge Raad is, blijkens </w:t>
      </w:r>
      <w:r w:rsidRPr="00B4699E" w:rsidR="00F42329">
        <w:rPr>
          <w:rFonts w:ascii="Times New Roman" w:hAnsi="Times New Roman" w:cs="Times New Roman"/>
          <w:sz w:val="24"/>
          <w:szCs w:val="24"/>
        </w:rPr>
        <w:t xml:space="preserve">artikel 118 van de </w:t>
      </w:r>
      <w:r w:rsidRPr="00B4699E" w:rsidR="00D3530C">
        <w:rPr>
          <w:rFonts w:ascii="Times New Roman" w:hAnsi="Times New Roman" w:cs="Times New Roman"/>
          <w:sz w:val="24"/>
          <w:szCs w:val="24"/>
        </w:rPr>
        <w:t xml:space="preserve">Grondwet, het </w:t>
      </w:r>
      <w:r w:rsidRPr="00B4699E" w:rsidR="00F42329">
        <w:rPr>
          <w:rFonts w:ascii="Times New Roman" w:hAnsi="Times New Roman" w:cs="Times New Roman"/>
          <w:sz w:val="24"/>
          <w:szCs w:val="24"/>
        </w:rPr>
        <w:t xml:space="preserve">voorzien in </w:t>
      </w:r>
      <w:r w:rsidRPr="00B4699E" w:rsidR="00D3530C">
        <w:rPr>
          <w:rFonts w:ascii="Times New Roman" w:hAnsi="Times New Roman" w:cs="Times New Roman"/>
          <w:sz w:val="24"/>
          <w:szCs w:val="24"/>
        </w:rPr>
        <w:t xml:space="preserve">cassatie van rechterlijke uitspraken wegens schending van het recht. De capaciteit van de Hoge Raad is toegesneden op deze kerntaak. </w:t>
      </w:r>
    </w:p>
    <w:p w:rsidRPr="00B4699E" w:rsidR="00D32B14" w:rsidP="00E9115F" w:rsidRDefault="00E9115F" w14:paraId="08055249" w14:textId="2193B256">
      <w:pPr>
        <w:rPr>
          <w:rFonts w:ascii="Times New Roman" w:hAnsi="Times New Roman" w:cs="Times New Roman"/>
          <w:i/>
          <w:iCs/>
          <w:sz w:val="24"/>
          <w:szCs w:val="24"/>
        </w:rPr>
      </w:pPr>
      <w:r w:rsidRPr="00B4699E">
        <w:rPr>
          <w:rFonts w:ascii="Times New Roman" w:hAnsi="Times New Roman" w:cs="Times New Roman"/>
          <w:i/>
          <w:iCs/>
          <w:sz w:val="24"/>
          <w:szCs w:val="24"/>
        </w:rPr>
        <w:t>De leden van de CDA-fractie lezen dat de nadere uitwerking van de nieuwe procedure van art</w:t>
      </w:r>
      <w:r w:rsidRPr="00B4699E" w:rsidR="00F87AC2">
        <w:rPr>
          <w:rFonts w:ascii="Times New Roman" w:hAnsi="Times New Roman" w:cs="Times New Roman"/>
          <w:i/>
          <w:iCs/>
          <w:sz w:val="24"/>
          <w:szCs w:val="24"/>
        </w:rPr>
        <w:t>ikel</w:t>
      </w:r>
      <w:r w:rsidRPr="00B4699E">
        <w:rPr>
          <w:rFonts w:ascii="Times New Roman" w:hAnsi="Times New Roman" w:cs="Times New Roman"/>
          <w:i/>
          <w:iCs/>
          <w:sz w:val="24"/>
          <w:szCs w:val="24"/>
        </w:rPr>
        <w:t xml:space="preserve"> 119 Grondwet plaatsvindt in de gewone wet, met name in het Wetboek van </w:t>
      </w:r>
      <w:r w:rsidRPr="00B4699E">
        <w:rPr>
          <w:rFonts w:ascii="Times New Roman" w:hAnsi="Times New Roman" w:cs="Times New Roman"/>
          <w:i/>
          <w:iCs/>
          <w:sz w:val="24"/>
          <w:szCs w:val="24"/>
        </w:rPr>
        <w:lastRenderedPageBreak/>
        <w:t>Strafvordering. Wat betekent dit voor het lopende traject van de modernisering van het Wetboek van Strafvordering?</w:t>
      </w:r>
    </w:p>
    <w:p w:rsidRPr="00B4699E" w:rsidR="00B72D89" w:rsidP="001D01D0" w:rsidRDefault="00B72D89" w14:paraId="23CB26FC" w14:textId="069AF980">
      <w:pPr>
        <w:rPr>
          <w:rFonts w:ascii="Times New Roman" w:hAnsi="Times New Roman" w:cs="Times New Roman"/>
          <w:b/>
          <w:bCs/>
          <w:sz w:val="24"/>
          <w:szCs w:val="24"/>
        </w:rPr>
      </w:pPr>
      <w:r w:rsidRPr="00B4699E">
        <w:rPr>
          <w:rFonts w:ascii="Times New Roman" w:hAnsi="Times New Roman" w:cs="Times New Roman"/>
          <w:sz w:val="24"/>
          <w:szCs w:val="24"/>
        </w:rPr>
        <w:t xml:space="preserve">De wijziging van artikel 119 </w:t>
      </w:r>
      <w:r w:rsidRPr="00B4699E" w:rsidR="005F1306">
        <w:rPr>
          <w:rFonts w:ascii="Times New Roman" w:hAnsi="Times New Roman" w:cs="Times New Roman"/>
          <w:sz w:val="24"/>
          <w:szCs w:val="24"/>
        </w:rPr>
        <w:t xml:space="preserve">van de </w:t>
      </w:r>
      <w:r w:rsidRPr="00B4699E" w:rsidR="005F1D74">
        <w:rPr>
          <w:rFonts w:ascii="Times New Roman" w:hAnsi="Times New Roman" w:cs="Times New Roman"/>
          <w:sz w:val="24"/>
          <w:szCs w:val="24"/>
        </w:rPr>
        <w:t>Grondwet</w:t>
      </w:r>
      <w:r w:rsidRPr="00B4699E" w:rsidR="00140095">
        <w:rPr>
          <w:rFonts w:ascii="Times New Roman" w:hAnsi="Times New Roman" w:cs="Times New Roman"/>
          <w:sz w:val="24"/>
          <w:szCs w:val="24"/>
        </w:rPr>
        <w:t xml:space="preserve"> </w:t>
      </w:r>
      <w:r w:rsidRPr="00B4699E">
        <w:rPr>
          <w:rFonts w:ascii="Times New Roman" w:hAnsi="Times New Roman" w:cs="Times New Roman"/>
          <w:sz w:val="24"/>
          <w:szCs w:val="24"/>
        </w:rPr>
        <w:t xml:space="preserve">betreft een grondwetswijziging die in twee lezingen door beide Kamers der Staten-Generaal zal worden behandeld. In aanvulling op deze grondwetswijziging zal ter uitvoering van spoor II een afzonderlijk wetsvoorstel in procedure worden gebracht, waarmee wordt voorzien in de nadere uitwerking van de nieuwe procedure op het niveau van de gewone wet. Omdat dit afzonderlijke wetsvoorstel gebaseerd is op het gewijzigde artikel 119 </w:t>
      </w:r>
      <w:r w:rsidRPr="00B4699E" w:rsidR="00FC56D4">
        <w:rPr>
          <w:rFonts w:ascii="Times New Roman" w:hAnsi="Times New Roman" w:cs="Times New Roman"/>
          <w:sz w:val="24"/>
          <w:szCs w:val="24"/>
        </w:rPr>
        <w:t xml:space="preserve">van de </w:t>
      </w:r>
      <w:r w:rsidRPr="00B4699E" w:rsidR="005F1D74">
        <w:rPr>
          <w:rFonts w:ascii="Times New Roman" w:hAnsi="Times New Roman" w:cs="Times New Roman"/>
          <w:sz w:val="24"/>
          <w:szCs w:val="24"/>
        </w:rPr>
        <w:t>Grondwet</w:t>
      </w:r>
      <w:r w:rsidRPr="00B4699E">
        <w:rPr>
          <w:rFonts w:ascii="Times New Roman" w:hAnsi="Times New Roman" w:cs="Times New Roman"/>
          <w:sz w:val="24"/>
          <w:szCs w:val="24"/>
        </w:rPr>
        <w:t xml:space="preserve">, kan dit afzonderlijke wetsvoorstel pas inwerking treden </w:t>
      </w:r>
      <w:r w:rsidRPr="00B4699E">
        <w:rPr>
          <w:rFonts w:ascii="Times New Roman" w:hAnsi="Times New Roman" w:cs="Times New Roman"/>
          <w:i/>
          <w:iCs/>
          <w:sz w:val="24"/>
          <w:szCs w:val="24"/>
        </w:rPr>
        <w:t xml:space="preserve">nadat </w:t>
      </w:r>
      <w:r w:rsidRPr="00B4699E">
        <w:rPr>
          <w:rFonts w:ascii="Times New Roman" w:hAnsi="Times New Roman" w:cs="Times New Roman"/>
          <w:sz w:val="24"/>
          <w:szCs w:val="24"/>
        </w:rPr>
        <w:t xml:space="preserve">het voorstel tot grondwetswijziging de volledige wetgevingsprocedure heeft doorlopen. Gelet op de doorlooptijd die gebruikelijk is bij een grondwetswijziging, is de kans groot dat de op dit moment lopende parlementaire behandeling van het nieuwe Wetboek van Strafvordering al is afgerond op het moment dat de wijziging van artikel 119 </w:t>
      </w:r>
      <w:r w:rsidRPr="00B4699E" w:rsidR="00FC56D4">
        <w:rPr>
          <w:rFonts w:ascii="Times New Roman" w:hAnsi="Times New Roman" w:cs="Times New Roman"/>
          <w:sz w:val="24"/>
          <w:szCs w:val="24"/>
        </w:rPr>
        <w:t xml:space="preserve">van de </w:t>
      </w:r>
      <w:r w:rsidRPr="00B4699E">
        <w:rPr>
          <w:rFonts w:ascii="Times New Roman" w:hAnsi="Times New Roman" w:cs="Times New Roman"/>
          <w:sz w:val="24"/>
          <w:szCs w:val="24"/>
        </w:rPr>
        <w:t>G</w:t>
      </w:r>
      <w:r w:rsidRPr="00B4699E" w:rsidR="005F1D74">
        <w:rPr>
          <w:rFonts w:ascii="Times New Roman" w:hAnsi="Times New Roman" w:cs="Times New Roman"/>
          <w:sz w:val="24"/>
          <w:szCs w:val="24"/>
        </w:rPr>
        <w:t>rondwet</w:t>
      </w:r>
      <w:r w:rsidRPr="00B4699E">
        <w:rPr>
          <w:rFonts w:ascii="Times New Roman" w:hAnsi="Times New Roman" w:cs="Times New Roman"/>
          <w:sz w:val="24"/>
          <w:szCs w:val="24"/>
        </w:rPr>
        <w:t xml:space="preserve"> in tweede lezing door beide Kamers zal zijn behandeld. </w:t>
      </w:r>
      <w:r w:rsidRPr="00B4699E" w:rsidR="00551DA3">
        <w:rPr>
          <w:rFonts w:ascii="Times New Roman" w:hAnsi="Times New Roman" w:cs="Times New Roman"/>
          <w:sz w:val="24"/>
          <w:szCs w:val="24"/>
        </w:rPr>
        <w:t xml:space="preserve">Het </w:t>
      </w:r>
      <w:r w:rsidRPr="00B4699E">
        <w:rPr>
          <w:rFonts w:ascii="Times New Roman" w:hAnsi="Times New Roman" w:cs="Times New Roman"/>
          <w:sz w:val="24"/>
          <w:szCs w:val="24"/>
        </w:rPr>
        <w:t xml:space="preserve">afzonderlijke wetsvoorstel ter uitvoering van het nieuwe artikel 119 </w:t>
      </w:r>
      <w:r w:rsidRPr="00B4699E" w:rsidR="00FC56D4">
        <w:rPr>
          <w:rFonts w:ascii="Times New Roman" w:hAnsi="Times New Roman" w:cs="Times New Roman"/>
          <w:sz w:val="24"/>
          <w:szCs w:val="24"/>
        </w:rPr>
        <w:t xml:space="preserve">van de </w:t>
      </w:r>
      <w:r w:rsidRPr="00B4699E">
        <w:rPr>
          <w:rFonts w:ascii="Times New Roman" w:hAnsi="Times New Roman" w:cs="Times New Roman"/>
          <w:sz w:val="24"/>
          <w:szCs w:val="24"/>
        </w:rPr>
        <w:t>G</w:t>
      </w:r>
      <w:r w:rsidRPr="00B4699E" w:rsidR="005F1D74">
        <w:rPr>
          <w:rFonts w:ascii="Times New Roman" w:hAnsi="Times New Roman" w:cs="Times New Roman"/>
          <w:sz w:val="24"/>
          <w:szCs w:val="24"/>
        </w:rPr>
        <w:t>rondwet</w:t>
      </w:r>
      <w:r w:rsidRPr="00B4699E">
        <w:rPr>
          <w:rFonts w:ascii="Times New Roman" w:hAnsi="Times New Roman" w:cs="Times New Roman"/>
          <w:sz w:val="24"/>
          <w:szCs w:val="24"/>
        </w:rPr>
        <w:t xml:space="preserve"> </w:t>
      </w:r>
      <w:r w:rsidRPr="00B4699E" w:rsidR="00551DA3">
        <w:rPr>
          <w:rFonts w:ascii="Times New Roman" w:hAnsi="Times New Roman" w:cs="Times New Roman"/>
          <w:sz w:val="24"/>
          <w:szCs w:val="24"/>
        </w:rPr>
        <w:t>zal vervolgens</w:t>
      </w:r>
      <w:r w:rsidRPr="00B4699E" w:rsidR="00ED207A">
        <w:rPr>
          <w:rFonts w:ascii="Times New Roman" w:hAnsi="Times New Roman" w:cs="Times New Roman"/>
          <w:sz w:val="24"/>
          <w:szCs w:val="24"/>
        </w:rPr>
        <w:t xml:space="preserve"> strekken tot wijziging van </w:t>
      </w:r>
      <w:r w:rsidRPr="00B4699E" w:rsidR="00551DA3">
        <w:rPr>
          <w:rFonts w:ascii="Times New Roman" w:hAnsi="Times New Roman" w:cs="Times New Roman"/>
          <w:sz w:val="24"/>
          <w:szCs w:val="24"/>
        </w:rPr>
        <w:t>h</w:t>
      </w:r>
      <w:r w:rsidRPr="00B4699E">
        <w:rPr>
          <w:rFonts w:ascii="Times New Roman" w:hAnsi="Times New Roman" w:cs="Times New Roman"/>
          <w:sz w:val="24"/>
          <w:szCs w:val="24"/>
        </w:rPr>
        <w:t xml:space="preserve">et nieuwe wetboek. </w:t>
      </w:r>
    </w:p>
    <w:p w:rsidRPr="00B4699E" w:rsidR="005B0E19" w:rsidP="005B0E19" w:rsidRDefault="001D01D0" w14:paraId="1B15E0A9" w14:textId="77777777">
      <w:pPr>
        <w:rPr>
          <w:rFonts w:ascii="Times New Roman" w:hAnsi="Times New Roman" w:cs="Times New Roman"/>
          <w:b/>
          <w:bCs/>
          <w:sz w:val="24"/>
          <w:szCs w:val="24"/>
        </w:rPr>
      </w:pPr>
      <w:r w:rsidRPr="00B4699E">
        <w:rPr>
          <w:rFonts w:ascii="Times New Roman" w:hAnsi="Times New Roman" w:cs="Times New Roman"/>
          <w:b/>
          <w:bCs/>
          <w:sz w:val="24"/>
          <w:szCs w:val="24"/>
        </w:rPr>
        <w:t xml:space="preserve">Vragen </w:t>
      </w:r>
      <w:r w:rsidRPr="00B4699E" w:rsidR="00EC1FB7">
        <w:rPr>
          <w:rFonts w:ascii="Times New Roman" w:hAnsi="Times New Roman" w:cs="Times New Roman"/>
          <w:b/>
          <w:bCs/>
          <w:sz w:val="24"/>
          <w:szCs w:val="24"/>
        </w:rPr>
        <w:t xml:space="preserve">en opmerkingen </w:t>
      </w:r>
      <w:r w:rsidRPr="00B4699E">
        <w:rPr>
          <w:rFonts w:ascii="Times New Roman" w:hAnsi="Times New Roman" w:cs="Times New Roman"/>
          <w:b/>
          <w:bCs/>
          <w:sz w:val="24"/>
          <w:szCs w:val="24"/>
        </w:rPr>
        <w:t>van de leden van de SP-fractie</w:t>
      </w:r>
      <w:r w:rsidRPr="00B4699E" w:rsidR="005B0E19">
        <w:rPr>
          <w:rFonts w:ascii="Times New Roman" w:hAnsi="Times New Roman" w:cs="Times New Roman"/>
          <w:b/>
          <w:bCs/>
          <w:sz w:val="24"/>
          <w:szCs w:val="24"/>
        </w:rPr>
        <w:t xml:space="preserve"> en reactie van de bewindspersonen</w:t>
      </w:r>
    </w:p>
    <w:p w:rsidRPr="00B4699E" w:rsidR="00EC1FB7" w:rsidP="00BC1AA4" w:rsidRDefault="00EC1FB7" w14:paraId="02ED8C39" w14:textId="29FBCFB9">
      <w:pPr>
        <w:rPr>
          <w:rFonts w:ascii="Times New Roman" w:hAnsi="Times New Roman" w:cs="Times New Roman"/>
          <w:i/>
          <w:iCs/>
          <w:sz w:val="24"/>
          <w:szCs w:val="24"/>
        </w:rPr>
      </w:pPr>
      <w:r w:rsidRPr="00B4699E">
        <w:rPr>
          <w:rFonts w:ascii="Times New Roman" w:hAnsi="Times New Roman" w:cs="Times New Roman"/>
          <w:i/>
          <w:iCs/>
          <w:sz w:val="24"/>
          <w:szCs w:val="24"/>
        </w:rPr>
        <w:t>De leden van de SP-fractie, tot slot, delen de mening dat de huidige wetgeving omtrent ambtsdelicten ernstig tekortschiet en wijzen erop dat de leden dit ook al geruime tijd hebben aangekaart. De leden zijn in algemene zin positief over het voornemen om alle aanbevelingen van de commissie over te nemen en zien dit ook als noodzakelijk in het kader van de betrouwbaarheid en integriteit van de Kamerleden, als ook het vertrouwen dat zij moeten uitstralen richting de samenleving. De leden van de SP-fractie hebben nog een aantal vragen.</w:t>
      </w:r>
    </w:p>
    <w:p w:rsidRPr="00B4699E" w:rsidR="00BC1AA4" w:rsidP="00BC1AA4" w:rsidRDefault="00BC1AA4" w14:paraId="5A131FF5" w14:textId="1A2119F5">
      <w:pPr>
        <w:rPr>
          <w:rFonts w:ascii="Times New Roman" w:hAnsi="Times New Roman" w:cs="Times New Roman"/>
          <w:i/>
          <w:iCs/>
          <w:sz w:val="24"/>
          <w:szCs w:val="24"/>
        </w:rPr>
      </w:pPr>
      <w:r w:rsidRPr="00B4699E">
        <w:rPr>
          <w:rFonts w:ascii="Times New Roman" w:hAnsi="Times New Roman" w:cs="Times New Roman"/>
          <w:i/>
          <w:iCs/>
          <w:sz w:val="24"/>
          <w:szCs w:val="24"/>
        </w:rPr>
        <w:t xml:space="preserve">De leden van de SP-fractie vinden het positief dat de bijzondere procedure zoals die nu in artikel 119 van de Grondwet staat, afgeschaft wordt en in plaats daarvan de vervolging en berechting van ambtsdelicten van Kamerleden en bewindspersonen volgens de reguliere regels van het strafprocesrecht te laten verlopen. Het rapport maakt inzichtelijk dat een deel van de problemen die aan de huidige procedure kleven al kan worden opgelost door de uitwerking van artikel 119 Grondwet in de gewone wetgeving beter te regelen. Met die verbeteringen hoeft dus niet te worden gewacht op grondwetswijziging. Klopt het dat dit zal gebeuren bij de huidige modernisering van het Wetboek van Strafvordering? Wanneer kan de Kamer een voorstel verwachten om deze bijzondere procedure onder artikel 119 van de Grondwet af te schaffen? </w:t>
      </w:r>
    </w:p>
    <w:p w:rsidRPr="00B4699E" w:rsidR="00707871" w:rsidP="00707871" w:rsidRDefault="00B72D89" w14:paraId="362E90AD" w14:textId="45AF2980">
      <w:pPr>
        <w:rPr>
          <w:rFonts w:ascii="Times New Roman" w:hAnsi="Times New Roman" w:cs="Times New Roman"/>
          <w:sz w:val="24"/>
          <w:szCs w:val="24"/>
        </w:rPr>
      </w:pPr>
      <w:r w:rsidRPr="00B4699E">
        <w:rPr>
          <w:rFonts w:ascii="Times New Roman" w:hAnsi="Times New Roman" w:cs="Times New Roman"/>
          <w:sz w:val="24"/>
          <w:szCs w:val="24"/>
        </w:rPr>
        <w:t xml:space="preserve">Het wetsvoorstel tot wijziging van de bijzondere procedure binnen het huidige grondwettelijke kader (spoor I) zal met name wijzigingen van het Wetboek van Strafvordering bevatten. Dit wetsvoorstel zal naar verwachting in het </w:t>
      </w:r>
      <w:r w:rsidRPr="00B4699E" w:rsidR="004D7ACF">
        <w:rPr>
          <w:rFonts w:ascii="Times New Roman" w:hAnsi="Times New Roman" w:cs="Times New Roman"/>
          <w:sz w:val="24"/>
          <w:szCs w:val="24"/>
        </w:rPr>
        <w:t>najaar</w:t>
      </w:r>
      <w:r w:rsidRPr="00B4699E">
        <w:rPr>
          <w:rFonts w:ascii="Times New Roman" w:hAnsi="Times New Roman" w:cs="Times New Roman"/>
          <w:sz w:val="24"/>
          <w:szCs w:val="24"/>
        </w:rPr>
        <w:t xml:space="preserve"> van 2024 in (internet)consultatie worden gegeven. Het ligt in de rede dat dit wetstraject zal worden afgerond </w:t>
      </w:r>
      <w:r w:rsidRPr="00B4699E" w:rsidR="00551DA3">
        <w:rPr>
          <w:rFonts w:ascii="Times New Roman" w:hAnsi="Times New Roman" w:cs="Times New Roman"/>
          <w:sz w:val="24"/>
          <w:szCs w:val="24"/>
        </w:rPr>
        <w:t xml:space="preserve">(ruim) </w:t>
      </w:r>
      <w:r w:rsidRPr="00B4699E">
        <w:rPr>
          <w:rFonts w:ascii="Times New Roman" w:hAnsi="Times New Roman" w:cs="Times New Roman"/>
          <w:sz w:val="24"/>
          <w:szCs w:val="24"/>
        </w:rPr>
        <w:t>voordat het nieuwe Wetboek van Strafvordering in werking treedt. Daarom zullen de in het wetsvoorstel opgenomen wijzigingen nog in het huidige Wetboek van Strafvordering worden doorgevoerd.</w:t>
      </w:r>
      <w:r w:rsidRPr="00B4699E" w:rsidR="00551DA3">
        <w:rPr>
          <w:rFonts w:ascii="Times New Roman" w:hAnsi="Times New Roman" w:cs="Times New Roman"/>
          <w:sz w:val="24"/>
          <w:szCs w:val="24"/>
        </w:rPr>
        <w:t xml:space="preserve"> Het wetsvoorstel zal worden aangevuld met </w:t>
      </w:r>
      <w:r w:rsidRPr="00B4699E" w:rsidR="00551DA3">
        <w:rPr>
          <w:rFonts w:ascii="Times New Roman" w:hAnsi="Times New Roman" w:cs="Times New Roman"/>
          <w:sz w:val="24"/>
          <w:szCs w:val="24"/>
        </w:rPr>
        <w:lastRenderedPageBreak/>
        <w:t xml:space="preserve">wijzigingsopdrachten waarmee deze wijzigingen uit spoor I ook – op het moment van inwerkingtreding van het nieuwe wetboek – in het nieuwe wetboek zullen worden doorgevoerd. </w:t>
      </w:r>
      <w:r w:rsidRPr="00B4699E">
        <w:rPr>
          <w:rFonts w:ascii="Times New Roman" w:hAnsi="Times New Roman" w:cs="Times New Roman"/>
          <w:sz w:val="24"/>
          <w:szCs w:val="24"/>
        </w:rPr>
        <w:br/>
      </w:r>
      <w:r w:rsidRPr="00B4699E">
        <w:rPr>
          <w:rFonts w:ascii="Times New Roman" w:hAnsi="Times New Roman" w:cs="Times New Roman"/>
          <w:sz w:val="24"/>
          <w:szCs w:val="24"/>
        </w:rPr>
        <w:br/>
      </w:r>
      <w:r w:rsidRPr="00B4699E" w:rsidR="00707871">
        <w:rPr>
          <w:rFonts w:ascii="Times New Roman" w:hAnsi="Times New Roman" w:cs="Times New Roman"/>
          <w:sz w:val="24"/>
          <w:szCs w:val="24"/>
        </w:rPr>
        <w:t>Het kabinet streeft er</w:t>
      </w:r>
      <w:r w:rsidRPr="00B4699E" w:rsidR="004D7ACF">
        <w:rPr>
          <w:rFonts w:ascii="Times New Roman" w:hAnsi="Times New Roman" w:cs="Times New Roman"/>
          <w:sz w:val="24"/>
          <w:szCs w:val="24"/>
        </w:rPr>
        <w:t xml:space="preserve"> als gezegd </w:t>
      </w:r>
      <w:r w:rsidRPr="00B4699E" w:rsidR="00707871">
        <w:rPr>
          <w:rFonts w:ascii="Times New Roman" w:hAnsi="Times New Roman" w:cs="Times New Roman"/>
          <w:sz w:val="24"/>
          <w:szCs w:val="24"/>
        </w:rPr>
        <w:t xml:space="preserve">naar het wetsvoorstel tot wijziging van de ‘gewone’ wet (spoor I) </w:t>
      </w:r>
      <w:r w:rsidRPr="00B4699E" w:rsidR="004D7ACF">
        <w:rPr>
          <w:rFonts w:ascii="Times New Roman" w:hAnsi="Times New Roman" w:cs="Times New Roman"/>
          <w:sz w:val="24"/>
          <w:szCs w:val="24"/>
        </w:rPr>
        <w:t xml:space="preserve">in het najaar van 2024 te publiceren voor internetconsultatie. Dit geldt ook voor </w:t>
      </w:r>
      <w:r w:rsidRPr="00B4699E" w:rsidR="00707871">
        <w:rPr>
          <w:rFonts w:ascii="Times New Roman" w:hAnsi="Times New Roman" w:cs="Times New Roman"/>
          <w:sz w:val="24"/>
          <w:szCs w:val="24"/>
        </w:rPr>
        <w:t>het grondwets</w:t>
      </w:r>
      <w:r w:rsidRPr="00B4699E" w:rsidR="004D7ACF">
        <w:rPr>
          <w:rFonts w:ascii="Times New Roman" w:hAnsi="Times New Roman" w:cs="Times New Roman"/>
          <w:sz w:val="24"/>
          <w:szCs w:val="24"/>
        </w:rPr>
        <w:t>wijzigings</w:t>
      </w:r>
      <w:r w:rsidRPr="00B4699E" w:rsidR="00707871">
        <w:rPr>
          <w:rFonts w:ascii="Times New Roman" w:hAnsi="Times New Roman" w:cs="Times New Roman"/>
          <w:sz w:val="24"/>
          <w:szCs w:val="24"/>
        </w:rPr>
        <w:t xml:space="preserve">voorstel (spoor II). Het kabinet hoopt beide voorstellen medio 2025 in te dienen bij </w:t>
      </w:r>
      <w:r w:rsidRPr="00B4699E" w:rsidR="00DF480D">
        <w:rPr>
          <w:rFonts w:ascii="Times New Roman" w:hAnsi="Times New Roman" w:cs="Times New Roman"/>
          <w:sz w:val="24"/>
          <w:szCs w:val="24"/>
        </w:rPr>
        <w:t>de Tweede Kamer</w:t>
      </w:r>
      <w:r w:rsidRPr="00B4699E" w:rsidR="00707871">
        <w:rPr>
          <w:rFonts w:ascii="Times New Roman" w:hAnsi="Times New Roman" w:cs="Times New Roman"/>
          <w:sz w:val="24"/>
          <w:szCs w:val="24"/>
        </w:rPr>
        <w:t xml:space="preserve">. </w:t>
      </w:r>
    </w:p>
    <w:p w:rsidRPr="00B4699E" w:rsidR="00BC1AA4" w:rsidP="00BC1AA4" w:rsidRDefault="00BC1AA4" w14:paraId="2ABDF005" w14:textId="25979871">
      <w:pPr>
        <w:rPr>
          <w:rFonts w:ascii="Times New Roman" w:hAnsi="Times New Roman" w:cs="Times New Roman"/>
          <w:i/>
          <w:iCs/>
          <w:sz w:val="24"/>
          <w:szCs w:val="24"/>
        </w:rPr>
      </w:pPr>
      <w:r w:rsidRPr="00B4699E">
        <w:rPr>
          <w:rFonts w:ascii="Times New Roman" w:hAnsi="Times New Roman" w:cs="Times New Roman"/>
          <w:i/>
          <w:iCs/>
          <w:sz w:val="24"/>
          <w:szCs w:val="24"/>
        </w:rPr>
        <w:t>De leden van de SP-fractie constateren dat ook de adviezen worden opgevolgd van de commissie om de artikelen 355 en 356 van het Wetboek van Strafrecht te laten vervallen. Waarin in algemene bewoordingen het opzettelijk of door grove schuld handelen van bewindspersonen in strijd met de (Grond)wet strafbaar wordt gesteld. Deze leden willen de minister vragen wat dit zal gaan betekenen in de praktijk. Kunnen hier voorbeelden worden gegeven voor het handelen van bewindspersonen wat dan niet meer strafbaar wordt gesteld?</w:t>
      </w:r>
    </w:p>
    <w:p w:rsidRPr="00B4699E" w:rsidR="00ED207A" w:rsidP="00B72D89" w:rsidRDefault="00ED207A" w14:paraId="36D959AE" w14:textId="68795B8E">
      <w:pPr>
        <w:rPr>
          <w:rFonts w:ascii="Times New Roman" w:hAnsi="Times New Roman" w:cs="Times New Roman"/>
          <w:sz w:val="24"/>
          <w:szCs w:val="24"/>
        </w:rPr>
      </w:pPr>
      <w:r w:rsidRPr="00B4699E">
        <w:rPr>
          <w:rFonts w:ascii="Times New Roman" w:hAnsi="Times New Roman" w:cs="Times New Roman"/>
          <w:sz w:val="24"/>
          <w:szCs w:val="24"/>
        </w:rPr>
        <w:t xml:space="preserve">Verwezen wordt naar een eerder antwoord op een vergelijkbare vraag van de leden van de BBB-fractie, waarin ook onderhavige vraag van de leden van de SP-fractie wordt beantwoord. </w:t>
      </w:r>
    </w:p>
    <w:p w:rsidRPr="00B4699E" w:rsidR="00BC1AA4" w:rsidP="00BC1AA4" w:rsidRDefault="00BC1AA4" w14:paraId="53ADA683" w14:textId="77777777">
      <w:pPr>
        <w:rPr>
          <w:rFonts w:ascii="Times New Roman" w:hAnsi="Times New Roman" w:cs="Times New Roman"/>
          <w:i/>
          <w:iCs/>
          <w:sz w:val="24"/>
          <w:szCs w:val="24"/>
        </w:rPr>
      </w:pPr>
      <w:r w:rsidRPr="00B4699E">
        <w:rPr>
          <w:rFonts w:ascii="Times New Roman" w:hAnsi="Times New Roman" w:cs="Times New Roman"/>
          <w:i/>
          <w:iCs/>
          <w:sz w:val="24"/>
          <w:szCs w:val="24"/>
        </w:rPr>
        <w:t>De leden van de SP-fractie vinden het positief om te lezen dat de adviezen van zowel de commissie-</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als de Group of </w:t>
      </w:r>
      <w:proofErr w:type="spellStart"/>
      <w:r w:rsidRPr="00B4699E">
        <w:rPr>
          <w:rFonts w:ascii="Times New Roman" w:hAnsi="Times New Roman" w:cs="Times New Roman"/>
          <w:i/>
          <w:iCs/>
          <w:sz w:val="24"/>
          <w:szCs w:val="24"/>
        </w:rPr>
        <w:t>States</w:t>
      </w:r>
      <w:proofErr w:type="spellEnd"/>
      <w:r w:rsidRPr="00B4699E">
        <w:rPr>
          <w:rFonts w:ascii="Times New Roman" w:hAnsi="Times New Roman" w:cs="Times New Roman"/>
          <w:i/>
          <w:iCs/>
          <w:sz w:val="24"/>
          <w:szCs w:val="24"/>
        </w:rPr>
        <w:t xml:space="preserve"> </w:t>
      </w:r>
      <w:proofErr w:type="spellStart"/>
      <w:r w:rsidRPr="00B4699E">
        <w:rPr>
          <w:rFonts w:ascii="Times New Roman" w:hAnsi="Times New Roman" w:cs="Times New Roman"/>
          <w:i/>
          <w:iCs/>
          <w:sz w:val="24"/>
          <w:szCs w:val="24"/>
        </w:rPr>
        <w:t>against</w:t>
      </w:r>
      <w:proofErr w:type="spellEnd"/>
      <w:r w:rsidRPr="00B4699E">
        <w:rPr>
          <w:rFonts w:ascii="Times New Roman" w:hAnsi="Times New Roman" w:cs="Times New Roman"/>
          <w:i/>
          <w:iCs/>
          <w:sz w:val="24"/>
          <w:szCs w:val="24"/>
        </w:rPr>
        <w:t xml:space="preserve"> </w:t>
      </w:r>
      <w:proofErr w:type="spellStart"/>
      <w:r w:rsidRPr="00B4699E">
        <w:rPr>
          <w:rFonts w:ascii="Times New Roman" w:hAnsi="Times New Roman" w:cs="Times New Roman"/>
          <w:i/>
          <w:iCs/>
          <w:sz w:val="24"/>
          <w:szCs w:val="24"/>
        </w:rPr>
        <w:t>Corruption</w:t>
      </w:r>
      <w:proofErr w:type="spellEnd"/>
      <w:r w:rsidRPr="00B4699E">
        <w:rPr>
          <w:rFonts w:ascii="Times New Roman" w:hAnsi="Times New Roman" w:cs="Times New Roman"/>
          <w:i/>
          <w:iCs/>
          <w:sz w:val="24"/>
          <w:szCs w:val="24"/>
        </w:rPr>
        <w:t xml:space="preserve"> (GRECO) worden opgevolgd, om ervoor te zorgen dat er geen belemmeringen zijn voor de strafrechtspleging ten aanzien van bewindspersonen die worden verdacht van met corruptiesamenhangende strafbare feiten. Welke wetswijziging is hiervoor nodig om deze verandering te brengen? </w:t>
      </w:r>
    </w:p>
    <w:p w:rsidRPr="00B4699E" w:rsidR="00AD7E01" w:rsidP="00AD7E01" w:rsidRDefault="00AD7E01" w14:paraId="050C3856" w14:textId="136DFA0B">
      <w:pPr>
        <w:rPr>
          <w:rFonts w:ascii="Times New Roman" w:hAnsi="Times New Roman" w:cs="Times New Roman"/>
          <w:sz w:val="24"/>
          <w:szCs w:val="24"/>
        </w:rPr>
      </w:pPr>
      <w:r w:rsidRPr="00B4699E">
        <w:rPr>
          <w:rFonts w:ascii="Times New Roman" w:hAnsi="Times New Roman" w:cs="Times New Roman"/>
          <w:sz w:val="24"/>
          <w:szCs w:val="24"/>
        </w:rPr>
        <w:t xml:space="preserve">Om deze verandering te bewerkstelligen is een wijziging van de Grondwet, het Wetboek van Strafrecht, </w:t>
      </w:r>
      <w:r w:rsidRPr="00B4699E" w:rsidR="006B3D72">
        <w:rPr>
          <w:rFonts w:ascii="Times New Roman" w:hAnsi="Times New Roman" w:cs="Times New Roman"/>
          <w:sz w:val="24"/>
          <w:szCs w:val="24"/>
        </w:rPr>
        <w:t xml:space="preserve">het </w:t>
      </w:r>
      <w:r w:rsidRPr="00B4699E">
        <w:rPr>
          <w:rFonts w:ascii="Times New Roman" w:hAnsi="Times New Roman" w:cs="Times New Roman"/>
          <w:sz w:val="24"/>
          <w:szCs w:val="24"/>
        </w:rPr>
        <w:t xml:space="preserve">Wetboek van Strafvordering, </w:t>
      </w:r>
      <w:r w:rsidRPr="00B4699E" w:rsidR="006B3D72">
        <w:rPr>
          <w:rFonts w:ascii="Times New Roman" w:hAnsi="Times New Roman" w:cs="Times New Roman"/>
          <w:sz w:val="24"/>
          <w:szCs w:val="24"/>
        </w:rPr>
        <w:t xml:space="preserve">de </w:t>
      </w:r>
      <w:r w:rsidRPr="00B4699E">
        <w:rPr>
          <w:rFonts w:ascii="Times New Roman" w:hAnsi="Times New Roman" w:cs="Times New Roman"/>
          <w:sz w:val="24"/>
          <w:szCs w:val="24"/>
        </w:rPr>
        <w:t>Wet op de rechterlijke organisatie en de Wet ministeriële verantwoordelijkheid en ambtsdelicten leden Staten-Generaal, ministers en staatssecretarissen nodig</w:t>
      </w:r>
      <w:r w:rsidRPr="00B4699E" w:rsidR="00537F59">
        <w:rPr>
          <w:rFonts w:ascii="Times New Roman" w:hAnsi="Times New Roman" w:cs="Times New Roman"/>
          <w:sz w:val="24"/>
          <w:szCs w:val="24"/>
        </w:rPr>
        <w:t xml:space="preserve"> langs de lijnen van het rapport-</w:t>
      </w:r>
      <w:proofErr w:type="spellStart"/>
      <w:r w:rsidRPr="00B4699E" w:rsidR="00537F59">
        <w:rPr>
          <w:rFonts w:ascii="Times New Roman" w:hAnsi="Times New Roman" w:cs="Times New Roman"/>
          <w:sz w:val="24"/>
          <w:szCs w:val="24"/>
        </w:rPr>
        <w:t>Fokkens</w:t>
      </w:r>
      <w:proofErr w:type="spellEnd"/>
      <w:r w:rsidRPr="00B4699E">
        <w:rPr>
          <w:rFonts w:ascii="Times New Roman" w:hAnsi="Times New Roman" w:cs="Times New Roman"/>
          <w:sz w:val="24"/>
          <w:szCs w:val="24"/>
        </w:rPr>
        <w:t>. Het kabinet zal hiervoor twee aparte wetswijzigingen (wijziging van de Grondwet en wijziging van de ‘gewone’ wetten) tegelijkertijd in procedure brengen.</w:t>
      </w:r>
    </w:p>
    <w:p w:rsidRPr="00B4699E" w:rsidR="009C1767" w:rsidP="00BC1AA4" w:rsidRDefault="00BC1AA4" w14:paraId="60739DAB" w14:textId="13C171F8">
      <w:pPr>
        <w:rPr>
          <w:rFonts w:ascii="Times New Roman" w:hAnsi="Times New Roman" w:cs="Times New Roman"/>
          <w:i/>
          <w:iCs/>
          <w:sz w:val="24"/>
          <w:szCs w:val="24"/>
        </w:rPr>
      </w:pPr>
      <w:r w:rsidRPr="00B4699E">
        <w:rPr>
          <w:rFonts w:ascii="Times New Roman" w:hAnsi="Times New Roman" w:cs="Times New Roman"/>
          <w:i/>
          <w:iCs/>
          <w:sz w:val="24"/>
          <w:szCs w:val="24"/>
        </w:rPr>
        <w:t xml:space="preserve">De leden van de SP-fractie lezen dat de procedure en regels omtrent een opsporingsonderzoek naar een Kamerlid of bewindspersoon wordt gewijzigd. Hiermee wordt het onderzoek verlegd naar de PGHR. Waarom was de oude procedure niet praktisch werkbaar en hoe verandert dit nu voor de PGHR? </w:t>
      </w:r>
    </w:p>
    <w:p w:rsidRPr="00B4699E" w:rsidR="00E55CC7" w:rsidP="00E55CC7" w:rsidRDefault="00B72D89" w14:paraId="67C88221" w14:textId="6BD7F488">
      <w:pPr>
        <w:spacing w:after="160" w:line="259" w:lineRule="auto"/>
        <w:rPr>
          <w:rFonts w:ascii="Times New Roman" w:hAnsi="Times New Roman" w:cs="Times New Roman"/>
          <w:kern w:val="2"/>
          <w:sz w:val="24"/>
          <w:szCs w:val="24"/>
          <w14:ligatures w14:val="standardContextual"/>
        </w:rPr>
      </w:pPr>
      <w:r w:rsidRPr="00B4699E">
        <w:rPr>
          <w:rFonts w:ascii="Times New Roman" w:hAnsi="Times New Roman" w:cs="Times New Roman"/>
          <w:sz w:val="24"/>
          <w:szCs w:val="24"/>
        </w:rPr>
        <w:t>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heeft in het onderzoeksrapport verschillende knelpunten</w:t>
      </w:r>
      <w:r w:rsidRPr="00B4699E" w:rsidR="00ED207A">
        <w:rPr>
          <w:rFonts w:ascii="Times New Roman" w:hAnsi="Times New Roman" w:cs="Times New Roman"/>
          <w:sz w:val="24"/>
          <w:szCs w:val="24"/>
        </w:rPr>
        <w:t xml:space="preserve"> in kaart gebracht die betrekking hebben op de opsporing van ambtsdelicten die zijn begaan door Kamerleden en bewindspersonen. </w:t>
      </w:r>
      <w:r w:rsidRPr="00B4699E">
        <w:rPr>
          <w:rFonts w:ascii="Times New Roman" w:hAnsi="Times New Roman" w:cs="Times New Roman"/>
          <w:sz w:val="24"/>
          <w:szCs w:val="24"/>
        </w:rPr>
        <w:t>De belangrijkste knelpunten zijn de volgende (voor een uitgebreider overzicht wordt verwezen naar hoofdstuk 5 van het rapport van de commissie):</w:t>
      </w:r>
    </w:p>
    <w:p w:rsidRPr="00B4699E" w:rsidR="00E55CC7" w:rsidP="00E55CC7" w:rsidRDefault="00E55CC7" w14:paraId="66586ECE" w14:textId="77777777">
      <w:pPr>
        <w:pStyle w:val="Lijstalinea"/>
        <w:numPr>
          <w:ilvl w:val="0"/>
          <w:numId w:val="1"/>
        </w:numPr>
        <w:spacing w:after="160" w:line="259" w:lineRule="auto"/>
        <w:rPr>
          <w:rFonts w:ascii="Times New Roman" w:hAnsi="Times New Roman" w:cs="Times New Roman"/>
          <w:kern w:val="2"/>
          <w:sz w:val="24"/>
          <w:szCs w:val="24"/>
          <w14:ligatures w14:val="standardContextual"/>
        </w:rPr>
      </w:pPr>
      <w:r w:rsidRPr="00B4699E">
        <w:rPr>
          <w:rFonts w:ascii="Times New Roman" w:hAnsi="Times New Roman" w:cs="Times New Roman"/>
          <w:kern w:val="2"/>
          <w:sz w:val="24"/>
          <w:szCs w:val="24"/>
          <w14:ligatures w14:val="standardContextual"/>
        </w:rPr>
        <w:t xml:space="preserve">De in de </w:t>
      </w:r>
      <w:proofErr w:type="spellStart"/>
      <w:r w:rsidRPr="00B4699E">
        <w:rPr>
          <w:rFonts w:ascii="Times New Roman" w:hAnsi="Times New Roman" w:cs="Times New Roman"/>
          <w:kern w:val="2"/>
          <w:sz w:val="24"/>
          <w:szCs w:val="24"/>
          <w14:ligatures w14:val="standardContextual"/>
        </w:rPr>
        <w:t>Wmv</w:t>
      </w:r>
      <w:proofErr w:type="spellEnd"/>
      <w:r w:rsidRPr="00B4699E">
        <w:rPr>
          <w:rFonts w:ascii="Times New Roman" w:hAnsi="Times New Roman" w:cs="Times New Roman"/>
          <w:kern w:val="2"/>
          <w:sz w:val="24"/>
          <w:szCs w:val="24"/>
          <w14:ligatures w14:val="standardContextual"/>
        </w:rPr>
        <w:t xml:space="preserve"> neergelegde procedure voor opsporing door de Tweede Kamer is onduidelijk en gebrekkig. Aan (de onderzoekscommissie uit) de Tweede Kamer zijn geen adequate opsporingsbevoegdheden toegekend om deugdelijk opsporingsonderzoek mogelijk te maken;</w:t>
      </w:r>
    </w:p>
    <w:p w:rsidRPr="00B4699E" w:rsidR="00E55CC7" w:rsidP="00E55CC7" w:rsidRDefault="00E55CC7" w14:paraId="15FA5F1F" w14:textId="18C730A7">
      <w:pPr>
        <w:pStyle w:val="Lijstalinea"/>
        <w:numPr>
          <w:ilvl w:val="0"/>
          <w:numId w:val="1"/>
        </w:numPr>
        <w:spacing w:after="160" w:line="259" w:lineRule="auto"/>
        <w:rPr>
          <w:rFonts w:ascii="Times New Roman" w:hAnsi="Times New Roman" w:cs="Times New Roman"/>
          <w:kern w:val="2"/>
          <w:sz w:val="24"/>
          <w:szCs w:val="24"/>
          <w14:ligatures w14:val="standardContextual"/>
        </w:rPr>
      </w:pPr>
      <w:r w:rsidRPr="00B4699E">
        <w:rPr>
          <w:rFonts w:ascii="Times New Roman" w:hAnsi="Times New Roman" w:cs="Times New Roman"/>
          <w:kern w:val="2"/>
          <w:sz w:val="24"/>
          <w:szCs w:val="24"/>
          <w14:ligatures w14:val="standardContextual"/>
        </w:rPr>
        <w:lastRenderedPageBreak/>
        <w:t xml:space="preserve">De </w:t>
      </w:r>
      <w:proofErr w:type="spellStart"/>
      <w:r w:rsidRPr="00B4699E">
        <w:rPr>
          <w:rFonts w:ascii="Times New Roman" w:hAnsi="Times New Roman" w:cs="Times New Roman"/>
          <w:kern w:val="2"/>
          <w:sz w:val="24"/>
          <w:szCs w:val="24"/>
          <w14:ligatures w14:val="standardContextual"/>
        </w:rPr>
        <w:t>Wmv</w:t>
      </w:r>
      <w:proofErr w:type="spellEnd"/>
      <w:r w:rsidRPr="00B4699E">
        <w:rPr>
          <w:rFonts w:ascii="Times New Roman" w:hAnsi="Times New Roman" w:cs="Times New Roman"/>
          <w:kern w:val="2"/>
          <w:sz w:val="24"/>
          <w:szCs w:val="24"/>
          <w14:ligatures w14:val="standardContextual"/>
        </w:rPr>
        <w:t xml:space="preserve"> bepaalt dat het onderzoek binnen uiterlijk vijf maanden na het indienen van een aanklacht moet zijn afgerond (drie maanden, met</w:t>
      </w:r>
      <w:r w:rsidRPr="00B4699E" w:rsidR="00D66E08">
        <w:rPr>
          <w:rFonts w:ascii="Times New Roman" w:hAnsi="Times New Roman" w:cs="Times New Roman"/>
          <w:kern w:val="2"/>
          <w:sz w:val="24"/>
          <w:szCs w:val="24"/>
          <w14:ligatures w14:val="standardContextual"/>
        </w:rPr>
        <w:t xml:space="preserve"> een</w:t>
      </w:r>
      <w:r w:rsidRPr="00B4699E">
        <w:rPr>
          <w:rFonts w:ascii="Times New Roman" w:hAnsi="Times New Roman" w:cs="Times New Roman"/>
          <w:kern w:val="2"/>
          <w:sz w:val="24"/>
          <w:szCs w:val="24"/>
          <w14:ligatures w14:val="standardContextual"/>
        </w:rPr>
        <w:t xml:space="preserve"> eenmalige verlengingsmogelijkheid van twee maanden). Die termijn is ontoereikend voor een volledig opsporingsonderzoek in dergelijke, veelal omvangrijke en complexe zaken;</w:t>
      </w:r>
    </w:p>
    <w:p w:rsidRPr="00B4699E" w:rsidR="00E55CC7" w:rsidP="00E55CC7" w:rsidRDefault="00E55CC7" w14:paraId="4ED224C4" w14:textId="77777777">
      <w:pPr>
        <w:pStyle w:val="Lijstalinea"/>
        <w:numPr>
          <w:ilvl w:val="0"/>
          <w:numId w:val="1"/>
        </w:numPr>
        <w:spacing w:after="160" w:line="259" w:lineRule="auto"/>
        <w:rPr>
          <w:rFonts w:ascii="Times New Roman" w:hAnsi="Times New Roman" w:cs="Times New Roman"/>
          <w:kern w:val="2"/>
          <w:sz w:val="24"/>
          <w:szCs w:val="24"/>
          <w14:ligatures w14:val="standardContextual"/>
        </w:rPr>
      </w:pPr>
      <w:r w:rsidRPr="00B4699E">
        <w:rPr>
          <w:rFonts w:ascii="Times New Roman" w:hAnsi="Times New Roman" w:cs="Times New Roman"/>
          <w:kern w:val="2"/>
          <w:sz w:val="24"/>
          <w:szCs w:val="24"/>
          <w14:ligatures w14:val="standardContextual"/>
        </w:rPr>
        <w:t xml:space="preserve">Op het niveau van de wet is niets geregeld over de fase die voorafgaat aan een aanklacht zoals bedoeld in de </w:t>
      </w:r>
      <w:proofErr w:type="spellStart"/>
      <w:r w:rsidRPr="00B4699E">
        <w:rPr>
          <w:rFonts w:ascii="Times New Roman" w:hAnsi="Times New Roman" w:cs="Times New Roman"/>
          <w:kern w:val="2"/>
          <w:sz w:val="24"/>
          <w:szCs w:val="24"/>
          <w14:ligatures w14:val="standardContextual"/>
        </w:rPr>
        <w:t>Wmv</w:t>
      </w:r>
      <w:proofErr w:type="spellEnd"/>
      <w:r w:rsidRPr="00B4699E">
        <w:rPr>
          <w:rFonts w:ascii="Times New Roman" w:hAnsi="Times New Roman" w:cs="Times New Roman"/>
          <w:kern w:val="2"/>
          <w:sz w:val="24"/>
          <w:szCs w:val="24"/>
          <w14:ligatures w14:val="standardContextual"/>
        </w:rPr>
        <w:t>, terwijl in de praktijk aangiften veelal bij de politie, het OM of bij een ministerie worden gedaan;</w:t>
      </w:r>
    </w:p>
    <w:p w:rsidRPr="00B4699E" w:rsidR="00E55CC7" w:rsidP="00E55CC7" w:rsidRDefault="00E55CC7" w14:paraId="35229DB2" w14:textId="77777777">
      <w:pPr>
        <w:pStyle w:val="Lijstalinea"/>
        <w:numPr>
          <w:ilvl w:val="0"/>
          <w:numId w:val="1"/>
        </w:numPr>
        <w:spacing w:after="160" w:line="259" w:lineRule="auto"/>
        <w:rPr>
          <w:rFonts w:ascii="Times New Roman" w:hAnsi="Times New Roman" w:cs="Times New Roman"/>
          <w:kern w:val="2"/>
          <w:sz w:val="24"/>
          <w:szCs w:val="24"/>
          <w14:ligatures w14:val="standardContextual"/>
        </w:rPr>
      </w:pPr>
      <w:r w:rsidRPr="00B4699E">
        <w:rPr>
          <w:rFonts w:ascii="Times New Roman" w:hAnsi="Times New Roman" w:cs="Times New Roman"/>
          <w:kern w:val="2"/>
          <w:sz w:val="24"/>
          <w:szCs w:val="24"/>
          <w14:ligatures w14:val="standardContextual"/>
        </w:rPr>
        <w:t>Er ontbreekt een wettelijke regeling over het opsporingsonderzoek dat voorafgaat aan een mogelijke vervolgingsopdracht door de regering;</w:t>
      </w:r>
    </w:p>
    <w:p w:rsidRPr="00B4699E" w:rsidR="00E55CC7" w:rsidP="00E55CC7" w:rsidRDefault="00E55CC7" w14:paraId="27BA8B36" w14:textId="77777777">
      <w:pPr>
        <w:pStyle w:val="Lijstalinea"/>
        <w:numPr>
          <w:ilvl w:val="0"/>
          <w:numId w:val="1"/>
        </w:numPr>
        <w:spacing w:after="160" w:line="259" w:lineRule="auto"/>
        <w:rPr>
          <w:rFonts w:ascii="Times New Roman" w:hAnsi="Times New Roman" w:cs="Times New Roman"/>
          <w:kern w:val="2"/>
          <w:sz w:val="24"/>
          <w:szCs w:val="24"/>
          <w14:ligatures w14:val="standardContextual"/>
        </w:rPr>
      </w:pPr>
      <w:r w:rsidRPr="00B4699E">
        <w:rPr>
          <w:rFonts w:ascii="Times New Roman" w:hAnsi="Times New Roman" w:cs="Times New Roman"/>
          <w:kern w:val="2"/>
          <w:sz w:val="24"/>
          <w:szCs w:val="24"/>
          <w14:ligatures w14:val="standardContextual"/>
        </w:rPr>
        <w:t>Opsporingsonderzoeken door de regering en de Tweede Kamer kunnen op een onwenselijke manier samenlopen;</w:t>
      </w:r>
    </w:p>
    <w:p w:rsidRPr="00B4699E" w:rsidR="00E55CC7" w:rsidP="00E55CC7" w:rsidRDefault="00E55CC7" w14:paraId="42B51C56" w14:textId="2E4D6F38">
      <w:pPr>
        <w:pStyle w:val="Lijstalinea"/>
        <w:numPr>
          <w:ilvl w:val="0"/>
          <w:numId w:val="1"/>
        </w:numPr>
        <w:spacing w:after="160" w:line="259" w:lineRule="auto"/>
        <w:rPr>
          <w:rFonts w:ascii="Times New Roman" w:hAnsi="Times New Roman" w:cs="Times New Roman"/>
          <w:kern w:val="2"/>
          <w:sz w:val="24"/>
          <w:szCs w:val="24"/>
          <w14:ligatures w14:val="standardContextual"/>
        </w:rPr>
      </w:pPr>
      <w:r w:rsidRPr="00B4699E">
        <w:rPr>
          <w:rFonts w:ascii="Times New Roman" w:hAnsi="Times New Roman" w:cs="Times New Roman"/>
          <w:kern w:val="2"/>
          <w:sz w:val="24"/>
          <w:szCs w:val="24"/>
          <w14:ligatures w14:val="standardContextual"/>
        </w:rPr>
        <w:t xml:space="preserve">De wettelijke regeling in de </w:t>
      </w:r>
      <w:proofErr w:type="spellStart"/>
      <w:r w:rsidRPr="00B4699E">
        <w:rPr>
          <w:rFonts w:ascii="Times New Roman" w:hAnsi="Times New Roman" w:cs="Times New Roman"/>
          <w:kern w:val="2"/>
          <w:sz w:val="24"/>
          <w:szCs w:val="24"/>
          <w14:ligatures w14:val="standardContextual"/>
        </w:rPr>
        <w:t>Wmv</w:t>
      </w:r>
      <w:proofErr w:type="spellEnd"/>
      <w:r w:rsidRPr="00B4699E">
        <w:rPr>
          <w:rFonts w:ascii="Times New Roman" w:hAnsi="Times New Roman" w:cs="Times New Roman"/>
          <w:kern w:val="2"/>
          <w:sz w:val="24"/>
          <w:szCs w:val="24"/>
          <w14:ligatures w14:val="standardContextual"/>
        </w:rPr>
        <w:t xml:space="preserve"> gaat uit van opsporingsonderzoek naar een specifiek Kamerlid of bewindspersoon, dat wil zeggen een met naam bekende verdachte. De regeling is niet toegesneden op zaken waarin wel een verdenking is van een ambts</w:t>
      </w:r>
      <w:r w:rsidRPr="00B4699E" w:rsidR="00ED207A">
        <w:rPr>
          <w:rFonts w:ascii="Times New Roman" w:hAnsi="Times New Roman" w:cs="Times New Roman"/>
          <w:kern w:val="2"/>
          <w:sz w:val="24"/>
          <w:szCs w:val="24"/>
          <w14:ligatures w14:val="standardContextual"/>
        </w:rPr>
        <w:t>delict</w:t>
      </w:r>
      <w:r w:rsidRPr="00B4699E">
        <w:rPr>
          <w:rFonts w:ascii="Times New Roman" w:hAnsi="Times New Roman" w:cs="Times New Roman"/>
          <w:kern w:val="2"/>
          <w:sz w:val="24"/>
          <w:szCs w:val="24"/>
          <w14:ligatures w14:val="standardContextual"/>
        </w:rPr>
        <w:t>, maar onbekend is wie als verdachte kan worden aangemerkt (bijvoorbeeld na het ‘lekken’ van geheime informatie)</w:t>
      </w:r>
      <w:r w:rsidRPr="00B4699E" w:rsidR="00CD7A42">
        <w:rPr>
          <w:rFonts w:ascii="Times New Roman" w:hAnsi="Times New Roman" w:cs="Times New Roman"/>
          <w:kern w:val="2"/>
          <w:sz w:val="24"/>
          <w:szCs w:val="24"/>
          <w14:ligatures w14:val="standardContextual"/>
        </w:rPr>
        <w:t>.</w:t>
      </w:r>
    </w:p>
    <w:p w:rsidRPr="00B4699E" w:rsidR="00B72D89" w:rsidP="00B72D89" w:rsidRDefault="00B72D89" w14:paraId="0D5EA9BA" w14:textId="56CCE7DC">
      <w:pPr>
        <w:rPr>
          <w:rFonts w:ascii="Times New Roman" w:hAnsi="Times New Roman" w:cs="Times New Roman"/>
          <w:sz w:val="24"/>
          <w:szCs w:val="24"/>
        </w:rPr>
      </w:pPr>
      <w:r w:rsidRPr="00B4699E">
        <w:rPr>
          <w:rFonts w:ascii="Times New Roman" w:hAnsi="Times New Roman" w:cs="Times New Roman"/>
          <w:sz w:val="24"/>
          <w:szCs w:val="24"/>
        </w:rPr>
        <w:t xml:space="preserve">Zoals toegelicht in de hoofdlijnenbrief, zullen de hiervoor genoemde knelpunten langs twee sporen worden weggenomen. Allereerst zal ter uitvoering van spoor I een wetsvoorstel in procedure worden gebracht waarmee binnen de bestaande grondwettelijke kaders de meeste van de bovenstaande problemen worden verholpen. Zo wordt de </w:t>
      </w:r>
      <w:proofErr w:type="spellStart"/>
      <w:r w:rsidRPr="00B4699E">
        <w:rPr>
          <w:rFonts w:ascii="Times New Roman" w:hAnsi="Times New Roman" w:cs="Times New Roman"/>
          <w:sz w:val="24"/>
          <w:szCs w:val="24"/>
        </w:rPr>
        <w:t>Wmv</w:t>
      </w:r>
      <w:proofErr w:type="spellEnd"/>
      <w:r w:rsidRPr="00B4699E">
        <w:rPr>
          <w:rFonts w:ascii="Times New Roman" w:hAnsi="Times New Roman" w:cs="Times New Roman"/>
          <w:sz w:val="24"/>
          <w:szCs w:val="24"/>
        </w:rPr>
        <w:t xml:space="preserve"> ingetrokken en wordt in het Wetboek van Strafvordering voorzien in een duidelijke procedure op grond waarvan de </w:t>
      </w:r>
      <w:r w:rsidRPr="00B4699E" w:rsidR="001E1DC7">
        <w:rPr>
          <w:rFonts w:ascii="Times New Roman" w:hAnsi="Times New Roman" w:cs="Times New Roman"/>
          <w:sz w:val="24"/>
          <w:szCs w:val="24"/>
        </w:rPr>
        <w:t>PGHR</w:t>
      </w:r>
      <w:r w:rsidRPr="00B4699E">
        <w:rPr>
          <w:rFonts w:ascii="Times New Roman" w:hAnsi="Times New Roman" w:cs="Times New Roman"/>
          <w:sz w:val="24"/>
          <w:szCs w:val="24"/>
        </w:rPr>
        <w:t xml:space="preserve"> opsporingsonderzoek kan verrichten: zowel ambtshalve als op initiatief van de Tweede Kamer of de regering. Uiteindelijk zal in spoor II de bijzondere procedure worden afgeschaft en wordt voor ambtsmisdrijven begaan door Kamerleden en bewindspersonen aangesloten bij de reguliere strafrechtelijke procedure, waarin de officier van justitie is belast met de vervolging</w:t>
      </w:r>
      <w:r w:rsidRPr="00B4699E" w:rsidR="005F1306">
        <w:rPr>
          <w:rFonts w:ascii="Times New Roman" w:hAnsi="Times New Roman" w:cs="Times New Roman"/>
          <w:sz w:val="24"/>
          <w:szCs w:val="24"/>
        </w:rPr>
        <w:t>.</w:t>
      </w:r>
      <w:r w:rsidRPr="00B4699E">
        <w:rPr>
          <w:rFonts w:ascii="Times New Roman" w:hAnsi="Times New Roman" w:cs="Times New Roman"/>
          <w:sz w:val="24"/>
          <w:szCs w:val="24"/>
        </w:rPr>
        <w:t xml:space="preserve"> Gelet op de bijzondere aard van dergelijke zaken wordt daarbij voorzien in enkele waarborgen, </w:t>
      </w:r>
      <w:r w:rsidRPr="00B4699E" w:rsidR="006B3D72">
        <w:rPr>
          <w:rFonts w:ascii="Times New Roman" w:hAnsi="Times New Roman" w:cs="Times New Roman"/>
          <w:sz w:val="24"/>
          <w:szCs w:val="24"/>
        </w:rPr>
        <w:t>waaronder</w:t>
      </w:r>
      <w:r w:rsidRPr="00B4699E">
        <w:rPr>
          <w:rFonts w:ascii="Times New Roman" w:hAnsi="Times New Roman" w:cs="Times New Roman"/>
          <w:sz w:val="24"/>
          <w:szCs w:val="24"/>
        </w:rPr>
        <w:t xml:space="preserve"> het vereiste dat opsporing </w:t>
      </w:r>
      <w:r w:rsidRPr="00B4699E" w:rsidR="001E1DC7">
        <w:rPr>
          <w:rFonts w:ascii="Times New Roman" w:hAnsi="Times New Roman" w:cs="Times New Roman"/>
          <w:sz w:val="24"/>
          <w:szCs w:val="24"/>
        </w:rPr>
        <w:t>(</w:t>
      </w:r>
      <w:r w:rsidRPr="00B4699E">
        <w:rPr>
          <w:rFonts w:ascii="Times New Roman" w:hAnsi="Times New Roman" w:cs="Times New Roman"/>
          <w:sz w:val="24"/>
          <w:szCs w:val="24"/>
        </w:rPr>
        <w:t>en vervolging</w:t>
      </w:r>
      <w:r w:rsidRPr="00B4699E" w:rsidR="001E1DC7">
        <w:rPr>
          <w:rFonts w:ascii="Times New Roman" w:hAnsi="Times New Roman" w:cs="Times New Roman"/>
          <w:sz w:val="24"/>
          <w:szCs w:val="24"/>
        </w:rPr>
        <w:t>)</w:t>
      </w:r>
      <w:r w:rsidRPr="00B4699E">
        <w:rPr>
          <w:rFonts w:ascii="Times New Roman" w:hAnsi="Times New Roman" w:cs="Times New Roman"/>
          <w:sz w:val="24"/>
          <w:szCs w:val="24"/>
        </w:rPr>
        <w:t xml:space="preserve"> wegens ambtsmisdrijven van Kamerleden en bewindspersonen alleen kunnen plaatsvinden wanneer de </w:t>
      </w:r>
      <w:r w:rsidRPr="00B4699E" w:rsidR="001E1DC7">
        <w:rPr>
          <w:rFonts w:ascii="Times New Roman" w:hAnsi="Times New Roman" w:cs="Times New Roman"/>
          <w:sz w:val="24"/>
          <w:szCs w:val="24"/>
        </w:rPr>
        <w:t>PGHR</w:t>
      </w:r>
      <w:r w:rsidRPr="00B4699E">
        <w:rPr>
          <w:rFonts w:ascii="Times New Roman" w:hAnsi="Times New Roman" w:cs="Times New Roman"/>
          <w:sz w:val="24"/>
          <w:szCs w:val="24"/>
        </w:rPr>
        <w:t xml:space="preserve"> een daartoe strekkende opdracht heeft gegeven. </w:t>
      </w:r>
    </w:p>
    <w:p w:rsidRPr="00B4699E" w:rsidR="00BC1AA4" w:rsidP="00BC1AA4" w:rsidRDefault="00BC1AA4" w14:paraId="47D9E05B" w14:textId="4E74A248">
      <w:pPr>
        <w:rPr>
          <w:rFonts w:ascii="Times New Roman" w:hAnsi="Times New Roman" w:cs="Times New Roman"/>
          <w:i/>
          <w:iCs/>
          <w:sz w:val="24"/>
          <w:szCs w:val="24"/>
        </w:rPr>
      </w:pPr>
      <w:r w:rsidRPr="00B4699E">
        <w:rPr>
          <w:rFonts w:ascii="Times New Roman" w:hAnsi="Times New Roman" w:cs="Times New Roman"/>
          <w:i/>
          <w:iCs/>
          <w:sz w:val="24"/>
          <w:szCs w:val="24"/>
        </w:rPr>
        <w:t xml:space="preserve">Deze leden zien ook dat uit de Grondwet voort komt dat de regering en de Tweede Kamer te allen tijde gezamenlijk de bevoegdheid moeten hebben om de PGHR op te dragen een lopend opsporingsonderzoek te beëindigen. Zijn er ook bepaalde regels verbonden aan het overgaan tot beëindiging? Zou ook hierbij niet moeten worden voorkomen dat om politieke reden of politieke belangen een onderzoek door een meerderheid van de Kamer wordt beëindigd? Deze leden willen voorkomen dat er een schijn bestaat dat politici elkaar het hand boven het hoofd kunnen houden. Welke waarborgen zijn er nu om deze schijn te voorkomen? </w:t>
      </w:r>
    </w:p>
    <w:p w:rsidRPr="00B4699E" w:rsidR="00576E82" w:rsidP="00576E82" w:rsidRDefault="00576E82" w14:paraId="5B60511A" w14:textId="0DE7D6D7">
      <w:pPr>
        <w:rPr>
          <w:rFonts w:ascii="Times New Roman" w:hAnsi="Times New Roman" w:cs="Times New Roman"/>
          <w:sz w:val="24"/>
          <w:szCs w:val="24"/>
        </w:rPr>
      </w:pPr>
      <w:r w:rsidRPr="00B4699E">
        <w:rPr>
          <w:rFonts w:ascii="Times New Roman" w:hAnsi="Times New Roman" w:cs="Times New Roman"/>
          <w:sz w:val="24"/>
          <w:szCs w:val="24"/>
        </w:rPr>
        <w:t>Gelet op artikel 119</w:t>
      </w:r>
      <w:r w:rsidRPr="00B4699E" w:rsidR="00FC56D4">
        <w:rPr>
          <w:rFonts w:ascii="Times New Roman" w:hAnsi="Times New Roman" w:cs="Times New Roman"/>
          <w:sz w:val="24"/>
          <w:szCs w:val="24"/>
        </w:rPr>
        <w:t xml:space="preserve"> van de</w:t>
      </w:r>
      <w:r w:rsidRPr="00B4699E">
        <w:rPr>
          <w:rFonts w:ascii="Times New Roman" w:hAnsi="Times New Roman" w:cs="Times New Roman"/>
          <w:sz w:val="24"/>
          <w:szCs w:val="24"/>
        </w:rPr>
        <w:t xml:space="preserve"> G</w:t>
      </w:r>
      <w:r w:rsidRPr="00B4699E" w:rsidR="005F1306">
        <w:rPr>
          <w:rFonts w:ascii="Times New Roman" w:hAnsi="Times New Roman" w:cs="Times New Roman"/>
          <w:sz w:val="24"/>
          <w:szCs w:val="24"/>
        </w:rPr>
        <w:t>rondwet</w:t>
      </w:r>
      <w:r w:rsidRPr="00B4699E">
        <w:rPr>
          <w:rFonts w:ascii="Times New Roman" w:hAnsi="Times New Roman" w:cs="Times New Roman"/>
          <w:sz w:val="24"/>
          <w:szCs w:val="24"/>
        </w:rPr>
        <w:t xml:space="preserve"> ligt het inderdaad in de rede aan de regering en Tweede Kamer een bevoegdheid toe te kennen om gezamenlijk een lopend opsporingsonderzoek te kunnen beëindigen. Dit volgt uit de omstandigheid dat, anders dan in normale strafzaken, een vervolgingsopdracht van de regering of de Tweede Kamer vereist is om tot strafrechtelijke vervolging over te kunnen gaan. Wij zijn het met de </w:t>
      </w:r>
      <w:r w:rsidRPr="00B4699E" w:rsidR="00FC328C">
        <w:rPr>
          <w:rFonts w:ascii="Times New Roman" w:hAnsi="Times New Roman" w:cs="Times New Roman"/>
          <w:sz w:val="24"/>
          <w:szCs w:val="24"/>
        </w:rPr>
        <w:t xml:space="preserve">leden van de </w:t>
      </w:r>
      <w:r w:rsidRPr="00B4699E">
        <w:rPr>
          <w:rFonts w:ascii="Times New Roman" w:hAnsi="Times New Roman" w:cs="Times New Roman"/>
          <w:sz w:val="24"/>
          <w:szCs w:val="24"/>
        </w:rPr>
        <w:t xml:space="preserve">SP-fractie eens dat dient te worden voorkomen dat een opsporingsonderzoek op politieke gronden wordt beëindigd. Het feit dat in de huidige procedure politieke organen beslissen over de strafrechtelijke </w:t>
      </w:r>
      <w:r w:rsidRPr="00B4699E">
        <w:rPr>
          <w:rFonts w:ascii="Times New Roman" w:hAnsi="Times New Roman" w:cs="Times New Roman"/>
          <w:sz w:val="24"/>
          <w:szCs w:val="24"/>
        </w:rPr>
        <w:lastRenderedPageBreak/>
        <w:t xml:space="preserve">vervolging van Kamerleden en bewindspersonen en daarmee de kans dat politieke motieven doorslaggevend zijn in het geven van een vervolgingsopdracht of juist het afzien daarvan, betreft dan ook een van de belangrijkste argumenten om de bijzondere procedure op basis van artikel 119 </w:t>
      </w:r>
      <w:r w:rsidRPr="00B4699E" w:rsidR="00FC56D4">
        <w:rPr>
          <w:rFonts w:ascii="Times New Roman" w:hAnsi="Times New Roman" w:cs="Times New Roman"/>
          <w:sz w:val="24"/>
          <w:szCs w:val="24"/>
        </w:rPr>
        <w:t xml:space="preserve">van de </w:t>
      </w:r>
      <w:r w:rsidRPr="00B4699E" w:rsidR="005F1306">
        <w:rPr>
          <w:rFonts w:ascii="Times New Roman" w:hAnsi="Times New Roman" w:cs="Times New Roman"/>
          <w:sz w:val="24"/>
          <w:szCs w:val="24"/>
        </w:rPr>
        <w:t>Grondwet</w:t>
      </w:r>
      <w:r w:rsidRPr="00B4699E">
        <w:rPr>
          <w:rFonts w:ascii="Times New Roman" w:hAnsi="Times New Roman" w:cs="Times New Roman"/>
          <w:sz w:val="24"/>
          <w:szCs w:val="24"/>
        </w:rPr>
        <w:t xml:space="preserve"> af te schaffen en de vervolgingsbeslissing te beleggen bij de onafhankelijke </w:t>
      </w:r>
      <w:r w:rsidRPr="00B4699E" w:rsidR="00FC328C">
        <w:rPr>
          <w:rFonts w:ascii="Times New Roman" w:hAnsi="Times New Roman" w:cs="Times New Roman"/>
          <w:sz w:val="24"/>
          <w:szCs w:val="24"/>
        </w:rPr>
        <w:t>PGHR</w:t>
      </w:r>
      <w:r w:rsidRPr="00B4699E">
        <w:rPr>
          <w:rFonts w:ascii="Times New Roman" w:hAnsi="Times New Roman" w:cs="Times New Roman"/>
          <w:sz w:val="24"/>
          <w:szCs w:val="24"/>
        </w:rPr>
        <w:t xml:space="preserve">. Hiervoor is echter een grondwetswijziging vereist. Tot die tijd blijven uitsluitend de regering en de Tweede Kamer op grond van artikel 119 </w:t>
      </w:r>
      <w:r w:rsidRPr="00B4699E" w:rsidR="00FC56D4">
        <w:rPr>
          <w:rFonts w:ascii="Times New Roman" w:hAnsi="Times New Roman" w:cs="Times New Roman"/>
          <w:sz w:val="24"/>
          <w:szCs w:val="24"/>
        </w:rPr>
        <w:t xml:space="preserve">van de </w:t>
      </w:r>
      <w:r w:rsidRPr="00B4699E">
        <w:rPr>
          <w:rFonts w:ascii="Times New Roman" w:hAnsi="Times New Roman" w:cs="Times New Roman"/>
          <w:sz w:val="24"/>
          <w:szCs w:val="24"/>
        </w:rPr>
        <w:t>G</w:t>
      </w:r>
      <w:r w:rsidRPr="00B4699E" w:rsidR="005F1306">
        <w:rPr>
          <w:rFonts w:ascii="Times New Roman" w:hAnsi="Times New Roman" w:cs="Times New Roman"/>
          <w:sz w:val="24"/>
          <w:szCs w:val="24"/>
        </w:rPr>
        <w:t>rondwet</w:t>
      </w:r>
      <w:r w:rsidRPr="00B4699E">
        <w:rPr>
          <w:rFonts w:ascii="Times New Roman" w:hAnsi="Times New Roman" w:cs="Times New Roman"/>
          <w:sz w:val="24"/>
          <w:szCs w:val="24"/>
        </w:rPr>
        <w:t xml:space="preserve"> bevoegd om een opdracht tot vervolging te geven. </w:t>
      </w:r>
    </w:p>
    <w:p w:rsidRPr="00B4699E" w:rsidR="00576E82" w:rsidP="00576E82" w:rsidRDefault="00576E82" w14:paraId="19143115" w14:textId="1229A982">
      <w:pPr>
        <w:rPr>
          <w:rFonts w:ascii="Times New Roman" w:hAnsi="Times New Roman" w:cs="Times New Roman"/>
          <w:sz w:val="24"/>
          <w:szCs w:val="24"/>
        </w:rPr>
      </w:pPr>
      <w:r w:rsidRPr="00B4699E">
        <w:rPr>
          <w:rFonts w:ascii="Times New Roman" w:hAnsi="Times New Roman" w:cs="Times New Roman"/>
          <w:sz w:val="24"/>
          <w:szCs w:val="24"/>
        </w:rPr>
        <w:t xml:space="preserve">Het voorgaande neemt niet weg dat het voortijdig beëindigen van een lopend opsporingsonderzoek door de regering en de Tweede Kamer gezamenlijk een vergaande beslissing is. Daarom zal in het wetsvoorstel ter uitvoering van spoor I, dat wil zeggen binnen het huidige grondwettelijke kader, worden voorzien in </w:t>
      </w:r>
      <w:r w:rsidRPr="00B4699E" w:rsidR="00ED207A">
        <w:rPr>
          <w:rFonts w:ascii="Times New Roman" w:hAnsi="Times New Roman" w:cs="Times New Roman"/>
          <w:sz w:val="24"/>
          <w:szCs w:val="24"/>
        </w:rPr>
        <w:t xml:space="preserve">verschillende waarborgen. De eerste is dat de regering en de Tweede Kamer uitsluitend gezamenlijk kunnen besluiten een lopend opsporingsonderzoek te beëindigen. In het wetsvoorstel zullen nadere </w:t>
      </w:r>
      <w:r w:rsidRPr="00B4699E">
        <w:rPr>
          <w:rFonts w:ascii="Times New Roman" w:hAnsi="Times New Roman" w:cs="Times New Roman"/>
          <w:sz w:val="24"/>
          <w:szCs w:val="24"/>
        </w:rPr>
        <w:t xml:space="preserve">procedurele voorschriften </w:t>
      </w:r>
      <w:r w:rsidRPr="00B4699E" w:rsidR="00ED207A">
        <w:rPr>
          <w:rFonts w:ascii="Times New Roman" w:hAnsi="Times New Roman" w:cs="Times New Roman"/>
          <w:sz w:val="24"/>
          <w:szCs w:val="24"/>
        </w:rPr>
        <w:t xml:space="preserve">worden opgenomen </w:t>
      </w:r>
      <w:r w:rsidRPr="00B4699E">
        <w:rPr>
          <w:rFonts w:ascii="Times New Roman" w:hAnsi="Times New Roman" w:cs="Times New Roman"/>
          <w:sz w:val="24"/>
          <w:szCs w:val="24"/>
        </w:rPr>
        <w:t xml:space="preserve">over hoe de regering en de Tweede Kamer tot een dergelijke gezamenlijke opdracht kunnen komen. Daarin zal onder andere worden geregeld hoe te handelen indien enkel de regering of de Tweede Kamer het voornemen heeft geuit om een lopend opsporingsonderzoek te beëindigen. </w:t>
      </w:r>
      <w:r w:rsidRPr="00B4699E" w:rsidR="00671721">
        <w:rPr>
          <w:rFonts w:ascii="Times New Roman" w:hAnsi="Times New Roman" w:cs="Times New Roman"/>
          <w:sz w:val="24"/>
          <w:szCs w:val="24"/>
        </w:rPr>
        <w:t>Een tweede waarborg is dat, z</w:t>
      </w:r>
      <w:r w:rsidRPr="00B4699E">
        <w:rPr>
          <w:rFonts w:ascii="Times New Roman" w:hAnsi="Times New Roman" w:cs="Times New Roman"/>
          <w:sz w:val="24"/>
          <w:szCs w:val="24"/>
        </w:rPr>
        <w:t xml:space="preserve">oals eerder aangegeven in antwoord op vragen van de </w:t>
      </w:r>
      <w:r w:rsidRPr="00B4699E" w:rsidR="00FC328C">
        <w:rPr>
          <w:rFonts w:ascii="Times New Roman" w:hAnsi="Times New Roman" w:cs="Times New Roman"/>
          <w:sz w:val="24"/>
          <w:szCs w:val="24"/>
        </w:rPr>
        <w:t xml:space="preserve">leden van de </w:t>
      </w:r>
      <w:r w:rsidRPr="00B4699E">
        <w:rPr>
          <w:rFonts w:ascii="Times New Roman" w:hAnsi="Times New Roman" w:cs="Times New Roman"/>
          <w:sz w:val="24"/>
          <w:szCs w:val="24"/>
        </w:rPr>
        <w:t>PvdA-GroenLinks-fractie, met het oog op de transparantie word</w:t>
      </w:r>
      <w:r w:rsidRPr="00B4699E" w:rsidR="00671721">
        <w:rPr>
          <w:rFonts w:ascii="Times New Roman" w:hAnsi="Times New Roman" w:cs="Times New Roman"/>
          <w:sz w:val="24"/>
          <w:szCs w:val="24"/>
        </w:rPr>
        <w:t>t</w:t>
      </w:r>
      <w:r w:rsidRPr="00B4699E">
        <w:rPr>
          <w:rFonts w:ascii="Times New Roman" w:hAnsi="Times New Roman" w:cs="Times New Roman"/>
          <w:sz w:val="24"/>
          <w:szCs w:val="24"/>
        </w:rPr>
        <w:t xml:space="preserve"> voorzien in een wettelijke verplichting om gezamenlijke besluiten van de regering en Tweede Kamer tot beëindiging van het opsporingsonderzoek openbaar te maken door publicatie van de opdracht in de Staatscourant.</w:t>
      </w:r>
      <w:r w:rsidRPr="00B4699E" w:rsidR="00671721">
        <w:rPr>
          <w:rFonts w:ascii="Times New Roman" w:hAnsi="Times New Roman" w:cs="Times New Roman"/>
          <w:sz w:val="24"/>
          <w:szCs w:val="24"/>
        </w:rPr>
        <w:t xml:space="preserve"> Deze openbaarmakingsverplichting wordt door de commissie </w:t>
      </w:r>
      <w:proofErr w:type="spellStart"/>
      <w:r w:rsidRPr="00B4699E" w:rsidR="00671721">
        <w:rPr>
          <w:rFonts w:ascii="Times New Roman" w:hAnsi="Times New Roman" w:cs="Times New Roman"/>
          <w:sz w:val="24"/>
          <w:szCs w:val="24"/>
        </w:rPr>
        <w:t>Fokkens</w:t>
      </w:r>
      <w:proofErr w:type="spellEnd"/>
      <w:r w:rsidRPr="00B4699E" w:rsidR="00671721">
        <w:rPr>
          <w:rFonts w:ascii="Times New Roman" w:hAnsi="Times New Roman" w:cs="Times New Roman"/>
          <w:sz w:val="24"/>
          <w:szCs w:val="24"/>
        </w:rPr>
        <w:t xml:space="preserve"> uitdrukkelijk als waarborg tegen ongewenste, politiek gemotiveerde beslissingen om een lopend opsporingsonderzoek te </w:t>
      </w:r>
      <w:r w:rsidRPr="00B4699E" w:rsidR="00D66E08">
        <w:rPr>
          <w:rFonts w:ascii="Times New Roman" w:hAnsi="Times New Roman" w:cs="Times New Roman"/>
          <w:sz w:val="24"/>
          <w:szCs w:val="24"/>
        </w:rPr>
        <w:t>beëindigen</w:t>
      </w:r>
      <w:r w:rsidRPr="00B4699E" w:rsidR="00671721">
        <w:rPr>
          <w:rFonts w:ascii="Times New Roman" w:hAnsi="Times New Roman" w:cs="Times New Roman"/>
          <w:sz w:val="24"/>
          <w:szCs w:val="24"/>
        </w:rPr>
        <w:t xml:space="preserve"> (zie nader paragraaf 6.2.1 van het rapport-</w:t>
      </w:r>
      <w:proofErr w:type="spellStart"/>
      <w:r w:rsidRPr="00B4699E" w:rsidR="00671721">
        <w:rPr>
          <w:rFonts w:ascii="Times New Roman" w:hAnsi="Times New Roman" w:cs="Times New Roman"/>
          <w:sz w:val="24"/>
          <w:szCs w:val="24"/>
        </w:rPr>
        <w:t>Fokkens</w:t>
      </w:r>
      <w:proofErr w:type="spellEnd"/>
      <w:r w:rsidRPr="00B4699E" w:rsidR="00671721">
        <w:rPr>
          <w:rFonts w:ascii="Times New Roman" w:hAnsi="Times New Roman" w:cs="Times New Roman"/>
          <w:sz w:val="24"/>
          <w:szCs w:val="24"/>
        </w:rPr>
        <w:t>).</w:t>
      </w:r>
      <w:r w:rsidRPr="00B4699E">
        <w:rPr>
          <w:rFonts w:ascii="Times New Roman" w:hAnsi="Times New Roman" w:cs="Times New Roman"/>
          <w:sz w:val="24"/>
          <w:szCs w:val="24"/>
        </w:rPr>
        <w:t xml:space="preserve"> </w:t>
      </w:r>
    </w:p>
    <w:p w:rsidRPr="00B4699E" w:rsidR="00BC1AA4" w:rsidP="00BC1AA4" w:rsidRDefault="00BC1AA4" w14:paraId="0C80EB10" w14:textId="77777777">
      <w:pPr>
        <w:rPr>
          <w:rFonts w:ascii="Times New Roman" w:hAnsi="Times New Roman" w:cs="Times New Roman"/>
          <w:i/>
          <w:iCs/>
          <w:sz w:val="24"/>
          <w:szCs w:val="24"/>
        </w:rPr>
      </w:pPr>
      <w:r w:rsidRPr="00B4699E">
        <w:rPr>
          <w:rFonts w:ascii="Times New Roman" w:hAnsi="Times New Roman" w:cs="Times New Roman"/>
          <w:i/>
          <w:iCs/>
          <w:sz w:val="24"/>
          <w:szCs w:val="24"/>
        </w:rPr>
        <w:t>De leden van de SP-fractie lezen dat, anders dan nu nog in de wet is voorgeschreven, in het nieuwe stelsel de berechting van medeverdachten kan plaatsvinden volgens de normale strafrechtelijke rechtsgang van drie instanties. Begrijpen deze leden het goed dat dit op termijn dus ook gaat gelden voor politici? Daarmee zou in ieder geval de rechtsgang tegen anderen dan Kamerleden en bewindspersonen reeds genormaliseerd worden. Hiervoor is volgens de minister geen grondwetswijziging nodig. Wat is er volgens de minister voor deze wijziging dan wel nodig? Op welke manier wordt dit nu ondervangen?</w:t>
      </w:r>
    </w:p>
    <w:p w:rsidRPr="00B4699E" w:rsidR="00576E82" w:rsidP="00576E82" w:rsidRDefault="00576E82" w14:paraId="17A74437" w14:textId="5BA249F8">
      <w:pPr>
        <w:rPr>
          <w:rFonts w:ascii="Times New Roman" w:hAnsi="Times New Roman" w:eastAsia="Calibri" w:cs="Times New Roman"/>
          <w:sz w:val="24"/>
          <w:szCs w:val="24"/>
        </w:rPr>
      </w:pPr>
      <w:r w:rsidRPr="00B4699E">
        <w:rPr>
          <w:rFonts w:ascii="Times New Roman" w:hAnsi="Times New Roman" w:eastAsia="Calibri" w:cs="Times New Roman"/>
          <w:sz w:val="24"/>
          <w:szCs w:val="24"/>
        </w:rPr>
        <w:t xml:space="preserve">Op dit moment vindt in voorkomende gevallen de berechting van medeverdachten ook plaats in eerste en enige instantie bij de Hoge Raad (artikel 485 Sv). Dit volgt echter niet dwingend uit artikel 119 </w:t>
      </w:r>
      <w:r w:rsidRPr="00B4699E" w:rsidR="00FC56D4">
        <w:rPr>
          <w:rFonts w:ascii="Times New Roman" w:hAnsi="Times New Roman" w:eastAsia="Calibri" w:cs="Times New Roman"/>
          <w:sz w:val="24"/>
          <w:szCs w:val="24"/>
        </w:rPr>
        <w:t xml:space="preserve">van de </w:t>
      </w:r>
      <w:r w:rsidRPr="00B4699E">
        <w:rPr>
          <w:rFonts w:ascii="Times New Roman" w:hAnsi="Times New Roman" w:eastAsia="Calibri" w:cs="Times New Roman"/>
          <w:sz w:val="24"/>
          <w:szCs w:val="24"/>
        </w:rPr>
        <w:t>G</w:t>
      </w:r>
      <w:r w:rsidRPr="00B4699E" w:rsidR="005F1306">
        <w:rPr>
          <w:rFonts w:ascii="Times New Roman" w:hAnsi="Times New Roman" w:eastAsia="Calibri" w:cs="Times New Roman"/>
          <w:sz w:val="24"/>
          <w:szCs w:val="24"/>
        </w:rPr>
        <w:t>rondwet</w:t>
      </w:r>
      <w:r w:rsidRPr="00B4699E">
        <w:rPr>
          <w:rFonts w:ascii="Times New Roman" w:hAnsi="Times New Roman" w:eastAsia="Calibri" w:cs="Times New Roman"/>
          <w:sz w:val="24"/>
          <w:szCs w:val="24"/>
        </w:rPr>
        <w:t>, maar is een keuze geweest van de (gewone) wetgever. Artikel 119</w:t>
      </w:r>
      <w:r w:rsidRPr="00B4699E" w:rsidR="00FC56D4">
        <w:rPr>
          <w:rFonts w:ascii="Times New Roman" w:hAnsi="Times New Roman" w:eastAsia="Calibri" w:cs="Times New Roman"/>
          <w:sz w:val="24"/>
          <w:szCs w:val="24"/>
        </w:rPr>
        <w:t xml:space="preserve"> van de</w:t>
      </w:r>
      <w:r w:rsidRPr="00B4699E">
        <w:rPr>
          <w:rFonts w:ascii="Times New Roman" w:hAnsi="Times New Roman" w:eastAsia="Calibri" w:cs="Times New Roman"/>
          <w:sz w:val="24"/>
          <w:szCs w:val="24"/>
        </w:rPr>
        <w:t xml:space="preserve"> G</w:t>
      </w:r>
      <w:r w:rsidRPr="00B4699E" w:rsidR="005F1306">
        <w:rPr>
          <w:rFonts w:ascii="Times New Roman" w:hAnsi="Times New Roman" w:eastAsia="Calibri" w:cs="Times New Roman"/>
          <w:sz w:val="24"/>
          <w:szCs w:val="24"/>
        </w:rPr>
        <w:t>rondwet</w:t>
      </w:r>
      <w:r w:rsidRPr="00B4699E">
        <w:rPr>
          <w:rFonts w:ascii="Times New Roman" w:hAnsi="Times New Roman" w:eastAsia="Calibri" w:cs="Times New Roman"/>
          <w:sz w:val="24"/>
          <w:szCs w:val="24"/>
        </w:rPr>
        <w:t xml:space="preserve"> verzet zich niet tegen een </w:t>
      </w:r>
      <w:r w:rsidRPr="00B4699E" w:rsidR="00644CC1">
        <w:rPr>
          <w:rFonts w:ascii="Times New Roman" w:hAnsi="Times New Roman" w:eastAsia="Calibri" w:cs="Times New Roman"/>
          <w:sz w:val="24"/>
          <w:szCs w:val="24"/>
        </w:rPr>
        <w:t xml:space="preserve">– in spoor I opgenomen - </w:t>
      </w:r>
      <w:r w:rsidRPr="00B4699E">
        <w:rPr>
          <w:rFonts w:ascii="Times New Roman" w:hAnsi="Times New Roman" w:eastAsia="Calibri" w:cs="Times New Roman"/>
          <w:sz w:val="24"/>
          <w:szCs w:val="24"/>
        </w:rPr>
        <w:t>wetswijziging waarmee voor medeverdachten van Kamerleden of politici die worden verdacht van een ambts</w:t>
      </w:r>
      <w:r w:rsidRPr="00B4699E" w:rsidR="00671721">
        <w:rPr>
          <w:rFonts w:ascii="Times New Roman" w:hAnsi="Times New Roman" w:eastAsia="Calibri" w:cs="Times New Roman"/>
          <w:sz w:val="24"/>
          <w:szCs w:val="24"/>
        </w:rPr>
        <w:t>delict</w:t>
      </w:r>
      <w:r w:rsidRPr="00B4699E">
        <w:rPr>
          <w:rFonts w:ascii="Times New Roman" w:hAnsi="Times New Roman" w:eastAsia="Calibri" w:cs="Times New Roman"/>
          <w:sz w:val="24"/>
          <w:szCs w:val="24"/>
        </w:rPr>
        <w:t xml:space="preserve"> de ‘gewone’ strafrechtelijke rechtsgang gaat gelden: berechting in eerste aanleg bij de rechtbank, met de mogelijkheden van hoger beroep en beroep in cassatie. De leden van de SP-fractie stellen terecht dat het kabinet het wenselijk acht dat de reguliere strafrechtelijke rechtsgang in drie instanties ook gaat gelden voor Kamerleden en bewindspersonen die </w:t>
      </w:r>
      <w:r w:rsidRPr="00B4699E" w:rsidR="00FC328C">
        <w:rPr>
          <w:rFonts w:ascii="Times New Roman" w:hAnsi="Times New Roman" w:eastAsia="Calibri" w:cs="Times New Roman"/>
          <w:sz w:val="24"/>
          <w:szCs w:val="24"/>
        </w:rPr>
        <w:t xml:space="preserve">(als verdachte of </w:t>
      </w:r>
      <w:proofErr w:type="spellStart"/>
      <w:r w:rsidRPr="00B4699E" w:rsidR="00FC328C">
        <w:rPr>
          <w:rFonts w:ascii="Times New Roman" w:hAnsi="Times New Roman" w:eastAsia="Calibri" w:cs="Times New Roman"/>
          <w:sz w:val="24"/>
          <w:szCs w:val="24"/>
        </w:rPr>
        <w:t>mede-verdachte</w:t>
      </w:r>
      <w:proofErr w:type="spellEnd"/>
      <w:r w:rsidRPr="00B4699E" w:rsidR="00FC328C">
        <w:rPr>
          <w:rFonts w:ascii="Times New Roman" w:hAnsi="Times New Roman" w:eastAsia="Calibri" w:cs="Times New Roman"/>
          <w:sz w:val="24"/>
          <w:szCs w:val="24"/>
        </w:rPr>
        <w:t xml:space="preserve">) </w:t>
      </w:r>
      <w:r w:rsidRPr="00B4699E">
        <w:rPr>
          <w:rFonts w:ascii="Times New Roman" w:hAnsi="Times New Roman" w:eastAsia="Calibri" w:cs="Times New Roman"/>
          <w:sz w:val="24"/>
          <w:szCs w:val="24"/>
        </w:rPr>
        <w:t>worden</w:t>
      </w:r>
      <w:r w:rsidRPr="00B4699E" w:rsidR="00671721">
        <w:rPr>
          <w:rFonts w:ascii="Times New Roman" w:hAnsi="Times New Roman" w:eastAsia="Calibri" w:cs="Times New Roman"/>
          <w:sz w:val="24"/>
          <w:szCs w:val="24"/>
        </w:rPr>
        <w:t xml:space="preserve"> vervolgd wegens</w:t>
      </w:r>
      <w:r w:rsidRPr="00B4699E">
        <w:rPr>
          <w:rFonts w:ascii="Times New Roman" w:hAnsi="Times New Roman" w:eastAsia="Calibri" w:cs="Times New Roman"/>
          <w:sz w:val="24"/>
          <w:szCs w:val="24"/>
        </w:rPr>
        <w:t xml:space="preserve"> een </w:t>
      </w:r>
      <w:r w:rsidRPr="00B4699E">
        <w:rPr>
          <w:rFonts w:ascii="Times New Roman" w:hAnsi="Times New Roman" w:eastAsia="Calibri" w:cs="Times New Roman"/>
          <w:sz w:val="24"/>
          <w:szCs w:val="24"/>
        </w:rPr>
        <w:lastRenderedPageBreak/>
        <w:t>ambt</w:t>
      </w:r>
      <w:r w:rsidRPr="00B4699E" w:rsidR="00671721">
        <w:rPr>
          <w:rFonts w:ascii="Times New Roman" w:hAnsi="Times New Roman" w:eastAsia="Calibri" w:cs="Times New Roman"/>
          <w:sz w:val="24"/>
          <w:szCs w:val="24"/>
        </w:rPr>
        <w:t>sdelict</w:t>
      </w:r>
      <w:r w:rsidRPr="00B4699E">
        <w:rPr>
          <w:rFonts w:ascii="Times New Roman" w:hAnsi="Times New Roman" w:eastAsia="Calibri" w:cs="Times New Roman"/>
          <w:sz w:val="24"/>
          <w:szCs w:val="24"/>
        </w:rPr>
        <w:t xml:space="preserve">. Hiervoor is echter wel een grondwetswijziging nodig. Een daartoe strekkend wetsvoorstel zal ter uitvoering van spoor II in procedure worden gebracht. </w:t>
      </w:r>
    </w:p>
    <w:p w:rsidRPr="00B4699E" w:rsidR="00BC1AA4" w:rsidP="00BC1AA4" w:rsidRDefault="00BC1AA4" w14:paraId="48C67CC9" w14:textId="77777777">
      <w:pPr>
        <w:rPr>
          <w:rFonts w:ascii="Times New Roman" w:hAnsi="Times New Roman" w:cs="Times New Roman"/>
          <w:i/>
          <w:iCs/>
          <w:sz w:val="24"/>
          <w:szCs w:val="24"/>
        </w:rPr>
      </w:pPr>
      <w:r w:rsidRPr="00B4699E">
        <w:rPr>
          <w:rFonts w:ascii="Times New Roman" w:hAnsi="Times New Roman" w:cs="Times New Roman"/>
          <w:i/>
          <w:iCs/>
          <w:sz w:val="24"/>
          <w:szCs w:val="24"/>
        </w:rPr>
        <w:t>De leden van de SP-fractie zien dat bij al deze voorstellen de Eerste Kamer niet is betrokken omdat dit op gespannen voet staat met artikel 119 van de Grondwet. Tegelijkertijd vinden deze leden het niet wenselijk dat deze belangrijke veranderingen nu voor verschillen zullen zorgen voor de werkwijze op het gebied van ambtsdelicten tussen de Eerste en de Tweede Kamer. Op welke manier wordt de Eerste Kamer nu betrokken bij dit proces? Hoe kan ervoor worden gezorgd dat de Eerste Kamer ook tot deze regelgeving overgaat en de verschillen zo klein mogelijk blijven?</w:t>
      </w:r>
    </w:p>
    <w:p w:rsidRPr="00B4699E" w:rsidR="00BD316D" w:rsidP="003973BD" w:rsidRDefault="003973BD" w14:paraId="6E74BDC5" w14:textId="15098B94">
      <w:pPr>
        <w:rPr>
          <w:rFonts w:ascii="Times New Roman" w:hAnsi="Times New Roman" w:cs="Times New Roman"/>
          <w:sz w:val="24"/>
          <w:szCs w:val="24"/>
        </w:rPr>
      </w:pPr>
      <w:r w:rsidRPr="00B4699E">
        <w:rPr>
          <w:rFonts w:ascii="Times New Roman" w:hAnsi="Times New Roman" w:cs="Times New Roman"/>
          <w:sz w:val="24"/>
          <w:szCs w:val="24"/>
        </w:rPr>
        <w:t xml:space="preserve">Artikel 119 van de Grondwet legt het vervolgingsmonopolie bij de regering en de Tweede Kamer. De Eerste Kamer heeft hierin geen </w:t>
      </w:r>
      <w:r w:rsidRPr="00B4699E" w:rsidR="006B1158">
        <w:rPr>
          <w:rFonts w:ascii="Times New Roman" w:hAnsi="Times New Roman" w:cs="Times New Roman"/>
          <w:sz w:val="24"/>
          <w:szCs w:val="24"/>
        </w:rPr>
        <w:t xml:space="preserve">bijzondere </w:t>
      </w:r>
      <w:r w:rsidRPr="00B4699E">
        <w:rPr>
          <w:rFonts w:ascii="Times New Roman" w:hAnsi="Times New Roman" w:cs="Times New Roman"/>
          <w:sz w:val="24"/>
          <w:szCs w:val="24"/>
        </w:rPr>
        <w:t xml:space="preserve">rol. </w:t>
      </w:r>
      <w:r w:rsidRPr="00B4699E" w:rsidR="00AD7E01">
        <w:rPr>
          <w:rFonts w:ascii="Times New Roman" w:hAnsi="Times New Roman" w:cs="Times New Roman"/>
          <w:sz w:val="24"/>
          <w:szCs w:val="24"/>
        </w:rPr>
        <w:t>De regering heeft in 2018 op dit punt eerder met de Eerste Kamer van gedachten gewisseld</w:t>
      </w:r>
      <w:r w:rsidRPr="00B4699E" w:rsidR="00F87996">
        <w:rPr>
          <w:rFonts w:ascii="Times New Roman" w:hAnsi="Times New Roman" w:cs="Times New Roman"/>
          <w:sz w:val="24"/>
          <w:szCs w:val="24"/>
        </w:rPr>
        <w:t xml:space="preserve"> bij de parlementaire behandeling van het wetsvoorstel tot modernisering van de </w:t>
      </w:r>
      <w:proofErr w:type="spellStart"/>
      <w:r w:rsidRPr="00B4699E" w:rsidR="00F87996">
        <w:rPr>
          <w:rFonts w:ascii="Times New Roman" w:hAnsi="Times New Roman" w:cs="Times New Roman"/>
          <w:sz w:val="24"/>
          <w:szCs w:val="24"/>
        </w:rPr>
        <w:t>Wmv</w:t>
      </w:r>
      <w:proofErr w:type="spellEnd"/>
      <w:r w:rsidRPr="00B4699E" w:rsidR="00AD7E01">
        <w:rPr>
          <w:rFonts w:ascii="Times New Roman" w:hAnsi="Times New Roman" w:cs="Times New Roman"/>
          <w:sz w:val="24"/>
          <w:szCs w:val="24"/>
        </w:rPr>
        <w:t>, waar kortheidshalve naar wordt verwezen.</w:t>
      </w:r>
      <w:r w:rsidRPr="00B4699E" w:rsidR="00AD7E01">
        <w:rPr>
          <w:rFonts w:ascii="Times New Roman" w:hAnsi="Times New Roman" w:cs="Times New Roman"/>
          <w:sz w:val="24"/>
          <w:szCs w:val="24"/>
          <w:vertAlign w:val="superscript"/>
          <w:lang w:val="en-US"/>
        </w:rPr>
        <w:footnoteReference w:id="11"/>
      </w:r>
      <w:r w:rsidRPr="00B4699E" w:rsidR="00AD7E01">
        <w:rPr>
          <w:rFonts w:ascii="Times New Roman" w:hAnsi="Times New Roman" w:cs="Times New Roman"/>
          <w:sz w:val="24"/>
          <w:szCs w:val="24"/>
        </w:rPr>
        <w:t xml:space="preserve"> </w:t>
      </w:r>
      <w:r w:rsidRPr="00B4699E" w:rsidR="006B1158">
        <w:rPr>
          <w:rFonts w:ascii="Times New Roman" w:hAnsi="Times New Roman" w:cs="Times New Roman"/>
          <w:sz w:val="24"/>
          <w:szCs w:val="24"/>
        </w:rPr>
        <w:t>Deze keuze van de grondwetgever maakt nu eenmaal dat er</w:t>
      </w:r>
      <w:r w:rsidRPr="00B4699E" w:rsidR="00D34252">
        <w:rPr>
          <w:rFonts w:ascii="Times New Roman" w:hAnsi="Times New Roman" w:cs="Times New Roman"/>
          <w:sz w:val="24"/>
          <w:szCs w:val="24"/>
        </w:rPr>
        <w:t xml:space="preserve">, zolang de Grondwet niet is gewijzigd, </w:t>
      </w:r>
      <w:r w:rsidRPr="00B4699E" w:rsidR="006B1158">
        <w:rPr>
          <w:rFonts w:ascii="Times New Roman" w:hAnsi="Times New Roman" w:cs="Times New Roman"/>
          <w:sz w:val="24"/>
          <w:szCs w:val="24"/>
        </w:rPr>
        <w:t>in spoor I verschillen bestaan tussen de rollen van beide Kamers. Wel onderschrijft het kabinet de gedachte van de commissie-</w:t>
      </w:r>
      <w:proofErr w:type="spellStart"/>
      <w:r w:rsidRPr="00B4699E" w:rsidR="006B1158">
        <w:rPr>
          <w:rFonts w:ascii="Times New Roman" w:hAnsi="Times New Roman" w:cs="Times New Roman"/>
          <w:sz w:val="24"/>
          <w:szCs w:val="24"/>
        </w:rPr>
        <w:t>Fokkens</w:t>
      </w:r>
      <w:proofErr w:type="spellEnd"/>
      <w:r w:rsidRPr="00B4699E" w:rsidR="006B1158">
        <w:rPr>
          <w:rFonts w:ascii="Times New Roman" w:hAnsi="Times New Roman" w:cs="Times New Roman"/>
          <w:sz w:val="24"/>
          <w:szCs w:val="24"/>
        </w:rPr>
        <w:t xml:space="preserve"> dat beide Kamers </w:t>
      </w:r>
      <w:r w:rsidRPr="00B4699E" w:rsidR="00D34252">
        <w:rPr>
          <w:rFonts w:ascii="Times New Roman" w:hAnsi="Times New Roman" w:cs="Times New Roman"/>
          <w:sz w:val="24"/>
          <w:szCs w:val="24"/>
        </w:rPr>
        <w:t xml:space="preserve">in de tussenfase van spoor I </w:t>
      </w:r>
      <w:r w:rsidRPr="00B4699E">
        <w:rPr>
          <w:rFonts w:ascii="Times New Roman" w:hAnsi="Times New Roman" w:cs="Times New Roman"/>
          <w:sz w:val="24"/>
          <w:szCs w:val="24"/>
        </w:rPr>
        <w:t xml:space="preserve">werkafspraken </w:t>
      </w:r>
      <w:r w:rsidRPr="00B4699E" w:rsidR="00F87996">
        <w:rPr>
          <w:rFonts w:ascii="Times New Roman" w:hAnsi="Times New Roman" w:cs="Times New Roman"/>
          <w:sz w:val="24"/>
          <w:szCs w:val="24"/>
        </w:rPr>
        <w:t xml:space="preserve">kunnen </w:t>
      </w:r>
      <w:r w:rsidRPr="00B4699E" w:rsidR="00D34252">
        <w:rPr>
          <w:rFonts w:ascii="Times New Roman" w:hAnsi="Times New Roman" w:cs="Times New Roman"/>
          <w:sz w:val="24"/>
          <w:szCs w:val="24"/>
        </w:rPr>
        <w:t xml:space="preserve">maken, </w:t>
      </w:r>
      <w:r w:rsidRPr="00B4699E">
        <w:rPr>
          <w:rFonts w:ascii="Times New Roman" w:hAnsi="Times New Roman" w:cs="Times New Roman"/>
          <w:sz w:val="24"/>
          <w:szCs w:val="24"/>
        </w:rPr>
        <w:t>desgewenst te</w:t>
      </w:r>
      <w:r w:rsidRPr="00B4699E" w:rsidR="00D34252">
        <w:rPr>
          <w:rFonts w:ascii="Times New Roman" w:hAnsi="Times New Roman" w:cs="Times New Roman"/>
          <w:sz w:val="24"/>
          <w:szCs w:val="24"/>
        </w:rPr>
        <w:t xml:space="preserve"> </w:t>
      </w:r>
      <w:r w:rsidRPr="00B4699E">
        <w:rPr>
          <w:rFonts w:ascii="Times New Roman" w:hAnsi="Times New Roman" w:cs="Times New Roman"/>
          <w:sz w:val="24"/>
          <w:szCs w:val="24"/>
        </w:rPr>
        <w:t>verankeren in het reglement van orde van (een van) beide Kamers</w:t>
      </w:r>
      <w:r w:rsidRPr="00B4699E" w:rsidR="00D34252">
        <w:rPr>
          <w:rFonts w:ascii="Times New Roman" w:hAnsi="Times New Roman" w:cs="Times New Roman"/>
          <w:sz w:val="24"/>
          <w:szCs w:val="24"/>
        </w:rPr>
        <w:t xml:space="preserve">. De vraag of een dergelijke regeling wenselijk is en wat de inhoud van een dergelijke regeling zou moeten zijn, laat het kabinet uitdrukkelijk aan beide Kamers. </w:t>
      </w:r>
    </w:p>
    <w:p w:rsidRPr="00B4699E" w:rsidR="009C1767" w:rsidP="003973BD" w:rsidRDefault="00D34252" w14:paraId="0BB3854E" w14:textId="0B545E41">
      <w:pPr>
        <w:rPr>
          <w:rFonts w:ascii="Times New Roman" w:hAnsi="Times New Roman" w:cs="Times New Roman"/>
          <w:sz w:val="24"/>
          <w:szCs w:val="24"/>
        </w:rPr>
      </w:pPr>
      <w:r w:rsidRPr="00B4699E">
        <w:rPr>
          <w:rFonts w:ascii="Times New Roman" w:hAnsi="Times New Roman" w:cs="Times New Roman"/>
          <w:sz w:val="24"/>
          <w:szCs w:val="24"/>
        </w:rPr>
        <w:t xml:space="preserve">Overigens is het niet zo dat de Eerste Kamer niet betrokken is bij het proces van herziening van de wetgeving over ambtsdelicten van Kamerleden en bewindspersonen. Gelet op de aard van het onderwerp </w:t>
      </w:r>
      <w:r w:rsidRPr="00B4699E" w:rsidR="00030909">
        <w:rPr>
          <w:rFonts w:ascii="Times New Roman" w:hAnsi="Times New Roman" w:cs="Times New Roman"/>
          <w:sz w:val="24"/>
          <w:szCs w:val="24"/>
        </w:rPr>
        <w:t xml:space="preserve">is </w:t>
      </w:r>
      <w:r w:rsidRPr="00B4699E">
        <w:rPr>
          <w:rFonts w:ascii="Times New Roman" w:hAnsi="Times New Roman" w:cs="Times New Roman"/>
          <w:sz w:val="24"/>
          <w:szCs w:val="24"/>
        </w:rPr>
        <w:t xml:space="preserve">de kabinetsreactie toegezonden aan zowel de Tweede als de Eerste Kamer. </w:t>
      </w:r>
      <w:r w:rsidRPr="00B4699E" w:rsidR="00030909">
        <w:rPr>
          <w:rFonts w:ascii="Times New Roman" w:hAnsi="Times New Roman" w:cs="Times New Roman"/>
          <w:sz w:val="24"/>
          <w:szCs w:val="24"/>
        </w:rPr>
        <w:t xml:space="preserve">Op 14 mei 2024 namen de </w:t>
      </w:r>
      <w:r w:rsidRPr="00B4699E" w:rsidR="00092576">
        <w:rPr>
          <w:rFonts w:ascii="Times New Roman" w:hAnsi="Times New Roman" w:cs="Times New Roman"/>
          <w:sz w:val="24"/>
          <w:szCs w:val="24"/>
        </w:rPr>
        <w:t xml:space="preserve">Eerste Kamer </w:t>
      </w:r>
      <w:r w:rsidRPr="00B4699E" w:rsidR="00030909">
        <w:rPr>
          <w:rFonts w:ascii="Times New Roman" w:hAnsi="Times New Roman" w:cs="Times New Roman"/>
          <w:sz w:val="24"/>
          <w:szCs w:val="24"/>
        </w:rPr>
        <w:t xml:space="preserve">commissies Justitie en Veiligheid (J&amp;V) en Binnenlandse Zaken (BIZA) </w:t>
      </w:r>
      <w:r w:rsidRPr="00B4699E" w:rsidR="00644CC1">
        <w:rPr>
          <w:rFonts w:ascii="Times New Roman" w:hAnsi="Times New Roman" w:cs="Times New Roman"/>
          <w:sz w:val="24"/>
          <w:szCs w:val="24"/>
        </w:rPr>
        <w:t xml:space="preserve">in de Eerste Kamer </w:t>
      </w:r>
      <w:r w:rsidRPr="00B4699E" w:rsidR="00030909">
        <w:rPr>
          <w:rFonts w:ascii="Times New Roman" w:hAnsi="Times New Roman" w:cs="Times New Roman"/>
          <w:sz w:val="24"/>
          <w:szCs w:val="24"/>
        </w:rPr>
        <w:t>deze kabinetsreactie voor kennisgeving aan en spraken daarbij uitdrukkelijk de wens uit voor een snelle behandeling van dit onderwerp.</w:t>
      </w:r>
      <w:r w:rsidRPr="00B4699E" w:rsidR="00030909">
        <w:rPr>
          <w:rStyle w:val="Voetnootmarkering"/>
          <w:rFonts w:ascii="Times New Roman" w:hAnsi="Times New Roman" w:cs="Times New Roman"/>
          <w:sz w:val="24"/>
          <w:szCs w:val="24"/>
        </w:rPr>
        <w:footnoteReference w:id="12"/>
      </w:r>
      <w:r w:rsidRPr="00B4699E" w:rsidR="00030909">
        <w:rPr>
          <w:rFonts w:ascii="Times New Roman" w:hAnsi="Times New Roman" w:cs="Times New Roman"/>
          <w:sz w:val="24"/>
          <w:szCs w:val="24"/>
        </w:rPr>
        <w:t xml:space="preserve"> </w:t>
      </w:r>
      <w:r w:rsidRPr="00B4699E" w:rsidR="00121A44">
        <w:rPr>
          <w:rFonts w:ascii="Times New Roman" w:hAnsi="Times New Roman" w:cs="Times New Roman"/>
          <w:sz w:val="24"/>
          <w:szCs w:val="24"/>
        </w:rPr>
        <w:t>Verder zal</w:t>
      </w:r>
      <w:r w:rsidRPr="00B4699E" w:rsidR="00030909">
        <w:rPr>
          <w:rFonts w:ascii="Times New Roman" w:hAnsi="Times New Roman" w:cs="Times New Roman"/>
          <w:sz w:val="24"/>
          <w:szCs w:val="24"/>
        </w:rPr>
        <w:t xml:space="preserve"> deze </w:t>
      </w:r>
      <w:r w:rsidRPr="00B4699E" w:rsidR="00121A44">
        <w:rPr>
          <w:rFonts w:ascii="Times New Roman" w:hAnsi="Times New Roman" w:cs="Times New Roman"/>
          <w:sz w:val="24"/>
          <w:szCs w:val="24"/>
        </w:rPr>
        <w:t>beantwoording</w:t>
      </w:r>
      <w:r w:rsidRPr="00B4699E" w:rsidR="00030909">
        <w:rPr>
          <w:rFonts w:ascii="Times New Roman" w:hAnsi="Times New Roman" w:cs="Times New Roman"/>
          <w:sz w:val="24"/>
          <w:szCs w:val="24"/>
        </w:rPr>
        <w:t xml:space="preserve"> </w:t>
      </w:r>
      <w:r w:rsidRPr="00B4699E" w:rsidR="00121A44">
        <w:rPr>
          <w:rFonts w:ascii="Times New Roman" w:hAnsi="Times New Roman" w:cs="Times New Roman"/>
          <w:sz w:val="24"/>
          <w:szCs w:val="24"/>
        </w:rPr>
        <w:t xml:space="preserve">in afschrift </w:t>
      </w:r>
      <w:r w:rsidRPr="00B4699E" w:rsidR="00030909">
        <w:rPr>
          <w:rFonts w:ascii="Times New Roman" w:hAnsi="Times New Roman" w:cs="Times New Roman"/>
          <w:sz w:val="24"/>
          <w:szCs w:val="24"/>
        </w:rPr>
        <w:t xml:space="preserve">aan </w:t>
      </w:r>
      <w:r w:rsidRPr="00B4699E" w:rsidR="00121A44">
        <w:rPr>
          <w:rFonts w:ascii="Times New Roman" w:hAnsi="Times New Roman" w:cs="Times New Roman"/>
          <w:sz w:val="24"/>
          <w:szCs w:val="24"/>
        </w:rPr>
        <w:t>de Eerste Kamer worden</w:t>
      </w:r>
      <w:r w:rsidRPr="00B4699E" w:rsidR="00030909">
        <w:rPr>
          <w:rFonts w:ascii="Times New Roman" w:hAnsi="Times New Roman" w:cs="Times New Roman"/>
          <w:sz w:val="24"/>
          <w:szCs w:val="24"/>
        </w:rPr>
        <w:t xml:space="preserve"> toegezonden. </w:t>
      </w:r>
      <w:r w:rsidRPr="00B4699E" w:rsidR="00121A44">
        <w:rPr>
          <w:rFonts w:ascii="Times New Roman" w:hAnsi="Times New Roman" w:cs="Times New Roman"/>
          <w:sz w:val="24"/>
          <w:szCs w:val="24"/>
        </w:rPr>
        <w:t>En vanzelfsprekend zal de Eerste Kamer volledig de haar toekomende rol in het wetgevingsproces kunnen vervullen bij de behandeling van de wetsvoorstellen die ter uitvoering van het rapport-</w:t>
      </w:r>
      <w:proofErr w:type="spellStart"/>
      <w:r w:rsidRPr="00B4699E" w:rsidR="00121A44">
        <w:rPr>
          <w:rFonts w:ascii="Times New Roman" w:hAnsi="Times New Roman" w:cs="Times New Roman"/>
          <w:sz w:val="24"/>
          <w:szCs w:val="24"/>
        </w:rPr>
        <w:t>Fokkens</w:t>
      </w:r>
      <w:proofErr w:type="spellEnd"/>
      <w:r w:rsidRPr="00B4699E" w:rsidR="00121A44">
        <w:rPr>
          <w:rFonts w:ascii="Times New Roman" w:hAnsi="Times New Roman" w:cs="Times New Roman"/>
          <w:sz w:val="24"/>
          <w:szCs w:val="24"/>
        </w:rPr>
        <w:t xml:space="preserve"> zullen worden ingediend.</w:t>
      </w:r>
    </w:p>
    <w:p w:rsidRPr="00B4699E" w:rsidR="001D01D0" w:rsidP="00BC1AA4" w:rsidRDefault="00BC1AA4" w14:paraId="50C52A5C" w14:textId="73E3B01D">
      <w:pPr>
        <w:rPr>
          <w:rFonts w:ascii="Times New Roman" w:hAnsi="Times New Roman" w:cs="Times New Roman"/>
          <w:i/>
          <w:iCs/>
          <w:sz w:val="24"/>
          <w:szCs w:val="24"/>
        </w:rPr>
      </w:pPr>
      <w:r w:rsidRPr="00B4699E">
        <w:rPr>
          <w:rFonts w:ascii="Times New Roman" w:hAnsi="Times New Roman" w:cs="Times New Roman"/>
          <w:i/>
          <w:iCs/>
          <w:sz w:val="24"/>
          <w:szCs w:val="24"/>
        </w:rPr>
        <w:t xml:space="preserve">De leden van de SP-fractie constateren dat de minister zelf nog een toevoeging wil doen waarmee artikel 119 Grondwet niet volledig kan worden geschrapt maar moet worden gewijzigd. De minister stelt voor om in de Grondwet de waarborg vast te leggen dat de PGHR besluit over de opdracht tot vervolging van een Kamerlid of bewindspersoon wegens een ambtsdelict. Voor een dergelijke cruciale regel in ons staatsbestel past naar het oordeel van de minister een grondwettelijke verankering. Waarom heeft de commissie </w:t>
      </w:r>
      <w:proofErr w:type="spellStart"/>
      <w:r w:rsidRPr="00B4699E">
        <w:rPr>
          <w:rFonts w:ascii="Times New Roman" w:hAnsi="Times New Roman" w:cs="Times New Roman"/>
          <w:i/>
          <w:iCs/>
          <w:sz w:val="24"/>
          <w:szCs w:val="24"/>
        </w:rPr>
        <w:t>Fokkens</w:t>
      </w:r>
      <w:proofErr w:type="spellEnd"/>
      <w:r w:rsidRPr="00B4699E">
        <w:rPr>
          <w:rFonts w:ascii="Times New Roman" w:hAnsi="Times New Roman" w:cs="Times New Roman"/>
          <w:i/>
          <w:iCs/>
          <w:sz w:val="24"/>
          <w:szCs w:val="24"/>
        </w:rPr>
        <w:t xml:space="preserve"> dit niet voorgesteld?</w:t>
      </w:r>
    </w:p>
    <w:p w:rsidRPr="00B4699E" w:rsidR="001D01D0" w:rsidP="00F530C7" w:rsidRDefault="00AD7E01" w14:paraId="0F5478D3" w14:textId="43C1B118">
      <w:pPr>
        <w:rPr>
          <w:rFonts w:ascii="Times New Roman" w:hAnsi="Times New Roman" w:cs="Times New Roman"/>
          <w:sz w:val="24"/>
          <w:szCs w:val="24"/>
        </w:rPr>
      </w:pPr>
      <w:r w:rsidRPr="00B4699E">
        <w:rPr>
          <w:rFonts w:ascii="Times New Roman" w:hAnsi="Times New Roman" w:cs="Times New Roman"/>
          <w:sz w:val="24"/>
          <w:szCs w:val="24"/>
        </w:rPr>
        <w:lastRenderedPageBreak/>
        <w:t>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w:t>
      </w:r>
      <w:r w:rsidRPr="00B4699E" w:rsidR="005F1306">
        <w:rPr>
          <w:rFonts w:ascii="Times New Roman" w:hAnsi="Times New Roman" w:cs="Times New Roman"/>
          <w:sz w:val="24"/>
          <w:szCs w:val="24"/>
        </w:rPr>
        <w:t>heeft i</w:t>
      </w:r>
      <w:r w:rsidRPr="00B4699E">
        <w:rPr>
          <w:rFonts w:ascii="Times New Roman" w:hAnsi="Times New Roman" w:cs="Times New Roman"/>
          <w:sz w:val="24"/>
          <w:szCs w:val="24"/>
        </w:rPr>
        <w:t xml:space="preserve">n </w:t>
      </w:r>
      <w:r w:rsidRPr="00B4699E" w:rsidR="00121A44">
        <w:rPr>
          <w:rFonts w:ascii="Times New Roman" w:hAnsi="Times New Roman" w:cs="Times New Roman"/>
          <w:sz w:val="24"/>
          <w:szCs w:val="24"/>
        </w:rPr>
        <w:t xml:space="preserve">paragraaf 6.3.3.3 van </w:t>
      </w:r>
      <w:r w:rsidRPr="00B4699E">
        <w:rPr>
          <w:rFonts w:ascii="Times New Roman" w:hAnsi="Times New Roman" w:cs="Times New Roman"/>
          <w:sz w:val="24"/>
          <w:szCs w:val="24"/>
        </w:rPr>
        <w:t xml:space="preserve">haar rapport </w:t>
      </w:r>
      <w:r w:rsidRPr="00B4699E" w:rsidR="00121A44">
        <w:rPr>
          <w:rFonts w:ascii="Times New Roman" w:hAnsi="Times New Roman" w:cs="Times New Roman"/>
          <w:sz w:val="24"/>
          <w:szCs w:val="24"/>
        </w:rPr>
        <w:t>in algemene zin aangegeven dat de onderdelen uit de vorm te geven procedure van spoor II niet op het niveau van de Grondwet behoeven te worden verankerd. Dit</w:t>
      </w:r>
      <w:r w:rsidRPr="00B4699E">
        <w:rPr>
          <w:rFonts w:ascii="Times New Roman" w:hAnsi="Times New Roman" w:cs="Times New Roman"/>
          <w:sz w:val="24"/>
          <w:szCs w:val="24"/>
        </w:rPr>
        <w:t xml:space="preserve"> omdat de voorgestelde uitwerking in grote lijnen aansluit bij het reguliere strafprocesrecht en de Grondwet op dit moment volstaat met de bepaling dat de wet het strafprocesrecht in een algemeen wetboek regelt, behoudens de bevoegdheid tot regeling van bepaalde onderwerpen in afzonderlijke wetten (art</w:t>
      </w:r>
      <w:r w:rsidRPr="00B4699E" w:rsidR="005F1306">
        <w:rPr>
          <w:rFonts w:ascii="Times New Roman" w:hAnsi="Times New Roman" w:cs="Times New Roman"/>
          <w:sz w:val="24"/>
          <w:szCs w:val="24"/>
        </w:rPr>
        <w:t>ikel</w:t>
      </w:r>
      <w:r w:rsidRPr="00B4699E">
        <w:rPr>
          <w:rFonts w:ascii="Times New Roman" w:hAnsi="Times New Roman" w:cs="Times New Roman"/>
          <w:sz w:val="24"/>
          <w:szCs w:val="24"/>
        </w:rPr>
        <w:t xml:space="preserve"> 107, eerste lid, </w:t>
      </w:r>
      <w:r w:rsidRPr="00B4699E" w:rsidR="00D66E08">
        <w:rPr>
          <w:rFonts w:ascii="Times New Roman" w:hAnsi="Times New Roman" w:cs="Times New Roman"/>
          <w:sz w:val="24"/>
          <w:szCs w:val="24"/>
        </w:rPr>
        <w:t xml:space="preserve">van de </w:t>
      </w:r>
      <w:r w:rsidRPr="00B4699E">
        <w:rPr>
          <w:rFonts w:ascii="Times New Roman" w:hAnsi="Times New Roman" w:cs="Times New Roman"/>
          <w:sz w:val="24"/>
          <w:szCs w:val="24"/>
        </w:rPr>
        <w:t>Grondwet). Voorts overw</w:t>
      </w:r>
      <w:r w:rsidRPr="00B4699E" w:rsidR="00121A44">
        <w:rPr>
          <w:rFonts w:ascii="Times New Roman" w:hAnsi="Times New Roman" w:cs="Times New Roman"/>
          <w:sz w:val="24"/>
          <w:szCs w:val="24"/>
        </w:rPr>
        <w:t>oog</w:t>
      </w:r>
      <w:r w:rsidRPr="00B4699E">
        <w:rPr>
          <w:rFonts w:ascii="Times New Roman" w:hAnsi="Times New Roman" w:cs="Times New Roman"/>
          <w:sz w:val="24"/>
          <w:szCs w:val="24"/>
        </w:rPr>
        <w:t xml:space="preserve">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dat de onafhankelijke positie van de PGHR – die cruciaal is in de hiervoor geschetste regeling – reeds grondwettelijk is geborgd. Artikel 117, eerste lid, </w:t>
      </w:r>
      <w:r w:rsidRPr="00B4699E" w:rsidR="00D66E08">
        <w:rPr>
          <w:rFonts w:ascii="Times New Roman" w:hAnsi="Times New Roman" w:cs="Times New Roman"/>
          <w:sz w:val="24"/>
          <w:szCs w:val="24"/>
        </w:rPr>
        <w:t xml:space="preserve">van de </w:t>
      </w:r>
      <w:r w:rsidRPr="00B4699E">
        <w:rPr>
          <w:rFonts w:ascii="Times New Roman" w:hAnsi="Times New Roman" w:cs="Times New Roman"/>
          <w:sz w:val="24"/>
          <w:szCs w:val="24"/>
        </w:rPr>
        <w:t>Grondwet bepaalt immers dat de PGHR voor het leven wordt benoemd. De commissie-</w:t>
      </w:r>
      <w:proofErr w:type="spellStart"/>
      <w:r w:rsidRPr="00B4699E">
        <w:rPr>
          <w:rFonts w:ascii="Times New Roman" w:hAnsi="Times New Roman" w:cs="Times New Roman"/>
          <w:sz w:val="24"/>
          <w:szCs w:val="24"/>
        </w:rPr>
        <w:t>Fokkens</w:t>
      </w:r>
      <w:proofErr w:type="spellEnd"/>
      <w:r w:rsidRPr="00B4699E">
        <w:rPr>
          <w:rFonts w:ascii="Times New Roman" w:hAnsi="Times New Roman" w:cs="Times New Roman"/>
          <w:sz w:val="24"/>
          <w:szCs w:val="24"/>
        </w:rPr>
        <w:t xml:space="preserve"> acht het dan ook van groot belang die bepaling te handhaven. </w:t>
      </w:r>
      <w:r w:rsidRPr="00B4699E" w:rsidR="00121A44">
        <w:rPr>
          <w:rFonts w:ascii="Times New Roman" w:hAnsi="Times New Roman" w:cs="Times New Roman"/>
          <w:sz w:val="24"/>
          <w:szCs w:val="24"/>
        </w:rPr>
        <w:t xml:space="preserve">Dat laatste onderschrijft het kabinet volledig. De </w:t>
      </w:r>
      <w:r w:rsidRPr="00B4699E" w:rsidR="00A76AEA">
        <w:rPr>
          <w:rFonts w:ascii="Times New Roman" w:hAnsi="Times New Roman" w:cs="Times New Roman"/>
          <w:sz w:val="24"/>
          <w:szCs w:val="24"/>
        </w:rPr>
        <w:t xml:space="preserve">grondwettelijke verankering </w:t>
      </w:r>
      <w:r w:rsidRPr="00B4699E" w:rsidR="00121A44">
        <w:rPr>
          <w:rFonts w:ascii="Times New Roman" w:hAnsi="Times New Roman" w:cs="Times New Roman"/>
          <w:sz w:val="24"/>
          <w:szCs w:val="24"/>
        </w:rPr>
        <w:t>van de rol van de PGHR in de nieuwe procedure</w:t>
      </w:r>
      <w:r w:rsidRPr="00B4699E" w:rsidR="00A76AEA">
        <w:rPr>
          <w:rFonts w:ascii="Times New Roman" w:hAnsi="Times New Roman" w:cs="Times New Roman"/>
          <w:sz w:val="24"/>
          <w:szCs w:val="24"/>
        </w:rPr>
        <w:t xml:space="preserve"> maakt het </w:t>
      </w:r>
      <w:r w:rsidRPr="00B4699E" w:rsidR="00F56D5E">
        <w:rPr>
          <w:rFonts w:ascii="Times New Roman" w:hAnsi="Times New Roman" w:cs="Times New Roman"/>
          <w:sz w:val="24"/>
          <w:szCs w:val="24"/>
        </w:rPr>
        <w:t xml:space="preserve">ook </w:t>
      </w:r>
      <w:r w:rsidRPr="00B4699E" w:rsidR="00A76AEA">
        <w:rPr>
          <w:rFonts w:ascii="Times New Roman" w:hAnsi="Times New Roman" w:cs="Times New Roman"/>
          <w:sz w:val="24"/>
          <w:szCs w:val="24"/>
        </w:rPr>
        <w:t xml:space="preserve">logischer om deze grondwettelijke positie van de PGHR te handhaven. </w:t>
      </w:r>
    </w:p>
    <w:sectPr w:rsidRPr="00B4699E" w:rsidR="001D01D0"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1489" w14:textId="77777777" w:rsidR="00901920" w:rsidRDefault="00901920" w:rsidP="0076177B">
      <w:pPr>
        <w:spacing w:after="0" w:line="240" w:lineRule="auto"/>
      </w:pPr>
      <w:r>
        <w:separator/>
      </w:r>
    </w:p>
  </w:endnote>
  <w:endnote w:type="continuationSeparator" w:id="0">
    <w:p w14:paraId="6DF12672" w14:textId="77777777" w:rsidR="00901920" w:rsidRDefault="00901920" w:rsidP="0076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3CCF" w14:textId="7ABC0ADD" w:rsidR="001046D1" w:rsidRDefault="001046D1">
    <w:pPr>
      <w:pStyle w:val="Voettekst"/>
      <w:jc w:val="center"/>
    </w:pPr>
  </w:p>
  <w:p w14:paraId="2A29F51D" w14:textId="77777777" w:rsidR="001046D1" w:rsidRDefault="001046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1EFE" w14:textId="77777777" w:rsidR="00901920" w:rsidRDefault="00901920" w:rsidP="0076177B">
      <w:pPr>
        <w:spacing w:after="0" w:line="240" w:lineRule="auto"/>
      </w:pPr>
      <w:r>
        <w:separator/>
      </w:r>
    </w:p>
  </w:footnote>
  <w:footnote w:type="continuationSeparator" w:id="0">
    <w:p w14:paraId="13F64E63" w14:textId="77777777" w:rsidR="00901920" w:rsidRDefault="00901920" w:rsidP="0076177B">
      <w:pPr>
        <w:spacing w:after="0" w:line="240" w:lineRule="auto"/>
      </w:pPr>
      <w:r>
        <w:continuationSeparator/>
      </w:r>
    </w:p>
  </w:footnote>
  <w:footnote w:id="1">
    <w:p w14:paraId="2C021749" w14:textId="59AC858A" w:rsidR="00C01799" w:rsidRPr="00B4699E" w:rsidRDefault="00C01799" w:rsidP="00C01799">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Pr="00B4699E">
        <w:rPr>
          <w:rFonts w:ascii="Times New Roman" w:hAnsi="Times New Roman" w:cs="Times New Roman"/>
          <w:i/>
          <w:iCs/>
        </w:rPr>
        <w:t>Kamerstuk</w:t>
      </w:r>
      <w:r w:rsidR="005B0E19" w:rsidRPr="00B4699E">
        <w:rPr>
          <w:rFonts w:ascii="Times New Roman" w:hAnsi="Times New Roman" w:cs="Times New Roman"/>
          <w:i/>
          <w:iCs/>
        </w:rPr>
        <w:t xml:space="preserve"> </w:t>
      </w:r>
      <w:r w:rsidRPr="00B4699E">
        <w:rPr>
          <w:rFonts w:ascii="Times New Roman" w:hAnsi="Times New Roman" w:cs="Times New Roman"/>
        </w:rPr>
        <w:t>34</w:t>
      </w:r>
      <w:r w:rsidR="005B0E19" w:rsidRPr="00B4699E">
        <w:rPr>
          <w:rFonts w:ascii="Times New Roman" w:hAnsi="Times New Roman" w:cs="Times New Roman"/>
        </w:rPr>
        <w:t xml:space="preserve"> </w:t>
      </w:r>
      <w:r w:rsidRPr="00B4699E">
        <w:rPr>
          <w:rFonts w:ascii="Times New Roman" w:hAnsi="Times New Roman" w:cs="Times New Roman"/>
        </w:rPr>
        <w:t xml:space="preserve">340, nr. 22 en </w:t>
      </w:r>
      <w:r w:rsidRPr="00B4699E">
        <w:rPr>
          <w:rFonts w:ascii="Times New Roman" w:hAnsi="Times New Roman" w:cs="Times New Roman"/>
          <w:i/>
          <w:iCs/>
        </w:rPr>
        <w:t>Kamerstuk</w:t>
      </w:r>
      <w:r w:rsidRPr="00B4699E">
        <w:rPr>
          <w:rFonts w:ascii="Times New Roman" w:hAnsi="Times New Roman" w:cs="Times New Roman"/>
        </w:rPr>
        <w:t xml:space="preserve"> 34</w:t>
      </w:r>
      <w:r w:rsidR="005B0E19" w:rsidRPr="00B4699E">
        <w:rPr>
          <w:rFonts w:ascii="Times New Roman" w:hAnsi="Times New Roman" w:cs="Times New Roman"/>
        </w:rPr>
        <w:t xml:space="preserve"> </w:t>
      </w:r>
      <w:r w:rsidRPr="00B4699E">
        <w:rPr>
          <w:rFonts w:ascii="Times New Roman" w:hAnsi="Times New Roman" w:cs="Times New Roman"/>
        </w:rPr>
        <w:t xml:space="preserve">871, K. Het gaat om de </w:t>
      </w:r>
      <w:r w:rsidR="0018102C" w:rsidRPr="00B4699E">
        <w:rPr>
          <w:rFonts w:ascii="Times New Roman" w:hAnsi="Times New Roman" w:cs="Times New Roman"/>
        </w:rPr>
        <w:t xml:space="preserve">op 12 april 2024 aan de Tweede en Eerste Kamer toegezonden hoofdlijnenbrief, tevens </w:t>
      </w:r>
      <w:r w:rsidRPr="00B4699E">
        <w:rPr>
          <w:rFonts w:ascii="Times New Roman" w:hAnsi="Times New Roman" w:cs="Times New Roman"/>
        </w:rPr>
        <w:t xml:space="preserve">kabinetsreactie op het rapport van de commissie </w:t>
      </w:r>
      <w:proofErr w:type="spellStart"/>
      <w:r w:rsidRPr="00B4699E">
        <w:rPr>
          <w:rFonts w:ascii="Times New Roman" w:hAnsi="Times New Roman" w:cs="Times New Roman"/>
        </w:rPr>
        <w:t>Fokkens</w:t>
      </w:r>
      <w:proofErr w:type="spellEnd"/>
      <w:r w:rsidRPr="00B4699E">
        <w:rPr>
          <w:rFonts w:ascii="Times New Roman" w:hAnsi="Times New Roman" w:cs="Times New Roman"/>
        </w:rPr>
        <w:t xml:space="preserve">, </w:t>
      </w:r>
      <w:r w:rsidRPr="00B4699E">
        <w:rPr>
          <w:rFonts w:ascii="Times New Roman" w:hAnsi="Times New Roman" w:cs="Times New Roman"/>
          <w:i/>
          <w:iCs/>
        </w:rPr>
        <w:t>Niet boven maar in de wet. Een werkbare en faire regeling voor de opsporing, vervolging en berechting van ambtsdelicten van Kamerleden en bewindspersonen</w:t>
      </w:r>
      <w:r w:rsidRPr="00B4699E">
        <w:rPr>
          <w:rFonts w:ascii="Times New Roman" w:hAnsi="Times New Roman" w:cs="Times New Roman"/>
        </w:rPr>
        <w:t xml:space="preserve">, bijlage bij </w:t>
      </w:r>
      <w:r w:rsidRPr="00B4699E">
        <w:rPr>
          <w:rFonts w:ascii="Times New Roman" w:hAnsi="Times New Roman" w:cs="Times New Roman"/>
          <w:i/>
          <w:iCs/>
        </w:rPr>
        <w:t>Kamerstuk</w:t>
      </w:r>
      <w:r w:rsidRPr="00B4699E">
        <w:rPr>
          <w:rFonts w:ascii="Times New Roman" w:hAnsi="Times New Roman" w:cs="Times New Roman"/>
        </w:rPr>
        <w:t xml:space="preserve"> 34</w:t>
      </w:r>
      <w:r w:rsidR="005B0E19" w:rsidRPr="00B4699E">
        <w:rPr>
          <w:rFonts w:ascii="Times New Roman" w:hAnsi="Times New Roman" w:cs="Times New Roman"/>
        </w:rPr>
        <w:t xml:space="preserve"> </w:t>
      </w:r>
      <w:r w:rsidRPr="00B4699E">
        <w:rPr>
          <w:rFonts w:ascii="Times New Roman" w:hAnsi="Times New Roman" w:cs="Times New Roman"/>
        </w:rPr>
        <w:t xml:space="preserve">340, nr. 19 en </w:t>
      </w:r>
      <w:r w:rsidRPr="00B4699E">
        <w:rPr>
          <w:rFonts w:ascii="Times New Roman" w:hAnsi="Times New Roman" w:cs="Times New Roman"/>
          <w:i/>
          <w:iCs/>
        </w:rPr>
        <w:t>Kamerstuk</w:t>
      </w:r>
      <w:r w:rsidRPr="00B4699E">
        <w:rPr>
          <w:rFonts w:ascii="Times New Roman" w:hAnsi="Times New Roman" w:cs="Times New Roman"/>
        </w:rPr>
        <w:t xml:space="preserve"> 34</w:t>
      </w:r>
      <w:r w:rsidR="005B0E19" w:rsidRPr="00B4699E">
        <w:rPr>
          <w:rFonts w:ascii="Times New Roman" w:hAnsi="Times New Roman" w:cs="Times New Roman"/>
        </w:rPr>
        <w:t xml:space="preserve"> </w:t>
      </w:r>
      <w:r w:rsidRPr="00B4699E">
        <w:rPr>
          <w:rFonts w:ascii="Times New Roman" w:hAnsi="Times New Roman" w:cs="Times New Roman"/>
        </w:rPr>
        <w:t>871, J.</w:t>
      </w:r>
    </w:p>
  </w:footnote>
  <w:footnote w:id="2">
    <w:p w14:paraId="542597CB" w14:textId="77777777" w:rsidR="000E75E3" w:rsidRPr="00B4699E" w:rsidRDefault="000E75E3" w:rsidP="000E75E3">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Protocol inzake de behandeling van aangiften bij een ministerie, het openbaar ministerie of de procureur-generaal bij de Hoge Raad tegen leden van de Staten-Generaal, Ministers en Staatssecretarissen, Ministerie van Justitie en Veiligheid (</w:t>
      </w:r>
      <w:proofErr w:type="spellStart"/>
      <w:r w:rsidRPr="00B4699E">
        <w:rPr>
          <w:rFonts w:ascii="Times New Roman" w:hAnsi="Times New Roman" w:cs="Times New Roman"/>
          <w:i/>
          <w:iCs/>
        </w:rPr>
        <w:t>Stcrt</w:t>
      </w:r>
      <w:proofErr w:type="spellEnd"/>
      <w:r w:rsidRPr="00B4699E">
        <w:rPr>
          <w:rFonts w:ascii="Times New Roman" w:hAnsi="Times New Roman" w:cs="Times New Roman"/>
        </w:rPr>
        <w:t>. 2018, 3803).</w:t>
      </w:r>
    </w:p>
  </w:footnote>
  <w:footnote w:id="3">
    <w:p w14:paraId="413D1E6A" w14:textId="700C3743" w:rsidR="000E75E3" w:rsidRPr="00B4699E" w:rsidRDefault="000E75E3" w:rsidP="000E75E3">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Zie: </w:t>
      </w:r>
      <w:hyperlink r:id="rId1" w:history="1">
        <w:r w:rsidR="005B0E19" w:rsidRPr="00B4699E">
          <w:rPr>
            <w:rStyle w:val="Hyperlink"/>
            <w:rFonts w:ascii="Times New Roman" w:hAnsi="Times New Roman" w:cs="Times New Roman"/>
          </w:rPr>
          <w:t>https://www.hogeraad.nl/actueel/publicaties/rapporten-orienterende-onderzoeken-aangiften-bewindspersonen/</w:t>
        </w:r>
      </w:hyperlink>
      <w:r w:rsidR="005B0E19" w:rsidRPr="00B4699E">
        <w:rPr>
          <w:rFonts w:ascii="Times New Roman" w:hAnsi="Times New Roman" w:cs="Times New Roman"/>
        </w:rPr>
        <w:t xml:space="preserve"> </w:t>
      </w:r>
    </w:p>
  </w:footnote>
  <w:footnote w:id="4">
    <w:p w14:paraId="26639B54" w14:textId="3DE246C4" w:rsidR="0034443B" w:rsidRPr="00B4699E" w:rsidRDefault="0034443B">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Pr="00B4699E">
        <w:rPr>
          <w:rFonts w:ascii="Times New Roman" w:hAnsi="Times New Roman" w:cs="Times New Roman"/>
          <w:i/>
          <w:iCs/>
        </w:rPr>
        <w:t>Kamerstuk</w:t>
      </w:r>
      <w:r w:rsidRPr="00B4699E">
        <w:rPr>
          <w:rFonts w:ascii="Times New Roman" w:hAnsi="Times New Roman" w:cs="Times New Roman"/>
        </w:rPr>
        <w:t xml:space="preserve"> 34</w:t>
      </w:r>
      <w:r w:rsidR="005B0E19" w:rsidRPr="00B4699E">
        <w:rPr>
          <w:rFonts w:ascii="Times New Roman" w:hAnsi="Times New Roman" w:cs="Times New Roman"/>
        </w:rPr>
        <w:t xml:space="preserve"> </w:t>
      </w:r>
      <w:r w:rsidRPr="00B4699E">
        <w:rPr>
          <w:rFonts w:ascii="Times New Roman" w:hAnsi="Times New Roman" w:cs="Times New Roman"/>
        </w:rPr>
        <w:t>340, nr. 20, p. 7-8.</w:t>
      </w:r>
    </w:p>
  </w:footnote>
  <w:footnote w:id="5">
    <w:p w14:paraId="544E38C3" w14:textId="340FF66B" w:rsidR="00D54138" w:rsidRPr="00B4699E" w:rsidRDefault="00D54138">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006E00DE" w:rsidRPr="00B4699E">
        <w:rPr>
          <w:rFonts w:ascii="Times New Roman" w:hAnsi="Times New Roman" w:cs="Times New Roman"/>
        </w:rPr>
        <w:t xml:space="preserve">Op grond van </w:t>
      </w:r>
      <w:r w:rsidRPr="00B4699E">
        <w:rPr>
          <w:rFonts w:ascii="Times New Roman" w:hAnsi="Times New Roman" w:cs="Times New Roman"/>
        </w:rPr>
        <w:t>de artikelen 76 Wet RO en 483 Sv</w:t>
      </w:r>
      <w:r w:rsidR="006E00DE" w:rsidRPr="00B4699E">
        <w:rPr>
          <w:rFonts w:ascii="Times New Roman" w:hAnsi="Times New Roman" w:cs="Times New Roman"/>
        </w:rPr>
        <w:t xml:space="preserve"> geldt de procedure van artikel 119 van de Grondwet voor </w:t>
      </w:r>
      <w:r w:rsidRPr="00B4699E">
        <w:rPr>
          <w:rFonts w:ascii="Times New Roman" w:hAnsi="Times New Roman" w:cs="Times New Roman"/>
        </w:rPr>
        <w:t xml:space="preserve">alle ambtsdelicten, dus ook </w:t>
      </w:r>
      <w:r w:rsidR="00E4759C" w:rsidRPr="00B4699E">
        <w:rPr>
          <w:rFonts w:ascii="Times New Roman" w:hAnsi="Times New Roman" w:cs="Times New Roman"/>
        </w:rPr>
        <w:t xml:space="preserve">voor </w:t>
      </w:r>
      <w:r w:rsidRPr="00B4699E">
        <w:rPr>
          <w:rFonts w:ascii="Times New Roman" w:hAnsi="Times New Roman" w:cs="Times New Roman"/>
        </w:rPr>
        <w:t>ambtsovertredingen.</w:t>
      </w:r>
    </w:p>
  </w:footnote>
  <w:footnote w:id="6">
    <w:p w14:paraId="11248FEA" w14:textId="5403BECB" w:rsidR="008D78AA" w:rsidRPr="00B4699E" w:rsidRDefault="008D78AA">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Pr="00B4699E">
        <w:rPr>
          <w:rFonts w:ascii="Times New Roman" w:hAnsi="Times New Roman" w:cs="Times New Roman"/>
          <w:i/>
          <w:iCs/>
        </w:rPr>
        <w:t>Kamerstuk</w:t>
      </w:r>
      <w:r w:rsidRPr="00B4699E">
        <w:rPr>
          <w:rFonts w:ascii="Times New Roman" w:hAnsi="Times New Roman" w:cs="Times New Roman"/>
        </w:rPr>
        <w:t xml:space="preserve"> 31 066, nr. 799 (5 maart 2021); </w:t>
      </w:r>
      <w:r w:rsidRPr="00B4699E">
        <w:rPr>
          <w:rFonts w:ascii="Times New Roman" w:hAnsi="Times New Roman" w:cs="Times New Roman"/>
          <w:i/>
          <w:iCs/>
        </w:rPr>
        <w:t>Kamerstuk</w:t>
      </w:r>
      <w:r w:rsidRPr="00B4699E">
        <w:rPr>
          <w:rFonts w:ascii="Times New Roman" w:hAnsi="Times New Roman" w:cs="Times New Roman"/>
        </w:rPr>
        <w:t xml:space="preserve">, 35 570 VI, nr. 122 (3 september 2021); </w:t>
      </w:r>
      <w:r w:rsidRPr="00B4699E">
        <w:rPr>
          <w:rFonts w:ascii="Times New Roman" w:hAnsi="Times New Roman" w:cs="Times New Roman"/>
          <w:i/>
          <w:iCs/>
        </w:rPr>
        <w:t>Kamerstuk</w:t>
      </w:r>
      <w:r w:rsidRPr="00B4699E">
        <w:rPr>
          <w:rFonts w:ascii="Times New Roman" w:hAnsi="Times New Roman" w:cs="Times New Roman"/>
        </w:rPr>
        <w:t xml:space="preserve"> 35 925 XVII, nr. 62 (28 januari 2022); </w:t>
      </w:r>
      <w:r w:rsidRPr="00B4699E">
        <w:rPr>
          <w:rFonts w:ascii="Times New Roman" w:hAnsi="Times New Roman" w:cs="Times New Roman"/>
          <w:i/>
          <w:iCs/>
        </w:rPr>
        <w:t>Kamerstuk</w:t>
      </w:r>
      <w:r w:rsidRPr="00B4699E">
        <w:rPr>
          <w:rFonts w:ascii="Times New Roman" w:hAnsi="Times New Roman" w:cs="Times New Roman"/>
        </w:rPr>
        <w:t xml:space="preserve"> 35 925 VI, nr. 139 (25 maart 2022); </w:t>
      </w:r>
      <w:r w:rsidRPr="00B4699E">
        <w:rPr>
          <w:rFonts w:ascii="Times New Roman" w:hAnsi="Times New Roman" w:cs="Times New Roman"/>
          <w:i/>
          <w:iCs/>
        </w:rPr>
        <w:t>Kamerstuk</w:t>
      </w:r>
      <w:r w:rsidRPr="00B4699E">
        <w:rPr>
          <w:rFonts w:ascii="Times New Roman" w:hAnsi="Times New Roman" w:cs="Times New Roman"/>
        </w:rPr>
        <w:t xml:space="preserve"> 25 295, nr. 1967 (11 november 2022); </w:t>
      </w:r>
      <w:r w:rsidRPr="00B4699E">
        <w:rPr>
          <w:rFonts w:ascii="Times New Roman" w:hAnsi="Times New Roman" w:cs="Times New Roman"/>
          <w:i/>
          <w:iCs/>
        </w:rPr>
        <w:t>Kamerstuk</w:t>
      </w:r>
      <w:r w:rsidRPr="00B4699E">
        <w:rPr>
          <w:rFonts w:ascii="Times New Roman" w:hAnsi="Times New Roman" w:cs="Times New Roman"/>
        </w:rPr>
        <w:t xml:space="preserve"> 36 200 VI, nr. 126 (24 maart 2023).</w:t>
      </w:r>
    </w:p>
  </w:footnote>
  <w:footnote w:id="7">
    <w:p w14:paraId="20AD8D83" w14:textId="541043BC" w:rsidR="0059296F" w:rsidRPr="00B4699E" w:rsidRDefault="0059296F" w:rsidP="0059296F">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Pr="00B4699E">
        <w:rPr>
          <w:rFonts w:ascii="Times New Roman" w:hAnsi="Times New Roman" w:cs="Times New Roman"/>
          <w:i/>
          <w:iCs/>
        </w:rPr>
        <w:t>Kamerstuk</w:t>
      </w:r>
      <w:r w:rsidRPr="00B4699E">
        <w:rPr>
          <w:rFonts w:ascii="Times New Roman" w:hAnsi="Times New Roman" w:cs="Times New Roman"/>
        </w:rPr>
        <w:t xml:space="preserve"> 16</w:t>
      </w:r>
      <w:r w:rsidR="005B0E19" w:rsidRPr="00B4699E">
        <w:rPr>
          <w:rFonts w:ascii="Times New Roman" w:hAnsi="Times New Roman" w:cs="Times New Roman"/>
        </w:rPr>
        <w:t xml:space="preserve"> </w:t>
      </w:r>
      <w:r w:rsidRPr="00B4699E">
        <w:rPr>
          <w:rFonts w:ascii="Times New Roman" w:hAnsi="Times New Roman" w:cs="Times New Roman"/>
        </w:rPr>
        <w:t>162, nr. 3, p. 5.</w:t>
      </w:r>
    </w:p>
  </w:footnote>
  <w:footnote w:id="8">
    <w:p w14:paraId="20C6D30B" w14:textId="16D2C67E" w:rsidR="006E1685" w:rsidRPr="00B4699E" w:rsidRDefault="006E1685" w:rsidP="006E1685">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Pr="00B4699E">
        <w:rPr>
          <w:rFonts w:ascii="Times New Roman" w:hAnsi="Times New Roman" w:cs="Times New Roman"/>
          <w:i/>
          <w:iCs/>
        </w:rPr>
        <w:t>Kamerstuk</w:t>
      </w:r>
      <w:r w:rsidRPr="00B4699E">
        <w:rPr>
          <w:rFonts w:ascii="Times New Roman" w:hAnsi="Times New Roman" w:cs="Times New Roman"/>
        </w:rPr>
        <w:t>, 34</w:t>
      </w:r>
      <w:r w:rsidR="005B0E19" w:rsidRPr="00B4699E">
        <w:rPr>
          <w:rFonts w:ascii="Times New Roman" w:hAnsi="Times New Roman" w:cs="Times New Roman"/>
        </w:rPr>
        <w:t xml:space="preserve"> </w:t>
      </w:r>
      <w:r w:rsidRPr="00B4699E">
        <w:rPr>
          <w:rFonts w:ascii="Times New Roman" w:hAnsi="Times New Roman" w:cs="Times New Roman"/>
        </w:rPr>
        <w:t>340, nr. 20, p. 7-8.</w:t>
      </w:r>
    </w:p>
  </w:footnote>
  <w:footnote w:id="9">
    <w:p w14:paraId="528C2191" w14:textId="1F7B9A0A" w:rsidR="005652ED" w:rsidRPr="00B4699E" w:rsidRDefault="005652ED" w:rsidP="005652ED">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Pr="00B4699E">
        <w:rPr>
          <w:rFonts w:ascii="Times New Roman" w:hAnsi="Times New Roman" w:cs="Times New Roman"/>
          <w:i/>
          <w:iCs/>
        </w:rPr>
        <w:t>Kamerstuk</w:t>
      </w:r>
      <w:r w:rsidRPr="00B4699E">
        <w:rPr>
          <w:rFonts w:ascii="Times New Roman" w:hAnsi="Times New Roman" w:cs="Times New Roman"/>
        </w:rPr>
        <w:t xml:space="preserve"> 30</w:t>
      </w:r>
      <w:r w:rsidR="005B0E19" w:rsidRPr="00B4699E">
        <w:rPr>
          <w:rFonts w:ascii="Times New Roman" w:hAnsi="Times New Roman" w:cs="Times New Roman"/>
        </w:rPr>
        <w:t xml:space="preserve"> </w:t>
      </w:r>
      <w:r w:rsidRPr="00B4699E">
        <w:rPr>
          <w:rFonts w:ascii="Times New Roman" w:hAnsi="Times New Roman" w:cs="Times New Roman"/>
        </w:rPr>
        <w:t xml:space="preserve">821, nr. 211 (motie-Koekkoek) en </w:t>
      </w:r>
      <w:r w:rsidRPr="00B4699E">
        <w:rPr>
          <w:rFonts w:ascii="Times New Roman" w:hAnsi="Times New Roman" w:cs="Times New Roman"/>
          <w:i/>
          <w:iCs/>
        </w:rPr>
        <w:t>Kamerstuk</w:t>
      </w:r>
      <w:r w:rsidRPr="00B4699E">
        <w:rPr>
          <w:rFonts w:ascii="Times New Roman" w:hAnsi="Times New Roman" w:cs="Times New Roman"/>
        </w:rPr>
        <w:t xml:space="preserve"> 30</w:t>
      </w:r>
      <w:r w:rsidR="005B0E19" w:rsidRPr="00B4699E">
        <w:rPr>
          <w:rFonts w:ascii="Times New Roman" w:hAnsi="Times New Roman" w:cs="Times New Roman"/>
        </w:rPr>
        <w:t xml:space="preserve"> </w:t>
      </w:r>
      <w:r w:rsidRPr="00B4699E">
        <w:rPr>
          <w:rFonts w:ascii="Times New Roman" w:hAnsi="Times New Roman" w:cs="Times New Roman"/>
        </w:rPr>
        <w:t xml:space="preserve">821, nr. 214 (motie-Omtzigt c.s.). </w:t>
      </w:r>
    </w:p>
  </w:footnote>
  <w:footnote w:id="10">
    <w:p w14:paraId="2B7C1930" w14:textId="7DA7CCD0" w:rsidR="00E62B86" w:rsidRPr="00B4699E" w:rsidRDefault="00E62B86">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Artikel 76 Wet RO bepaalt dat de Hoge Raad bij de berechting van deze ambtsmisdrijven oordeelt met tien raadsheren, beslissingen van de raadkamer worden genomen met drie of vijf raadsheren en er moet op grond van artikel 27, eerste lid, Besluit orde van dienst gerechten een raadsheer-commissaris worden aangewezen. De raadsheer-commissaris kan zich bij een doorzoeking of schouw laten vervangen door een rechter-commissaris (art</w:t>
      </w:r>
      <w:r w:rsidR="00F87AC2" w:rsidRPr="00B4699E">
        <w:rPr>
          <w:rFonts w:ascii="Times New Roman" w:hAnsi="Times New Roman" w:cs="Times New Roman"/>
        </w:rPr>
        <w:t>ikel</w:t>
      </w:r>
      <w:r w:rsidRPr="00B4699E">
        <w:rPr>
          <w:rFonts w:ascii="Times New Roman" w:hAnsi="Times New Roman" w:cs="Times New Roman"/>
        </w:rPr>
        <w:t xml:space="preserve"> 484, eerste lid, onder 4, Sv) maar alle andere taken van de rechter-commissaris bij de toepassing van (bijzondere) dwangmiddelen en de </w:t>
      </w:r>
      <w:proofErr w:type="spellStart"/>
      <w:r w:rsidRPr="00B4699E">
        <w:rPr>
          <w:rFonts w:ascii="Times New Roman" w:hAnsi="Times New Roman" w:cs="Times New Roman"/>
        </w:rPr>
        <w:t>onderzoekshandelingen</w:t>
      </w:r>
      <w:proofErr w:type="spellEnd"/>
      <w:r w:rsidRPr="00B4699E">
        <w:rPr>
          <w:rFonts w:ascii="Times New Roman" w:hAnsi="Times New Roman" w:cs="Times New Roman"/>
        </w:rPr>
        <w:t xml:space="preserve"> uit de Titels I en II van het Tweede Boek van het Wetboek van Strafvordering zal deze raadsheer-commissaris zelf moeten verrichten.</w:t>
      </w:r>
    </w:p>
  </w:footnote>
  <w:footnote w:id="11">
    <w:p w14:paraId="40E6E866" w14:textId="3A408627" w:rsidR="00AD7E01" w:rsidRPr="00B4699E" w:rsidRDefault="00AD7E01" w:rsidP="00AD7E01">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Pr="00B4699E">
        <w:rPr>
          <w:rFonts w:ascii="Times New Roman" w:hAnsi="Times New Roman" w:cs="Times New Roman"/>
          <w:i/>
          <w:iCs/>
        </w:rPr>
        <w:t>Kamerstuk</w:t>
      </w:r>
      <w:r w:rsidRPr="00B4699E">
        <w:rPr>
          <w:rFonts w:ascii="Times New Roman" w:hAnsi="Times New Roman" w:cs="Times New Roman"/>
        </w:rPr>
        <w:t xml:space="preserve"> 34</w:t>
      </w:r>
      <w:r w:rsidR="005B0E19" w:rsidRPr="00B4699E">
        <w:rPr>
          <w:rFonts w:ascii="Times New Roman" w:hAnsi="Times New Roman" w:cs="Times New Roman"/>
        </w:rPr>
        <w:t xml:space="preserve"> </w:t>
      </w:r>
      <w:r w:rsidRPr="00B4699E">
        <w:rPr>
          <w:rFonts w:ascii="Times New Roman" w:hAnsi="Times New Roman" w:cs="Times New Roman"/>
        </w:rPr>
        <w:t>871, B, p. 1 (voorlopig verslag), C, p. 1-2 (memorie van antwoord), D (nader voorlopig verslag) en E (nadere memorie van antwoord).</w:t>
      </w:r>
    </w:p>
  </w:footnote>
  <w:footnote w:id="12">
    <w:p w14:paraId="112C72FB" w14:textId="3E525EAE" w:rsidR="00030909" w:rsidRPr="00B4699E" w:rsidRDefault="00030909">
      <w:pPr>
        <w:pStyle w:val="Voetnoottekst"/>
        <w:rPr>
          <w:rFonts w:ascii="Times New Roman" w:hAnsi="Times New Roman" w:cs="Times New Roman"/>
        </w:rPr>
      </w:pPr>
      <w:r w:rsidRPr="00B4699E">
        <w:rPr>
          <w:rStyle w:val="Voetnootmarkering"/>
          <w:rFonts w:ascii="Times New Roman" w:hAnsi="Times New Roman" w:cs="Times New Roman"/>
        </w:rPr>
        <w:footnoteRef/>
      </w:r>
      <w:r w:rsidRPr="00B4699E">
        <w:rPr>
          <w:rFonts w:ascii="Times New Roman" w:hAnsi="Times New Roman" w:cs="Times New Roman"/>
        </w:rPr>
        <w:t xml:space="preserve"> </w:t>
      </w:r>
      <w:r w:rsidR="00BD316D" w:rsidRPr="00B4699E">
        <w:rPr>
          <w:rFonts w:ascii="Times New Roman" w:hAnsi="Times New Roman" w:cs="Times New Roman"/>
        </w:rPr>
        <w:t xml:space="preserve">Korte aantekeningen vergadering commissies Justitie en Veiligheid (J&amp;V) en Binnenlandse Zaken (BIZA) van </w:t>
      </w:r>
      <w:r w:rsidR="00FD588B" w:rsidRPr="00B4699E">
        <w:rPr>
          <w:rFonts w:ascii="Times New Roman" w:hAnsi="Times New Roman" w:cs="Times New Roman"/>
        </w:rPr>
        <w:t xml:space="preserve">14 </w:t>
      </w:r>
      <w:r w:rsidR="00BD316D" w:rsidRPr="00B4699E">
        <w:rPr>
          <w:rFonts w:ascii="Times New Roman" w:hAnsi="Times New Roman" w:cs="Times New Roman"/>
        </w:rPr>
        <w:t xml:space="preserve">mei 2024, </w:t>
      </w:r>
      <w:r w:rsidR="003B5AEA" w:rsidRPr="00B4699E">
        <w:rPr>
          <w:rFonts w:ascii="Times New Roman" w:hAnsi="Times New Roman" w:cs="Times New Roman"/>
        </w:rPr>
        <w:t xml:space="preserve">besluitpunten bij </w:t>
      </w:r>
      <w:r w:rsidR="003B5AEA" w:rsidRPr="00B4699E">
        <w:rPr>
          <w:rFonts w:ascii="Times New Roman" w:hAnsi="Times New Roman" w:cs="Times New Roman"/>
          <w:i/>
          <w:iCs/>
        </w:rPr>
        <w:t>Kamerstuk</w:t>
      </w:r>
      <w:r w:rsidR="003B5AEA" w:rsidRPr="00B4699E">
        <w:rPr>
          <w:rFonts w:ascii="Times New Roman" w:hAnsi="Times New Roman" w:cs="Times New Roman"/>
        </w:rPr>
        <w:t xml:space="preserve"> 34</w:t>
      </w:r>
      <w:r w:rsidR="005B0E19" w:rsidRPr="00B4699E">
        <w:rPr>
          <w:rFonts w:ascii="Times New Roman" w:hAnsi="Times New Roman" w:cs="Times New Roman"/>
        </w:rPr>
        <w:t xml:space="preserve"> </w:t>
      </w:r>
      <w:r w:rsidR="003B5AEA" w:rsidRPr="00B4699E">
        <w:rPr>
          <w:rFonts w:ascii="Times New Roman" w:hAnsi="Times New Roman" w:cs="Times New Roman"/>
        </w:rPr>
        <w:t>871, J en 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503D"/>
    <w:multiLevelType w:val="hybridMultilevel"/>
    <w:tmpl w:val="DC0AE680"/>
    <w:lvl w:ilvl="0" w:tplc="706A08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848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33"/>
    <w:rsid w:val="00015BE8"/>
    <w:rsid w:val="00030909"/>
    <w:rsid w:val="000437E5"/>
    <w:rsid w:val="00044024"/>
    <w:rsid w:val="000667A6"/>
    <w:rsid w:val="000703D4"/>
    <w:rsid w:val="00076013"/>
    <w:rsid w:val="00082FE2"/>
    <w:rsid w:val="00084A1E"/>
    <w:rsid w:val="000861EA"/>
    <w:rsid w:val="00091EFD"/>
    <w:rsid w:val="00092576"/>
    <w:rsid w:val="00096BDD"/>
    <w:rsid w:val="000A5635"/>
    <w:rsid w:val="000B2AAD"/>
    <w:rsid w:val="000B6D0D"/>
    <w:rsid w:val="000C0719"/>
    <w:rsid w:val="000D10A9"/>
    <w:rsid w:val="000D66A1"/>
    <w:rsid w:val="000E0734"/>
    <w:rsid w:val="000E3958"/>
    <w:rsid w:val="000E4F49"/>
    <w:rsid w:val="000E729D"/>
    <w:rsid w:val="000E75E3"/>
    <w:rsid w:val="000F2166"/>
    <w:rsid w:val="000F7DDE"/>
    <w:rsid w:val="00100825"/>
    <w:rsid w:val="0010121A"/>
    <w:rsid w:val="001046D1"/>
    <w:rsid w:val="00105A4C"/>
    <w:rsid w:val="00112ADD"/>
    <w:rsid w:val="00121A44"/>
    <w:rsid w:val="001268E9"/>
    <w:rsid w:val="00136A96"/>
    <w:rsid w:val="00140095"/>
    <w:rsid w:val="001418F3"/>
    <w:rsid w:val="00145BC0"/>
    <w:rsid w:val="00155B09"/>
    <w:rsid w:val="0016259E"/>
    <w:rsid w:val="00171971"/>
    <w:rsid w:val="00173BD9"/>
    <w:rsid w:val="00177C3A"/>
    <w:rsid w:val="00180830"/>
    <w:rsid w:val="0018102C"/>
    <w:rsid w:val="00191765"/>
    <w:rsid w:val="001A19B5"/>
    <w:rsid w:val="001A2580"/>
    <w:rsid w:val="001A30C6"/>
    <w:rsid w:val="001A52C4"/>
    <w:rsid w:val="001B07A3"/>
    <w:rsid w:val="001B2B19"/>
    <w:rsid w:val="001B66CB"/>
    <w:rsid w:val="001B6E57"/>
    <w:rsid w:val="001B76FE"/>
    <w:rsid w:val="001C02A3"/>
    <w:rsid w:val="001D01D0"/>
    <w:rsid w:val="001D2257"/>
    <w:rsid w:val="001D5845"/>
    <w:rsid w:val="001E1480"/>
    <w:rsid w:val="001E1DC7"/>
    <w:rsid w:val="001E6A24"/>
    <w:rsid w:val="001E7D65"/>
    <w:rsid w:val="001F32BC"/>
    <w:rsid w:val="001F3851"/>
    <w:rsid w:val="00200C08"/>
    <w:rsid w:val="00203119"/>
    <w:rsid w:val="00205C78"/>
    <w:rsid w:val="00212B48"/>
    <w:rsid w:val="00216F00"/>
    <w:rsid w:val="00223B1E"/>
    <w:rsid w:val="002245EE"/>
    <w:rsid w:val="00230670"/>
    <w:rsid w:val="00233BE8"/>
    <w:rsid w:val="0023550E"/>
    <w:rsid w:val="00236DE2"/>
    <w:rsid w:val="00245585"/>
    <w:rsid w:val="00254E2B"/>
    <w:rsid w:val="0025651A"/>
    <w:rsid w:val="002607F1"/>
    <w:rsid w:val="00267AC3"/>
    <w:rsid w:val="002736E0"/>
    <w:rsid w:val="00274292"/>
    <w:rsid w:val="00274BB1"/>
    <w:rsid w:val="00276FED"/>
    <w:rsid w:val="0027757D"/>
    <w:rsid w:val="00280267"/>
    <w:rsid w:val="00282B35"/>
    <w:rsid w:val="00284FA1"/>
    <w:rsid w:val="002919AB"/>
    <w:rsid w:val="002928D9"/>
    <w:rsid w:val="00293A5B"/>
    <w:rsid w:val="002A2966"/>
    <w:rsid w:val="002A32B9"/>
    <w:rsid w:val="002A6571"/>
    <w:rsid w:val="002B18FF"/>
    <w:rsid w:val="002B2813"/>
    <w:rsid w:val="002C39C1"/>
    <w:rsid w:val="002D0529"/>
    <w:rsid w:val="002D12F6"/>
    <w:rsid w:val="002D4735"/>
    <w:rsid w:val="002E4297"/>
    <w:rsid w:val="002E54EA"/>
    <w:rsid w:val="002E6515"/>
    <w:rsid w:val="002F3AD0"/>
    <w:rsid w:val="002F42F1"/>
    <w:rsid w:val="002F6577"/>
    <w:rsid w:val="00301557"/>
    <w:rsid w:val="003022B2"/>
    <w:rsid w:val="00304123"/>
    <w:rsid w:val="0030709D"/>
    <w:rsid w:val="0031741D"/>
    <w:rsid w:val="00320235"/>
    <w:rsid w:val="00325B5C"/>
    <w:rsid w:val="003269C1"/>
    <w:rsid w:val="00333B8C"/>
    <w:rsid w:val="003342B7"/>
    <w:rsid w:val="00337793"/>
    <w:rsid w:val="003423A9"/>
    <w:rsid w:val="003431B0"/>
    <w:rsid w:val="0034443B"/>
    <w:rsid w:val="00344DBC"/>
    <w:rsid w:val="00344E2A"/>
    <w:rsid w:val="0035465E"/>
    <w:rsid w:val="00355D6B"/>
    <w:rsid w:val="00356401"/>
    <w:rsid w:val="0036087A"/>
    <w:rsid w:val="00362287"/>
    <w:rsid w:val="003657B1"/>
    <w:rsid w:val="00367BB7"/>
    <w:rsid w:val="00370444"/>
    <w:rsid w:val="00377110"/>
    <w:rsid w:val="00380B75"/>
    <w:rsid w:val="0038459E"/>
    <w:rsid w:val="003905FC"/>
    <w:rsid w:val="0039332A"/>
    <w:rsid w:val="003973BD"/>
    <w:rsid w:val="003A12E5"/>
    <w:rsid w:val="003A3AAA"/>
    <w:rsid w:val="003B3A30"/>
    <w:rsid w:val="003B3AAA"/>
    <w:rsid w:val="003B5AEA"/>
    <w:rsid w:val="003C0337"/>
    <w:rsid w:val="003C37FA"/>
    <w:rsid w:val="003C69F6"/>
    <w:rsid w:val="003D1A8F"/>
    <w:rsid w:val="003F1019"/>
    <w:rsid w:val="003F15E6"/>
    <w:rsid w:val="00421677"/>
    <w:rsid w:val="00425ED2"/>
    <w:rsid w:val="00426571"/>
    <w:rsid w:val="00427299"/>
    <w:rsid w:val="00435E4A"/>
    <w:rsid w:val="00436FF3"/>
    <w:rsid w:val="00440240"/>
    <w:rsid w:val="004404FA"/>
    <w:rsid w:val="00441519"/>
    <w:rsid w:val="004428F0"/>
    <w:rsid w:val="00442D93"/>
    <w:rsid w:val="0045030F"/>
    <w:rsid w:val="00453E6E"/>
    <w:rsid w:val="00463B1D"/>
    <w:rsid w:val="00464DC4"/>
    <w:rsid w:val="00496409"/>
    <w:rsid w:val="00497CE8"/>
    <w:rsid w:val="004A1733"/>
    <w:rsid w:val="004A6E62"/>
    <w:rsid w:val="004B5595"/>
    <w:rsid w:val="004D1E12"/>
    <w:rsid w:val="004D7ACF"/>
    <w:rsid w:val="004E4198"/>
    <w:rsid w:val="004E65DF"/>
    <w:rsid w:val="004F44C2"/>
    <w:rsid w:val="004F4EB6"/>
    <w:rsid w:val="004F4EFD"/>
    <w:rsid w:val="004F7833"/>
    <w:rsid w:val="00501358"/>
    <w:rsid w:val="00514728"/>
    <w:rsid w:val="00515C0D"/>
    <w:rsid w:val="0051706F"/>
    <w:rsid w:val="00531300"/>
    <w:rsid w:val="00537F59"/>
    <w:rsid w:val="00551DA3"/>
    <w:rsid w:val="00555A17"/>
    <w:rsid w:val="00562296"/>
    <w:rsid w:val="005652ED"/>
    <w:rsid w:val="0056595E"/>
    <w:rsid w:val="00565D4D"/>
    <w:rsid w:val="00576A0E"/>
    <w:rsid w:val="00576E82"/>
    <w:rsid w:val="005779F0"/>
    <w:rsid w:val="005831AA"/>
    <w:rsid w:val="0058663D"/>
    <w:rsid w:val="00591C44"/>
    <w:rsid w:val="0059296F"/>
    <w:rsid w:val="00595A55"/>
    <w:rsid w:val="005A102D"/>
    <w:rsid w:val="005A3FF6"/>
    <w:rsid w:val="005A7414"/>
    <w:rsid w:val="005B0E19"/>
    <w:rsid w:val="005C7CC2"/>
    <w:rsid w:val="005D02BA"/>
    <w:rsid w:val="005D1A15"/>
    <w:rsid w:val="005D245C"/>
    <w:rsid w:val="005E10D8"/>
    <w:rsid w:val="005F1306"/>
    <w:rsid w:val="005F1831"/>
    <w:rsid w:val="005F1D74"/>
    <w:rsid w:val="005F1DBC"/>
    <w:rsid w:val="005F26B9"/>
    <w:rsid w:val="00600852"/>
    <w:rsid w:val="00612F48"/>
    <w:rsid w:val="0061319A"/>
    <w:rsid w:val="00622912"/>
    <w:rsid w:val="006264E7"/>
    <w:rsid w:val="00627D7B"/>
    <w:rsid w:val="00634A15"/>
    <w:rsid w:val="00641705"/>
    <w:rsid w:val="00644CC1"/>
    <w:rsid w:val="00664799"/>
    <w:rsid w:val="006706E3"/>
    <w:rsid w:val="00671721"/>
    <w:rsid w:val="00675489"/>
    <w:rsid w:val="006810CB"/>
    <w:rsid w:val="00683DB9"/>
    <w:rsid w:val="0068658E"/>
    <w:rsid w:val="006A321C"/>
    <w:rsid w:val="006A3C74"/>
    <w:rsid w:val="006A7278"/>
    <w:rsid w:val="006B1158"/>
    <w:rsid w:val="006B2889"/>
    <w:rsid w:val="006B3D72"/>
    <w:rsid w:val="006B6DDB"/>
    <w:rsid w:val="006C7CFA"/>
    <w:rsid w:val="006D45EF"/>
    <w:rsid w:val="006D67BD"/>
    <w:rsid w:val="006E00DE"/>
    <w:rsid w:val="006E1685"/>
    <w:rsid w:val="006E1DE1"/>
    <w:rsid w:val="006E1EB2"/>
    <w:rsid w:val="006E3D8C"/>
    <w:rsid w:val="007000D5"/>
    <w:rsid w:val="00703BB7"/>
    <w:rsid w:val="00707871"/>
    <w:rsid w:val="007144DC"/>
    <w:rsid w:val="007158CB"/>
    <w:rsid w:val="0072006B"/>
    <w:rsid w:val="00733573"/>
    <w:rsid w:val="00736E61"/>
    <w:rsid w:val="00737489"/>
    <w:rsid w:val="007374F8"/>
    <w:rsid w:val="00741183"/>
    <w:rsid w:val="00742A6E"/>
    <w:rsid w:val="00746B97"/>
    <w:rsid w:val="0076177B"/>
    <w:rsid w:val="00763C5F"/>
    <w:rsid w:val="007656AD"/>
    <w:rsid w:val="0077422E"/>
    <w:rsid w:val="00776078"/>
    <w:rsid w:val="007760E0"/>
    <w:rsid w:val="00780D29"/>
    <w:rsid w:val="007A79D9"/>
    <w:rsid w:val="007B4517"/>
    <w:rsid w:val="007B6A97"/>
    <w:rsid w:val="007C0667"/>
    <w:rsid w:val="007C49A9"/>
    <w:rsid w:val="007C4FE9"/>
    <w:rsid w:val="007C51D0"/>
    <w:rsid w:val="007C5E38"/>
    <w:rsid w:val="007D4F48"/>
    <w:rsid w:val="007D6E39"/>
    <w:rsid w:val="007D7DCF"/>
    <w:rsid w:val="007E12B5"/>
    <w:rsid w:val="007E2625"/>
    <w:rsid w:val="007E6133"/>
    <w:rsid w:val="007F22A6"/>
    <w:rsid w:val="007F56C1"/>
    <w:rsid w:val="007F5D4D"/>
    <w:rsid w:val="00801D87"/>
    <w:rsid w:val="00804B6E"/>
    <w:rsid w:val="00813F8A"/>
    <w:rsid w:val="0081477B"/>
    <w:rsid w:val="00822626"/>
    <w:rsid w:val="00827FF3"/>
    <w:rsid w:val="00830792"/>
    <w:rsid w:val="0083097C"/>
    <w:rsid w:val="0083406E"/>
    <w:rsid w:val="00836776"/>
    <w:rsid w:val="00840895"/>
    <w:rsid w:val="008432E2"/>
    <w:rsid w:val="00846DAA"/>
    <w:rsid w:val="0086100F"/>
    <w:rsid w:val="0086317B"/>
    <w:rsid w:val="00866B47"/>
    <w:rsid w:val="00876518"/>
    <w:rsid w:val="00882B65"/>
    <w:rsid w:val="00886EDE"/>
    <w:rsid w:val="00892917"/>
    <w:rsid w:val="008956D7"/>
    <w:rsid w:val="008B036F"/>
    <w:rsid w:val="008B23F3"/>
    <w:rsid w:val="008B74E0"/>
    <w:rsid w:val="008C2100"/>
    <w:rsid w:val="008C4232"/>
    <w:rsid w:val="008D003C"/>
    <w:rsid w:val="008D0EFF"/>
    <w:rsid w:val="008D1798"/>
    <w:rsid w:val="008D1873"/>
    <w:rsid w:val="008D3793"/>
    <w:rsid w:val="008D78AA"/>
    <w:rsid w:val="008E236B"/>
    <w:rsid w:val="008E770C"/>
    <w:rsid w:val="008F5294"/>
    <w:rsid w:val="008F6FDB"/>
    <w:rsid w:val="00900B31"/>
    <w:rsid w:val="00901920"/>
    <w:rsid w:val="009050FE"/>
    <w:rsid w:val="00910CC4"/>
    <w:rsid w:val="009131EF"/>
    <w:rsid w:val="009164CB"/>
    <w:rsid w:val="00940FA8"/>
    <w:rsid w:val="0094386D"/>
    <w:rsid w:val="009453FC"/>
    <w:rsid w:val="0094580C"/>
    <w:rsid w:val="0096146B"/>
    <w:rsid w:val="0096219C"/>
    <w:rsid w:val="00967557"/>
    <w:rsid w:val="00970493"/>
    <w:rsid w:val="00975517"/>
    <w:rsid w:val="00982BCF"/>
    <w:rsid w:val="00984FB4"/>
    <w:rsid w:val="009857F6"/>
    <w:rsid w:val="00986405"/>
    <w:rsid w:val="009907B1"/>
    <w:rsid w:val="009C0670"/>
    <w:rsid w:val="009C1767"/>
    <w:rsid w:val="009C727E"/>
    <w:rsid w:val="009D3B0A"/>
    <w:rsid w:val="009D4C9A"/>
    <w:rsid w:val="009D72C8"/>
    <w:rsid w:val="009E2933"/>
    <w:rsid w:val="009E39B8"/>
    <w:rsid w:val="009E6932"/>
    <w:rsid w:val="009F16B5"/>
    <w:rsid w:val="00A03F0B"/>
    <w:rsid w:val="00A103DA"/>
    <w:rsid w:val="00A10BA4"/>
    <w:rsid w:val="00A162E7"/>
    <w:rsid w:val="00A203B8"/>
    <w:rsid w:val="00A22CC9"/>
    <w:rsid w:val="00A23D69"/>
    <w:rsid w:val="00A34E2B"/>
    <w:rsid w:val="00A37DFD"/>
    <w:rsid w:val="00A41AF0"/>
    <w:rsid w:val="00A469AE"/>
    <w:rsid w:val="00A56058"/>
    <w:rsid w:val="00A5774F"/>
    <w:rsid w:val="00A64649"/>
    <w:rsid w:val="00A73D49"/>
    <w:rsid w:val="00A76AEA"/>
    <w:rsid w:val="00A84E94"/>
    <w:rsid w:val="00A86E3B"/>
    <w:rsid w:val="00A921A6"/>
    <w:rsid w:val="00AA398D"/>
    <w:rsid w:val="00AA4A94"/>
    <w:rsid w:val="00AB3E4B"/>
    <w:rsid w:val="00AC70DC"/>
    <w:rsid w:val="00AC750A"/>
    <w:rsid w:val="00AD095E"/>
    <w:rsid w:val="00AD0B45"/>
    <w:rsid w:val="00AD3D75"/>
    <w:rsid w:val="00AD7E01"/>
    <w:rsid w:val="00AE3F43"/>
    <w:rsid w:val="00AF337C"/>
    <w:rsid w:val="00B00941"/>
    <w:rsid w:val="00B06701"/>
    <w:rsid w:val="00B127B5"/>
    <w:rsid w:val="00B12B52"/>
    <w:rsid w:val="00B14522"/>
    <w:rsid w:val="00B21711"/>
    <w:rsid w:val="00B33184"/>
    <w:rsid w:val="00B35B35"/>
    <w:rsid w:val="00B40AC1"/>
    <w:rsid w:val="00B44671"/>
    <w:rsid w:val="00B448D1"/>
    <w:rsid w:val="00B4699E"/>
    <w:rsid w:val="00B61E89"/>
    <w:rsid w:val="00B66B8E"/>
    <w:rsid w:val="00B717AF"/>
    <w:rsid w:val="00B72D89"/>
    <w:rsid w:val="00B74DE8"/>
    <w:rsid w:val="00B77C18"/>
    <w:rsid w:val="00B77C9D"/>
    <w:rsid w:val="00B80080"/>
    <w:rsid w:val="00B850DE"/>
    <w:rsid w:val="00B920EA"/>
    <w:rsid w:val="00BA14BA"/>
    <w:rsid w:val="00BB1489"/>
    <w:rsid w:val="00BB4DF5"/>
    <w:rsid w:val="00BC1AA4"/>
    <w:rsid w:val="00BC7412"/>
    <w:rsid w:val="00BC74ED"/>
    <w:rsid w:val="00BD2235"/>
    <w:rsid w:val="00BD2F99"/>
    <w:rsid w:val="00BD316D"/>
    <w:rsid w:val="00BD3628"/>
    <w:rsid w:val="00BE23DA"/>
    <w:rsid w:val="00BE4211"/>
    <w:rsid w:val="00BE796F"/>
    <w:rsid w:val="00BF188C"/>
    <w:rsid w:val="00BF1C6D"/>
    <w:rsid w:val="00BF71A2"/>
    <w:rsid w:val="00BF75E1"/>
    <w:rsid w:val="00C01799"/>
    <w:rsid w:val="00C10CFA"/>
    <w:rsid w:val="00C121D7"/>
    <w:rsid w:val="00C13FA1"/>
    <w:rsid w:val="00C229F9"/>
    <w:rsid w:val="00C22F81"/>
    <w:rsid w:val="00C26BC2"/>
    <w:rsid w:val="00C26E4A"/>
    <w:rsid w:val="00C3174B"/>
    <w:rsid w:val="00C31800"/>
    <w:rsid w:val="00C331CA"/>
    <w:rsid w:val="00C3339A"/>
    <w:rsid w:val="00C37F0A"/>
    <w:rsid w:val="00C402B2"/>
    <w:rsid w:val="00C41E39"/>
    <w:rsid w:val="00C53C4C"/>
    <w:rsid w:val="00C6465E"/>
    <w:rsid w:val="00C671DE"/>
    <w:rsid w:val="00C70CF4"/>
    <w:rsid w:val="00C7163B"/>
    <w:rsid w:val="00C737BD"/>
    <w:rsid w:val="00C74A99"/>
    <w:rsid w:val="00C8043F"/>
    <w:rsid w:val="00C82F4D"/>
    <w:rsid w:val="00C83128"/>
    <w:rsid w:val="00C84C8B"/>
    <w:rsid w:val="00C87525"/>
    <w:rsid w:val="00C911BC"/>
    <w:rsid w:val="00C9250C"/>
    <w:rsid w:val="00CA0F56"/>
    <w:rsid w:val="00CA5008"/>
    <w:rsid w:val="00CB0F7D"/>
    <w:rsid w:val="00CB20F1"/>
    <w:rsid w:val="00CB4CCD"/>
    <w:rsid w:val="00CC09BD"/>
    <w:rsid w:val="00CC1F2F"/>
    <w:rsid w:val="00CC5197"/>
    <w:rsid w:val="00CC6DC8"/>
    <w:rsid w:val="00CD7A42"/>
    <w:rsid w:val="00CF0F27"/>
    <w:rsid w:val="00CF1393"/>
    <w:rsid w:val="00D10D46"/>
    <w:rsid w:val="00D11032"/>
    <w:rsid w:val="00D244CE"/>
    <w:rsid w:val="00D32B14"/>
    <w:rsid w:val="00D34252"/>
    <w:rsid w:val="00D3530C"/>
    <w:rsid w:val="00D43695"/>
    <w:rsid w:val="00D46ECC"/>
    <w:rsid w:val="00D516C7"/>
    <w:rsid w:val="00D526D3"/>
    <w:rsid w:val="00D54138"/>
    <w:rsid w:val="00D54F57"/>
    <w:rsid w:val="00D55EA3"/>
    <w:rsid w:val="00D57391"/>
    <w:rsid w:val="00D6563E"/>
    <w:rsid w:val="00D65A31"/>
    <w:rsid w:val="00D66675"/>
    <w:rsid w:val="00D66E08"/>
    <w:rsid w:val="00D765C4"/>
    <w:rsid w:val="00D77A65"/>
    <w:rsid w:val="00D81C69"/>
    <w:rsid w:val="00D83ECE"/>
    <w:rsid w:val="00D84E10"/>
    <w:rsid w:val="00D90F80"/>
    <w:rsid w:val="00D92E6D"/>
    <w:rsid w:val="00DA1C04"/>
    <w:rsid w:val="00DA2236"/>
    <w:rsid w:val="00DA7756"/>
    <w:rsid w:val="00DB1310"/>
    <w:rsid w:val="00DC29FE"/>
    <w:rsid w:val="00DC5AF2"/>
    <w:rsid w:val="00DD0CD2"/>
    <w:rsid w:val="00DD20C9"/>
    <w:rsid w:val="00DD6FC1"/>
    <w:rsid w:val="00DE12AC"/>
    <w:rsid w:val="00DE1E9F"/>
    <w:rsid w:val="00DE4409"/>
    <w:rsid w:val="00DE4B4B"/>
    <w:rsid w:val="00DE6D6F"/>
    <w:rsid w:val="00DF090E"/>
    <w:rsid w:val="00DF480D"/>
    <w:rsid w:val="00E067EE"/>
    <w:rsid w:val="00E13972"/>
    <w:rsid w:val="00E145EE"/>
    <w:rsid w:val="00E21F8D"/>
    <w:rsid w:val="00E2459C"/>
    <w:rsid w:val="00E27F29"/>
    <w:rsid w:val="00E30D52"/>
    <w:rsid w:val="00E33D87"/>
    <w:rsid w:val="00E34948"/>
    <w:rsid w:val="00E40074"/>
    <w:rsid w:val="00E419DD"/>
    <w:rsid w:val="00E464A8"/>
    <w:rsid w:val="00E4759C"/>
    <w:rsid w:val="00E54AC5"/>
    <w:rsid w:val="00E55235"/>
    <w:rsid w:val="00E55CC7"/>
    <w:rsid w:val="00E624C6"/>
    <w:rsid w:val="00E62B86"/>
    <w:rsid w:val="00E66CFE"/>
    <w:rsid w:val="00E71834"/>
    <w:rsid w:val="00E82B39"/>
    <w:rsid w:val="00E86BFC"/>
    <w:rsid w:val="00E875BD"/>
    <w:rsid w:val="00E8771F"/>
    <w:rsid w:val="00E87BF1"/>
    <w:rsid w:val="00E90558"/>
    <w:rsid w:val="00E9115F"/>
    <w:rsid w:val="00E95ACD"/>
    <w:rsid w:val="00EA1CBE"/>
    <w:rsid w:val="00EA4EC1"/>
    <w:rsid w:val="00EB7D83"/>
    <w:rsid w:val="00EC1FB7"/>
    <w:rsid w:val="00EC41A9"/>
    <w:rsid w:val="00ED207A"/>
    <w:rsid w:val="00ED274D"/>
    <w:rsid w:val="00ED49AD"/>
    <w:rsid w:val="00EE3015"/>
    <w:rsid w:val="00EE3D4C"/>
    <w:rsid w:val="00EF02CC"/>
    <w:rsid w:val="00EF3714"/>
    <w:rsid w:val="00EF6B42"/>
    <w:rsid w:val="00F010D9"/>
    <w:rsid w:val="00F05820"/>
    <w:rsid w:val="00F14BD9"/>
    <w:rsid w:val="00F22CBF"/>
    <w:rsid w:val="00F33F8E"/>
    <w:rsid w:val="00F3568A"/>
    <w:rsid w:val="00F42329"/>
    <w:rsid w:val="00F428B9"/>
    <w:rsid w:val="00F46B4D"/>
    <w:rsid w:val="00F530C7"/>
    <w:rsid w:val="00F5345A"/>
    <w:rsid w:val="00F56D5E"/>
    <w:rsid w:val="00F62F46"/>
    <w:rsid w:val="00F67361"/>
    <w:rsid w:val="00F71BBB"/>
    <w:rsid w:val="00F83195"/>
    <w:rsid w:val="00F87280"/>
    <w:rsid w:val="00F87996"/>
    <w:rsid w:val="00F87AC2"/>
    <w:rsid w:val="00F9378F"/>
    <w:rsid w:val="00F95427"/>
    <w:rsid w:val="00F95AAC"/>
    <w:rsid w:val="00F97364"/>
    <w:rsid w:val="00FA2F20"/>
    <w:rsid w:val="00FB4524"/>
    <w:rsid w:val="00FC117C"/>
    <w:rsid w:val="00FC328C"/>
    <w:rsid w:val="00FC56D4"/>
    <w:rsid w:val="00FC7123"/>
    <w:rsid w:val="00FD1DAA"/>
    <w:rsid w:val="00FD22BA"/>
    <w:rsid w:val="00FD49A1"/>
    <w:rsid w:val="00FD588B"/>
    <w:rsid w:val="00FE1A1F"/>
    <w:rsid w:val="00FE575F"/>
    <w:rsid w:val="00FF5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D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2933"/>
    <w:pPr>
      <w:spacing w:after="200" w:line="276" w:lineRule="auto"/>
    </w:pPr>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617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177B"/>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76177B"/>
    <w:rPr>
      <w:vertAlign w:val="superscript"/>
    </w:rPr>
  </w:style>
  <w:style w:type="character" w:styleId="Verwijzingopmerking">
    <w:name w:val="annotation reference"/>
    <w:basedOn w:val="Standaardalinea-lettertype"/>
    <w:uiPriority w:val="99"/>
    <w:semiHidden/>
    <w:unhideWhenUsed/>
    <w:rsid w:val="008B036F"/>
    <w:rPr>
      <w:sz w:val="16"/>
      <w:szCs w:val="16"/>
    </w:rPr>
  </w:style>
  <w:style w:type="paragraph" w:styleId="Tekstopmerking">
    <w:name w:val="annotation text"/>
    <w:basedOn w:val="Standaard"/>
    <w:link w:val="TekstopmerkingChar"/>
    <w:uiPriority w:val="99"/>
    <w:unhideWhenUsed/>
    <w:rsid w:val="008B036F"/>
    <w:pPr>
      <w:spacing w:line="240" w:lineRule="auto"/>
    </w:pPr>
    <w:rPr>
      <w:sz w:val="20"/>
      <w:szCs w:val="20"/>
    </w:rPr>
  </w:style>
  <w:style w:type="character" w:customStyle="1" w:styleId="TekstopmerkingChar">
    <w:name w:val="Tekst opmerking Char"/>
    <w:basedOn w:val="Standaardalinea-lettertype"/>
    <w:link w:val="Tekstopmerking"/>
    <w:uiPriority w:val="99"/>
    <w:rsid w:val="008B036F"/>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B036F"/>
    <w:rPr>
      <w:b/>
      <w:bCs/>
    </w:rPr>
  </w:style>
  <w:style w:type="character" w:customStyle="1" w:styleId="OnderwerpvanopmerkingChar">
    <w:name w:val="Onderwerp van opmerking Char"/>
    <w:basedOn w:val="TekstopmerkingChar"/>
    <w:link w:val="Onderwerpvanopmerking"/>
    <w:uiPriority w:val="99"/>
    <w:semiHidden/>
    <w:rsid w:val="008B036F"/>
    <w:rPr>
      <w:rFonts w:asciiTheme="minorHAnsi" w:hAnsiTheme="minorHAnsi"/>
      <w:b/>
      <w:bCs/>
      <w:sz w:val="20"/>
      <w:szCs w:val="20"/>
      <w:lang w:val="nl-NL"/>
    </w:rPr>
  </w:style>
  <w:style w:type="paragraph" w:styleId="Ballontekst">
    <w:name w:val="Balloon Text"/>
    <w:basedOn w:val="Standaard"/>
    <w:link w:val="BallontekstChar"/>
    <w:uiPriority w:val="99"/>
    <w:semiHidden/>
    <w:unhideWhenUsed/>
    <w:rsid w:val="008B036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036F"/>
    <w:rPr>
      <w:rFonts w:ascii="Segoe UI" w:hAnsi="Segoe UI" w:cs="Segoe UI"/>
      <w:szCs w:val="18"/>
      <w:lang w:val="nl-NL"/>
    </w:rPr>
  </w:style>
  <w:style w:type="character" w:styleId="Hyperlink">
    <w:name w:val="Hyperlink"/>
    <w:basedOn w:val="Standaardalinea-lettertype"/>
    <w:uiPriority w:val="99"/>
    <w:unhideWhenUsed/>
    <w:rsid w:val="00191765"/>
    <w:rPr>
      <w:color w:val="0000FF"/>
      <w:u w:val="single"/>
    </w:rPr>
  </w:style>
  <w:style w:type="paragraph" w:styleId="Revisie">
    <w:name w:val="Revision"/>
    <w:hidden/>
    <w:uiPriority w:val="99"/>
    <w:semiHidden/>
    <w:rsid w:val="00A162E7"/>
    <w:pPr>
      <w:spacing w:after="0" w:line="240" w:lineRule="auto"/>
    </w:pPr>
    <w:rPr>
      <w:rFonts w:asciiTheme="minorHAnsi" w:hAnsiTheme="minorHAnsi"/>
      <w:sz w:val="22"/>
      <w:lang w:val="nl-NL"/>
    </w:rPr>
  </w:style>
  <w:style w:type="paragraph" w:styleId="Lijstalinea">
    <w:name w:val="List Paragraph"/>
    <w:basedOn w:val="Standaard"/>
    <w:uiPriority w:val="34"/>
    <w:qFormat/>
    <w:rsid w:val="00B72D89"/>
    <w:pPr>
      <w:ind w:left="720"/>
      <w:contextualSpacing/>
    </w:pPr>
  </w:style>
  <w:style w:type="paragraph" w:styleId="Koptekst">
    <w:name w:val="header"/>
    <w:basedOn w:val="Standaard"/>
    <w:link w:val="KoptekstChar"/>
    <w:uiPriority w:val="99"/>
    <w:unhideWhenUsed/>
    <w:rsid w:val="001046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46D1"/>
    <w:rPr>
      <w:rFonts w:asciiTheme="minorHAnsi" w:hAnsiTheme="minorHAnsi"/>
      <w:sz w:val="22"/>
      <w:lang w:val="nl-NL"/>
    </w:rPr>
  </w:style>
  <w:style w:type="paragraph" w:styleId="Voettekst">
    <w:name w:val="footer"/>
    <w:basedOn w:val="Standaard"/>
    <w:link w:val="VoettekstChar"/>
    <w:uiPriority w:val="99"/>
    <w:unhideWhenUsed/>
    <w:rsid w:val="001046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46D1"/>
    <w:rPr>
      <w:rFonts w:asciiTheme="minorHAnsi" w:hAnsiTheme="minorHAnsi"/>
      <w:sz w:val="22"/>
      <w:lang w:val="nl-NL"/>
    </w:rPr>
  </w:style>
  <w:style w:type="character" w:styleId="Onopgelostemelding">
    <w:name w:val="Unresolved Mention"/>
    <w:basedOn w:val="Standaardalinea-lettertype"/>
    <w:uiPriority w:val="99"/>
    <w:semiHidden/>
    <w:unhideWhenUsed/>
    <w:rsid w:val="005B0E19"/>
    <w:rPr>
      <w:color w:val="605E5C"/>
      <w:shd w:val="clear" w:color="auto" w:fill="E1DFDD"/>
    </w:rPr>
  </w:style>
  <w:style w:type="paragraph" w:styleId="Geenafstand">
    <w:name w:val="No Spacing"/>
    <w:uiPriority w:val="1"/>
    <w:qFormat/>
    <w:rsid w:val="007144DC"/>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hogeraad.nl/actueel/publicaties/rapporten-orienterende-onderzoeken-aangiften-bewindsperson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10120</ap:Words>
  <ap:Characters>55666</ap:Characters>
  <ap:DocSecurity>0</ap:DocSecurity>
  <ap:Lines>463</ap:Lines>
  <ap:Paragraphs>131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2024-07-02T09:49:00.0000000Z</lastPrinted>
  <dcterms:created xsi:type="dcterms:W3CDTF">2024-11-13T12:17:00.0000000Z</dcterms:created>
  <dcterms:modified xsi:type="dcterms:W3CDTF">2024-11-13T12:17:00.0000000Z</dcterms:modified>
  <version/>
  <category/>
</coreProperties>
</file>