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svg="http://schemas.microsoft.com/office/drawing/2016/SVG/main" xmlns:a16="http://schemas.microsoft.com/office/drawing/2014/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344AC" w:rsidR="006344AC" w:rsidP="006344AC" w:rsidRDefault="00084736" w14:paraId="69DF827A" w14:textId="2AEDB3C6">
      <w:pPr>
        <w:ind w:left="1410" w:hanging="1410"/>
        <w:rPr>
          <w:rFonts w:cstheme="minorHAnsi"/>
        </w:rPr>
      </w:pPr>
      <w:r w:rsidRPr="006344AC">
        <w:rPr>
          <w:rFonts w:cstheme="minorHAnsi"/>
        </w:rPr>
        <w:t>22</w:t>
      </w:r>
      <w:r w:rsidRPr="006344AC" w:rsidR="006344AC">
        <w:rPr>
          <w:rFonts w:cstheme="minorHAnsi"/>
        </w:rPr>
        <w:t xml:space="preserve"> </w:t>
      </w:r>
      <w:r w:rsidRPr="006344AC">
        <w:rPr>
          <w:rFonts w:cstheme="minorHAnsi"/>
        </w:rPr>
        <w:t>112</w:t>
      </w:r>
      <w:r w:rsidRPr="006344AC" w:rsidR="006344AC">
        <w:rPr>
          <w:rFonts w:cstheme="minorHAnsi"/>
        </w:rPr>
        <w:tab/>
      </w:r>
      <w:r w:rsidRPr="006344AC" w:rsidR="006344AC">
        <w:rPr>
          <w:rFonts w:cstheme="minorHAnsi"/>
        </w:rPr>
        <w:tab/>
        <w:t>Nieuwe Commissievoorstellen en initiatieven van de lidstaten van de Europese Unie</w:t>
      </w:r>
    </w:p>
    <w:p w:rsidRPr="006344AC" w:rsidR="00084736" w:rsidP="006344AC" w:rsidRDefault="006344AC" w14:paraId="649943F2" w14:textId="00C717C0">
      <w:pPr>
        <w:rPr>
          <w:rFonts w:cstheme="minorHAnsi"/>
        </w:rPr>
      </w:pPr>
      <w:r w:rsidRPr="006344AC">
        <w:rPr>
          <w:rFonts w:cstheme="minorHAnsi"/>
        </w:rPr>
        <w:t xml:space="preserve">Nr. </w:t>
      </w:r>
      <w:r w:rsidRPr="006344AC" w:rsidR="00084736">
        <w:rPr>
          <w:rFonts w:cstheme="minorHAnsi"/>
        </w:rPr>
        <w:t>3975</w:t>
      </w:r>
      <w:r w:rsidRPr="006344AC">
        <w:rPr>
          <w:rFonts w:cstheme="minorHAnsi"/>
        </w:rPr>
        <w:tab/>
        <w:t>Brief van de minister van Economische Zaken</w:t>
      </w:r>
    </w:p>
    <w:p w:rsidRPr="006344AC" w:rsidR="006344AC" w:rsidP="006344AC" w:rsidRDefault="006344AC" w14:paraId="62AD83A3" w14:textId="25D38BAF">
      <w:pPr>
        <w:rPr>
          <w:rFonts w:cstheme="minorHAnsi"/>
        </w:rPr>
      </w:pPr>
      <w:r w:rsidRPr="006344AC">
        <w:rPr>
          <w:rFonts w:cstheme="minorHAnsi"/>
        </w:rPr>
        <w:t>Aan de Voorzitter van de Tweede Kamer der Staten-Generaal</w:t>
      </w:r>
    </w:p>
    <w:p w:rsidRPr="006344AC" w:rsidR="006344AC" w:rsidP="006344AC" w:rsidRDefault="006344AC" w14:paraId="5659F1E9" w14:textId="62CBCF1C">
      <w:pPr>
        <w:rPr>
          <w:rFonts w:cstheme="minorHAnsi"/>
        </w:rPr>
      </w:pPr>
      <w:r w:rsidRPr="006344AC">
        <w:rPr>
          <w:rFonts w:cstheme="minorHAnsi"/>
        </w:rPr>
        <w:t>Den Haag, 5 november 2024</w:t>
      </w:r>
    </w:p>
    <w:p w:rsidRPr="006344AC" w:rsidR="006344AC" w:rsidP="006344AC" w:rsidRDefault="006344AC" w14:paraId="7554C270" w14:textId="77777777">
      <w:pPr>
        <w:rPr>
          <w:rFonts w:cstheme="minorHAnsi"/>
        </w:rPr>
      </w:pPr>
    </w:p>
    <w:p w:rsidRPr="006344AC" w:rsidR="00084736" w:rsidP="00084736" w:rsidRDefault="00084736" w14:paraId="07BB206A" w14:textId="66D0878F">
      <w:pPr>
        <w:tabs>
          <w:tab w:val="left" w:pos="6075"/>
        </w:tabs>
        <w:rPr>
          <w:rFonts w:cstheme="minorHAnsi"/>
        </w:rPr>
      </w:pPr>
      <w:r w:rsidRPr="006344AC">
        <w:rPr>
          <w:rFonts w:cstheme="minorHAnsi"/>
        </w:rPr>
        <w:t>Ondernemers en burgers maken de Europese interne markt. Denk aan een technicus of zorgmedewerker die eenvoudig over de grens zijn diensten kan verlenen, of een fietshelm waarvoor Europese regels gelden en daardoor makkelijk binnen Europa verkocht en gekocht kan worden. Of aan het openen van een restaurant over de grens.</w:t>
      </w:r>
    </w:p>
    <w:p w:rsidRPr="006344AC" w:rsidR="00084736" w:rsidP="00084736" w:rsidRDefault="00084736" w14:paraId="30D73503" w14:textId="77777777">
      <w:pPr>
        <w:rPr>
          <w:rFonts w:cstheme="minorHAnsi"/>
        </w:rPr>
      </w:pPr>
    </w:p>
    <w:p w:rsidRPr="006344AC" w:rsidR="00084736" w:rsidP="00084736" w:rsidRDefault="00084736" w14:paraId="4B198EE5" w14:textId="77777777">
      <w:pPr>
        <w:rPr>
          <w:rFonts w:cstheme="minorHAnsi"/>
        </w:rPr>
      </w:pPr>
      <w:r w:rsidRPr="006344AC">
        <w:rPr>
          <w:rFonts w:cstheme="minorHAnsi"/>
        </w:rPr>
        <w:t xml:space="preserve">Dat de interne markt altijd en overal goed werkt, is helaas niet vanzelfsprekend. In de praktijk ervaren ondernemers, werknemers en burgers ongerechtvaardigde belemmeringen om in andere EU-landen te opereren. Kern van de interne markt moet zijn: een ruimte zonder binnengrenzen met vrij verkeer van goederen, diensten, personen en kapitaal. Het goed functioneren van de interne markt vergt doorlopend aandacht en is essentieel voor een aantrekkelijk ondernemersklimaat, economische groei en welvaart in Nederland en de Europese Unie (EU). </w:t>
      </w:r>
    </w:p>
    <w:p w:rsidRPr="006344AC" w:rsidR="00084736" w:rsidP="00084736" w:rsidRDefault="00084736" w14:paraId="2E8BB77A" w14:textId="77777777">
      <w:pPr>
        <w:rPr>
          <w:rFonts w:cstheme="minorHAnsi"/>
        </w:rPr>
      </w:pPr>
    </w:p>
    <w:p w:rsidRPr="006344AC" w:rsidR="00084736" w:rsidP="00084736" w:rsidRDefault="00084736" w14:paraId="410AA208" w14:textId="77777777">
      <w:pPr>
        <w:rPr>
          <w:rFonts w:cstheme="minorHAnsi"/>
        </w:rPr>
      </w:pPr>
      <w:r w:rsidRPr="006344AC">
        <w:rPr>
          <w:rFonts w:cstheme="minorHAnsi"/>
        </w:rPr>
        <w:t>Daarom zet het kabinet in op het wegnemen en voorkomen van ongerechtvaardigde belemmeringen en voor betere toepassing van huidige interne-marktregels. Zo kunnen ondernemers en burgers kansen pakken en ervaren ze zo min mogelijk regeldruk. Dit kabinet werkt hieraan via uitvoering van de huidige interne-marktactieagenda.</w:t>
      </w:r>
      <w:r w:rsidRPr="006344AC">
        <w:rPr>
          <w:rStyle w:val="Voetnootmarkering"/>
          <w:rFonts w:cstheme="minorHAnsi"/>
        </w:rPr>
        <w:footnoteReference w:id="1"/>
      </w:r>
      <w:r w:rsidRPr="006344AC">
        <w:rPr>
          <w:rFonts w:cstheme="minorHAnsi"/>
        </w:rPr>
        <w:t xml:space="preserve"> Hieronder geef ik een overzicht van de belangrijkste resultaten waar het kabinet zich het afgelopen jaar voor heeft ingezet. Deze zijn gegroepeerd langs de vier prioriteiten van de actieagenda: arbeidsmobiliteit, digitalisering, vergroening en randvoorwaarden versterking interne markt. Deze resultaten zien op acties binnen Nederland en op Europees niveau. </w:t>
      </w:r>
    </w:p>
    <w:p w:rsidRPr="006344AC" w:rsidR="00084736" w:rsidP="00084736" w:rsidRDefault="00084736" w14:paraId="4FF6D729" w14:textId="77777777">
      <w:pPr>
        <w:rPr>
          <w:rFonts w:cstheme="minorHAnsi"/>
        </w:rPr>
      </w:pPr>
    </w:p>
    <w:p w:rsidRPr="006344AC" w:rsidR="00084736" w:rsidP="00084736" w:rsidRDefault="00084736" w14:paraId="4BA919F5" w14:textId="77777777">
      <w:pPr>
        <w:rPr>
          <w:rFonts w:cstheme="minorHAnsi"/>
        </w:rPr>
      </w:pPr>
    </w:p>
    <w:p w:rsidRPr="006344AC" w:rsidR="00084736" w:rsidP="00084736" w:rsidRDefault="00084736" w14:paraId="3155B295" w14:textId="77777777">
      <w:pPr>
        <w:rPr>
          <w:rFonts w:cstheme="minorHAnsi"/>
        </w:rPr>
      </w:pPr>
    </w:p>
    <w:p w:rsidRPr="006344AC" w:rsidR="00084736" w:rsidP="00084736" w:rsidRDefault="00084736" w14:paraId="3FB0CB28" w14:textId="77777777">
      <w:pPr>
        <w:rPr>
          <w:rFonts w:cstheme="minorHAnsi"/>
        </w:rPr>
      </w:pPr>
    </w:p>
    <w:p w:rsidRPr="006344AC" w:rsidR="00084736" w:rsidP="00084736" w:rsidRDefault="00084736" w14:paraId="7C6E8CE0" w14:textId="77777777">
      <w:pPr>
        <w:rPr>
          <w:rFonts w:cstheme="minorHAnsi"/>
        </w:rPr>
      </w:pPr>
    </w:p>
    <w:tbl>
      <w:tblPr>
        <w:tblStyle w:val="Tabelraster"/>
        <w:tblW w:w="9209" w:type="dxa"/>
        <w:tblLook w:val="04A0" w:firstRow="1" w:lastRow="0" w:firstColumn="1" w:lastColumn="0" w:noHBand="0" w:noVBand="1"/>
      </w:tblPr>
      <w:tblGrid>
        <w:gridCol w:w="3964"/>
        <w:gridCol w:w="5245"/>
      </w:tblGrid>
      <w:tr w:rsidRPr="006344AC" w:rsidR="00084736" w:rsidTr="00D02550" w14:paraId="142F4BD0" w14:textId="77777777">
        <w:trPr>
          <w:trHeight w:val="513"/>
        </w:trPr>
        <w:tc>
          <w:tcPr>
            <w:tcW w:w="3964" w:type="dxa"/>
            <w:shd w:val="clear" w:color="auto" w:fill="000000" w:themeFill="text1"/>
            <w:vAlign w:val="center"/>
          </w:tcPr>
          <w:p w:rsidRPr="006344AC" w:rsidR="00084736" w:rsidP="00D02550" w:rsidRDefault="00084736" w14:paraId="381F7B4A" w14:textId="77777777">
            <w:pPr>
              <w:ind w:left="709"/>
              <w:rPr>
                <w:rFonts w:asciiTheme="minorHAnsi" w:hAnsiTheme="minorHAnsi" w:cstheme="minorHAnsi"/>
                <w:b/>
                <w:bCs/>
                <w:color w:val="FFFFFF" w:themeColor="background1"/>
                <w:sz w:val="22"/>
                <w:szCs w:val="22"/>
              </w:rPr>
            </w:pPr>
            <w:r w:rsidRPr="006344AC">
              <w:rPr>
                <w:rFonts w:asciiTheme="minorHAnsi" w:hAnsiTheme="minorHAnsi" w:cstheme="minorHAnsi"/>
                <w:b/>
                <w:bCs/>
                <w:noProof/>
                <w:color w:val="FFFFFF" w:themeColor="background1"/>
                <w:sz w:val="22"/>
                <w:szCs w:val="22"/>
              </w:rPr>
              <w:drawing>
                <wp:anchor distT="0" distB="0" distL="114300" distR="114300" simplePos="0" relativeHeight="251663360" behindDoc="0" locked="0" layoutInCell="1" allowOverlap="1" wp14:editId="244C4CF2" wp14:anchorId="25681076">
                  <wp:simplePos x="0" y="0"/>
                  <wp:positionH relativeFrom="column">
                    <wp:posOffset>83185</wp:posOffset>
                  </wp:positionH>
                  <wp:positionV relativeFrom="paragraph">
                    <wp:posOffset>-20320</wp:posOffset>
                  </wp:positionV>
                  <wp:extent cx="259080" cy="259080"/>
                  <wp:effectExtent l="0" t="0" r="7620" b="7620"/>
                  <wp:wrapNone/>
                  <wp:docPr id="393810420" name="Graphic 1" descr="Vinkj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810420" name="Graphic 393810420" descr="Vinkje met effen opvulling"/>
                          <pic:cNvPicPr/>
                        </pic:nvPicPr>
                        <pic:blipFill>
                          <a:blip r:embed="rId6">
                            <a:extLst>
                              <a:ext uri="{96DAC541-7B7A-43D3-8B79-37D633B846F1}">
                                <asvg:svgBlip xmlns:asvg="http://schemas.microsoft.com/office/drawing/2016/SVG/main" r:embed="rId7"/>
                              </a:ext>
                            </a:extLst>
                          </a:blip>
                          <a:stretch>
                            <a:fillRect/>
                          </a:stretch>
                        </pic:blipFill>
                        <pic:spPr>
                          <a:xfrm>
                            <a:off x="0" y="0"/>
                            <a:ext cx="259080" cy="259080"/>
                          </a:xfrm>
                          <a:prstGeom prst="rect">
                            <a:avLst/>
                          </a:prstGeom>
                        </pic:spPr>
                      </pic:pic>
                    </a:graphicData>
                  </a:graphic>
                  <wp14:sizeRelH relativeFrom="margin">
                    <wp14:pctWidth>0</wp14:pctWidth>
                  </wp14:sizeRelH>
                  <wp14:sizeRelV relativeFrom="margin">
                    <wp14:pctHeight>0</wp14:pctHeight>
                  </wp14:sizeRelV>
                </wp:anchor>
              </w:drawing>
            </w:r>
            <w:r w:rsidRPr="006344AC">
              <w:rPr>
                <w:rFonts w:asciiTheme="minorHAnsi" w:hAnsiTheme="minorHAnsi" w:cstheme="minorHAnsi"/>
                <w:b/>
                <w:bCs/>
                <w:color w:val="FFFFFF" w:themeColor="background1"/>
                <w:sz w:val="22"/>
                <w:szCs w:val="22"/>
              </w:rPr>
              <w:t>Resultaat</w:t>
            </w:r>
          </w:p>
        </w:tc>
        <w:tc>
          <w:tcPr>
            <w:tcW w:w="5245" w:type="dxa"/>
            <w:shd w:val="clear" w:color="auto" w:fill="000000" w:themeFill="text1"/>
            <w:vAlign w:val="center"/>
          </w:tcPr>
          <w:p w:rsidRPr="006344AC" w:rsidR="00084736" w:rsidP="00D02550" w:rsidRDefault="00084736" w14:paraId="2AC9A0EC" w14:textId="77777777">
            <w:pPr>
              <w:ind w:left="709"/>
              <w:rPr>
                <w:rFonts w:asciiTheme="minorHAnsi" w:hAnsiTheme="minorHAnsi" w:cstheme="minorHAnsi"/>
                <w:b/>
                <w:bCs/>
                <w:color w:val="FFFFFF" w:themeColor="background1"/>
                <w:sz w:val="22"/>
                <w:szCs w:val="22"/>
              </w:rPr>
            </w:pPr>
            <w:r w:rsidRPr="006344AC">
              <w:rPr>
                <w:rFonts w:asciiTheme="minorHAnsi" w:hAnsiTheme="minorHAnsi" w:cstheme="minorHAnsi"/>
                <w:noProof/>
                <w:sz w:val="22"/>
                <w:szCs w:val="22"/>
              </w:rPr>
              <w:drawing>
                <wp:anchor distT="0" distB="0" distL="114300" distR="114300" simplePos="0" relativeHeight="251664384" behindDoc="0" locked="0" layoutInCell="1" allowOverlap="1" wp14:editId="4A1FE327" wp14:anchorId="1E309DBB">
                  <wp:simplePos x="0" y="0"/>
                  <wp:positionH relativeFrom="column">
                    <wp:posOffset>111125</wp:posOffset>
                  </wp:positionH>
                  <wp:positionV relativeFrom="page">
                    <wp:posOffset>-10795</wp:posOffset>
                  </wp:positionV>
                  <wp:extent cx="293370" cy="293370"/>
                  <wp:effectExtent l="0" t="0" r="0" b="0"/>
                  <wp:wrapNone/>
                  <wp:docPr id="1524608858" name="Graphic 4" descr="Mannelijke bouwvakker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608858" name="Graphic 1524608858" descr="Mannelijke bouwvakker met effen opvulling"/>
                          <pic:cNvPicPr/>
                        </pic:nvPicPr>
                        <pic:blipFill>
                          <a:blip r:embed="rId8">
                            <a:extLst>
                              <a:ext uri="{96DAC541-7B7A-43D3-8B79-37D633B846F1}">
                                <asvg:svgBlip xmlns:asvg="http://schemas.microsoft.com/office/drawing/2016/SVG/main" r:embed="rId9"/>
                              </a:ext>
                            </a:extLst>
                          </a:blip>
                          <a:stretch>
                            <a:fillRect/>
                          </a:stretch>
                        </pic:blipFill>
                        <pic:spPr>
                          <a:xfrm>
                            <a:off x="0" y="0"/>
                            <a:ext cx="293370" cy="293370"/>
                          </a:xfrm>
                          <a:prstGeom prst="rect">
                            <a:avLst/>
                          </a:prstGeom>
                        </pic:spPr>
                      </pic:pic>
                    </a:graphicData>
                  </a:graphic>
                  <wp14:sizeRelH relativeFrom="margin">
                    <wp14:pctWidth>0</wp14:pctWidth>
                  </wp14:sizeRelH>
                  <wp14:sizeRelV relativeFrom="margin">
                    <wp14:pctHeight>0</wp14:pctHeight>
                  </wp14:sizeRelV>
                </wp:anchor>
              </w:drawing>
            </w:r>
            <w:r w:rsidRPr="006344AC">
              <w:rPr>
                <w:rFonts w:asciiTheme="minorHAnsi" w:hAnsiTheme="minorHAnsi" w:cstheme="minorHAnsi"/>
                <w:b/>
                <w:bCs/>
                <w:color w:val="FFFFFF" w:themeColor="background1"/>
                <w:sz w:val="22"/>
                <w:szCs w:val="22"/>
              </w:rPr>
              <w:t>Gevolgen in de praktijk</w:t>
            </w:r>
          </w:p>
        </w:tc>
      </w:tr>
      <w:tr w:rsidRPr="006344AC" w:rsidR="00084736" w:rsidTr="00D02550" w14:paraId="3725E575" w14:textId="77777777">
        <w:trPr>
          <w:trHeight w:val="563"/>
        </w:trPr>
        <w:tc>
          <w:tcPr>
            <w:tcW w:w="9209" w:type="dxa"/>
            <w:gridSpan w:val="2"/>
            <w:shd w:val="clear" w:color="auto" w:fill="BFBFBF" w:themeFill="background1" w:themeFillShade="BF"/>
            <w:vAlign w:val="center"/>
          </w:tcPr>
          <w:p w:rsidRPr="006344AC" w:rsidR="00084736" w:rsidP="00D02550" w:rsidRDefault="00084736" w14:paraId="757C2860" w14:textId="77777777">
            <w:pPr>
              <w:pStyle w:val="Lijstalinea"/>
              <w:rPr>
                <w:rFonts w:asciiTheme="minorHAnsi" w:hAnsiTheme="minorHAnsi" w:cstheme="minorHAnsi"/>
                <w:b/>
                <w:bCs/>
                <w:i/>
                <w:iCs/>
                <w:sz w:val="22"/>
                <w:szCs w:val="22"/>
              </w:rPr>
            </w:pPr>
            <w:r w:rsidRPr="006344AC">
              <w:rPr>
                <w:rFonts w:asciiTheme="minorHAnsi" w:hAnsiTheme="minorHAnsi" w:cstheme="minorHAnsi"/>
                <w:b/>
                <w:bCs/>
                <w:noProof/>
                <w:sz w:val="22"/>
                <w:szCs w:val="22"/>
              </w:rPr>
              <w:drawing>
                <wp:anchor distT="0" distB="0" distL="114300" distR="114300" simplePos="0" relativeHeight="251659264" behindDoc="0" locked="0" layoutInCell="1" allowOverlap="1" wp14:editId="52D57889" wp14:anchorId="445A2F4D">
                  <wp:simplePos x="0" y="0"/>
                  <wp:positionH relativeFrom="column">
                    <wp:posOffset>7620</wp:posOffset>
                  </wp:positionH>
                  <wp:positionV relativeFrom="paragraph">
                    <wp:posOffset>0</wp:posOffset>
                  </wp:positionV>
                  <wp:extent cx="370840" cy="370840"/>
                  <wp:effectExtent l="0" t="0" r="0" b="0"/>
                  <wp:wrapNone/>
                  <wp:docPr id="17" name="Graphic 16" descr="Cirkel met mensen met effen opvulling">
                    <a:extLst xmlns:a="http://schemas.openxmlformats.org/drawingml/2006/main">
                      <a:ext uri="{FF2B5EF4-FFF2-40B4-BE49-F238E27FC236}">
                        <a16:creationId xmlns:a16="http://schemas.microsoft.com/office/drawing/2014/main" id="{F56BCBFC-6C2E-C258-EAEF-26E51B2FAE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6" descr="Cirkel met mensen met effen opvulling">
                            <a:extLst>
                              <a:ext uri="{FF2B5EF4-FFF2-40B4-BE49-F238E27FC236}">
                                <a16:creationId xmlns:a16="http://schemas.microsoft.com/office/drawing/2014/main" id="{F56BCBFC-6C2E-C258-EAEF-26E51B2FAEA1}"/>
                              </a:ext>
                            </a:extLst>
                          </pic:cNvPr>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70840" cy="370840"/>
                          </a:xfrm>
                          <a:prstGeom prst="rect">
                            <a:avLst/>
                          </a:prstGeom>
                        </pic:spPr>
                      </pic:pic>
                    </a:graphicData>
                  </a:graphic>
                  <wp14:sizeRelH relativeFrom="margin">
                    <wp14:pctWidth>0</wp14:pctWidth>
                  </wp14:sizeRelH>
                  <wp14:sizeRelV relativeFrom="margin">
                    <wp14:pctHeight>0</wp14:pctHeight>
                  </wp14:sizeRelV>
                </wp:anchor>
              </w:drawing>
            </w:r>
            <w:r w:rsidRPr="006344AC">
              <w:rPr>
                <w:rFonts w:asciiTheme="minorHAnsi" w:hAnsiTheme="minorHAnsi" w:cstheme="minorHAnsi"/>
                <w:b/>
                <w:bCs/>
                <w:i/>
                <w:iCs/>
                <w:sz w:val="22"/>
                <w:szCs w:val="22"/>
              </w:rPr>
              <w:t>Arbeidsmobiliteit</w:t>
            </w:r>
          </w:p>
        </w:tc>
      </w:tr>
      <w:tr w:rsidRPr="006344AC" w:rsidR="00084736" w:rsidTr="00D02550" w14:paraId="69BBAC89" w14:textId="77777777">
        <w:tc>
          <w:tcPr>
            <w:tcW w:w="3964" w:type="dxa"/>
          </w:tcPr>
          <w:p w:rsidRPr="006344AC" w:rsidR="00084736" w:rsidP="00D02550" w:rsidRDefault="00084736" w14:paraId="43E099A3" w14:textId="77777777">
            <w:pPr>
              <w:rPr>
                <w:rFonts w:asciiTheme="minorHAnsi" w:hAnsiTheme="minorHAnsi" w:cstheme="minorHAnsi"/>
                <w:sz w:val="22"/>
                <w:szCs w:val="22"/>
                <w:lang w:val="nl-NL"/>
              </w:rPr>
            </w:pPr>
            <w:r w:rsidRPr="006344AC">
              <w:rPr>
                <w:rFonts w:eastAsia="Calibri" w:asciiTheme="minorHAnsi" w:hAnsiTheme="minorHAnsi" w:cstheme="minorHAnsi"/>
                <w:sz w:val="22"/>
                <w:szCs w:val="22"/>
                <w:lang w:val="nl-NL"/>
              </w:rPr>
              <w:t xml:space="preserve">Evaluatie van de toepassing van de meldplicht in Nederland gestart waarin het kabinet onderzoekt of twee maatregelen uit Duitsland en Spanje (respectievelijk risicogebaseerde aanpak en korte-termijnvrijstelling) in Nederland kunnen worden toegepast zonder afbreuk te doen aan de bescherming van werkenden </w:t>
            </w:r>
          </w:p>
        </w:tc>
        <w:tc>
          <w:tcPr>
            <w:tcW w:w="5245" w:type="dxa"/>
          </w:tcPr>
          <w:p w:rsidRPr="006344AC" w:rsidR="00084736" w:rsidP="00D02550" w:rsidRDefault="00084736" w14:paraId="1A72DDC8" w14:textId="77777777">
            <w:pPr>
              <w:rPr>
                <w:rFonts w:asciiTheme="minorHAnsi" w:hAnsiTheme="minorHAnsi" w:cstheme="minorHAnsi"/>
                <w:sz w:val="22"/>
                <w:szCs w:val="22"/>
                <w:lang w:val="nl-NL"/>
              </w:rPr>
            </w:pPr>
            <w:r w:rsidRPr="006344AC">
              <w:rPr>
                <w:rFonts w:asciiTheme="minorHAnsi" w:hAnsiTheme="minorHAnsi" w:cstheme="minorHAnsi"/>
                <w:sz w:val="22"/>
                <w:szCs w:val="22"/>
                <w:lang w:val="nl-NL"/>
              </w:rPr>
              <w:t xml:space="preserve">Minder regeldruk voor EU-ondernemers die binnen NL detacheren, omdat: </w:t>
            </w:r>
          </w:p>
          <w:p w:rsidRPr="006344AC" w:rsidR="00084736" w:rsidP="00D02550" w:rsidRDefault="00084736" w14:paraId="43B2F3C9" w14:textId="77777777">
            <w:pPr>
              <w:rPr>
                <w:rFonts w:asciiTheme="minorHAnsi" w:hAnsiTheme="minorHAnsi" w:cstheme="minorHAnsi"/>
                <w:sz w:val="22"/>
                <w:szCs w:val="22"/>
                <w:lang w:val="nl-NL"/>
              </w:rPr>
            </w:pPr>
            <w:r w:rsidRPr="006344AC">
              <w:rPr>
                <w:rFonts w:asciiTheme="minorHAnsi" w:hAnsiTheme="minorHAnsi" w:cstheme="minorHAnsi"/>
                <w:sz w:val="22"/>
                <w:szCs w:val="22"/>
                <w:lang w:val="nl-NL"/>
              </w:rPr>
              <w:t>- voor sommige sectoren mogelijk een lichter regime kan gelden, zoals in Duitsland;</w:t>
            </w:r>
          </w:p>
          <w:p w:rsidRPr="006344AC" w:rsidR="00084736" w:rsidP="00D02550" w:rsidRDefault="00084736" w14:paraId="433F2D5A" w14:textId="77777777">
            <w:pPr>
              <w:rPr>
                <w:rFonts w:asciiTheme="minorHAnsi" w:hAnsiTheme="minorHAnsi" w:cstheme="minorHAnsi"/>
                <w:sz w:val="22"/>
                <w:szCs w:val="22"/>
                <w:lang w:val="nl-NL"/>
              </w:rPr>
            </w:pPr>
            <w:r w:rsidRPr="006344AC">
              <w:rPr>
                <w:rFonts w:asciiTheme="minorHAnsi" w:hAnsiTheme="minorHAnsi" w:cstheme="minorHAnsi"/>
                <w:sz w:val="22"/>
                <w:szCs w:val="22"/>
                <w:lang w:val="nl-NL"/>
              </w:rPr>
              <w:t>- ondernemers bij een eventuele een korte-termijn-vrijstelling detachering voor een korte termijn niet hoeven te melden</w:t>
            </w:r>
          </w:p>
        </w:tc>
      </w:tr>
      <w:tr w:rsidRPr="006344AC" w:rsidR="00084736" w:rsidTr="00D02550" w14:paraId="5D299E94" w14:textId="77777777">
        <w:tc>
          <w:tcPr>
            <w:tcW w:w="3964" w:type="dxa"/>
          </w:tcPr>
          <w:p w:rsidRPr="006344AC" w:rsidR="00084736" w:rsidP="00D02550" w:rsidRDefault="00084736" w14:paraId="5FD6F19D" w14:textId="77777777">
            <w:pPr>
              <w:rPr>
                <w:rFonts w:asciiTheme="minorHAnsi" w:hAnsiTheme="minorHAnsi" w:cstheme="minorHAnsi"/>
                <w:sz w:val="22"/>
                <w:szCs w:val="22"/>
                <w:lang w:val="nl-NL"/>
              </w:rPr>
            </w:pPr>
            <w:r w:rsidRPr="006344AC">
              <w:rPr>
                <w:rFonts w:asciiTheme="minorHAnsi" w:hAnsiTheme="minorHAnsi" w:cstheme="minorHAnsi"/>
                <w:sz w:val="22"/>
                <w:szCs w:val="22"/>
                <w:lang w:val="nl-NL"/>
              </w:rPr>
              <w:t>Mogelijke verbetering gestart erkenning beroepskwalificaties fysiotherapeuten door meer gelijke opleidingseisen binnen Europa</w:t>
            </w:r>
          </w:p>
          <w:p w:rsidRPr="006344AC" w:rsidR="00084736" w:rsidP="00D02550" w:rsidRDefault="00084736" w14:paraId="53FFF8D0" w14:textId="77777777">
            <w:pPr>
              <w:rPr>
                <w:rFonts w:asciiTheme="minorHAnsi" w:hAnsiTheme="minorHAnsi" w:cstheme="minorHAnsi"/>
                <w:sz w:val="22"/>
                <w:szCs w:val="22"/>
                <w:lang w:val="nl-NL"/>
              </w:rPr>
            </w:pPr>
          </w:p>
        </w:tc>
        <w:tc>
          <w:tcPr>
            <w:tcW w:w="5245" w:type="dxa"/>
          </w:tcPr>
          <w:p w:rsidRPr="006344AC" w:rsidR="00084736" w:rsidP="00D02550" w:rsidRDefault="00084736" w14:paraId="1DF9292B" w14:textId="77777777">
            <w:pPr>
              <w:rPr>
                <w:rFonts w:asciiTheme="minorHAnsi" w:hAnsiTheme="minorHAnsi" w:cstheme="minorHAnsi"/>
                <w:sz w:val="22"/>
                <w:szCs w:val="22"/>
                <w:lang w:val="nl-NL"/>
              </w:rPr>
            </w:pPr>
            <w:r w:rsidRPr="006344AC">
              <w:rPr>
                <w:rFonts w:asciiTheme="minorHAnsi" w:hAnsiTheme="minorHAnsi" w:cstheme="minorHAnsi"/>
                <w:sz w:val="22"/>
                <w:szCs w:val="22"/>
                <w:lang w:val="nl-NL"/>
              </w:rPr>
              <w:t>Fysiotherapeuten kunnen makkelijker in ander EU-land aan de slag</w:t>
            </w:r>
          </w:p>
          <w:p w:rsidRPr="006344AC" w:rsidR="00084736" w:rsidP="00D02550" w:rsidRDefault="00084736" w14:paraId="7AAD15C8" w14:textId="77777777">
            <w:pPr>
              <w:rPr>
                <w:rFonts w:asciiTheme="minorHAnsi" w:hAnsiTheme="minorHAnsi" w:cstheme="minorHAnsi"/>
                <w:sz w:val="22"/>
                <w:szCs w:val="22"/>
                <w:lang w:val="nl-NL"/>
              </w:rPr>
            </w:pPr>
          </w:p>
        </w:tc>
      </w:tr>
      <w:tr w:rsidRPr="006344AC" w:rsidR="00084736" w:rsidTr="00D02550" w14:paraId="6C939575" w14:textId="77777777">
        <w:trPr>
          <w:trHeight w:val="501"/>
        </w:trPr>
        <w:tc>
          <w:tcPr>
            <w:tcW w:w="9209" w:type="dxa"/>
            <w:gridSpan w:val="2"/>
            <w:shd w:val="clear" w:color="auto" w:fill="BFBFBF" w:themeFill="background1" w:themeFillShade="BF"/>
            <w:vAlign w:val="center"/>
          </w:tcPr>
          <w:p w:rsidRPr="006344AC" w:rsidR="00084736" w:rsidP="00D02550" w:rsidRDefault="00084736" w14:paraId="20B57699" w14:textId="77777777">
            <w:pPr>
              <w:pStyle w:val="Lijstalinea"/>
              <w:rPr>
                <w:rFonts w:asciiTheme="minorHAnsi" w:hAnsiTheme="minorHAnsi" w:cstheme="minorHAnsi"/>
                <w:b/>
                <w:bCs/>
                <w:i/>
                <w:iCs/>
                <w:sz w:val="22"/>
                <w:szCs w:val="22"/>
              </w:rPr>
            </w:pPr>
            <w:r w:rsidRPr="006344AC">
              <w:rPr>
                <w:rFonts w:asciiTheme="minorHAnsi" w:hAnsiTheme="minorHAnsi" w:cstheme="minorHAnsi"/>
                <w:noProof/>
                <w:sz w:val="22"/>
                <w:szCs w:val="22"/>
              </w:rPr>
              <w:drawing>
                <wp:anchor distT="0" distB="0" distL="114300" distR="114300" simplePos="0" relativeHeight="251661312" behindDoc="0" locked="0" layoutInCell="1" allowOverlap="1" wp14:editId="15A9E9AD" wp14:anchorId="627DF842">
                  <wp:simplePos x="0" y="0"/>
                  <wp:positionH relativeFrom="column">
                    <wp:posOffset>71120</wp:posOffset>
                  </wp:positionH>
                  <wp:positionV relativeFrom="paragraph">
                    <wp:posOffset>-8890</wp:posOffset>
                  </wp:positionV>
                  <wp:extent cx="310515" cy="310515"/>
                  <wp:effectExtent l="0" t="0" r="0" b="0"/>
                  <wp:wrapNone/>
                  <wp:docPr id="1354049053" name="Graphic 17" descr="Cloud Computing met effen opvulling">
                    <a:extLst xmlns:a="http://schemas.openxmlformats.org/drawingml/2006/main">
                      <a:ext uri="{FF2B5EF4-FFF2-40B4-BE49-F238E27FC236}">
                        <a16:creationId xmlns:a16="http://schemas.microsoft.com/office/drawing/2014/main" id="{1C8BE7EE-0F52-A7A2-1C20-CCDCD6323A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7" descr="Cloud Computing met effen opvulling">
                            <a:extLst>
                              <a:ext uri="{FF2B5EF4-FFF2-40B4-BE49-F238E27FC236}">
                                <a16:creationId xmlns:a16="http://schemas.microsoft.com/office/drawing/2014/main" id="{1C8BE7EE-0F52-A7A2-1C20-CCDCD6323A45}"/>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10515" cy="310515"/>
                          </a:xfrm>
                          <a:prstGeom prst="rect">
                            <a:avLst/>
                          </a:prstGeom>
                        </pic:spPr>
                      </pic:pic>
                    </a:graphicData>
                  </a:graphic>
                  <wp14:sizeRelH relativeFrom="margin">
                    <wp14:pctWidth>0</wp14:pctWidth>
                  </wp14:sizeRelH>
                  <wp14:sizeRelV relativeFrom="margin">
                    <wp14:pctHeight>0</wp14:pctHeight>
                  </wp14:sizeRelV>
                </wp:anchor>
              </w:drawing>
            </w:r>
            <w:r w:rsidRPr="006344AC">
              <w:rPr>
                <w:rFonts w:asciiTheme="minorHAnsi" w:hAnsiTheme="minorHAnsi" w:cstheme="minorHAnsi"/>
                <w:b/>
                <w:bCs/>
                <w:i/>
                <w:iCs/>
                <w:sz w:val="22"/>
                <w:szCs w:val="22"/>
              </w:rPr>
              <w:t>Digitalisering</w:t>
            </w:r>
          </w:p>
        </w:tc>
      </w:tr>
      <w:tr w:rsidRPr="006344AC" w:rsidR="00084736" w:rsidTr="00D02550" w14:paraId="77D3FB76" w14:textId="77777777">
        <w:tc>
          <w:tcPr>
            <w:tcW w:w="3964" w:type="dxa"/>
          </w:tcPr>
          <w:p w:rsidRPr="006344AC" w:rsidR="00084736" w:rsidP="00D02550" w:rsidRDefault="00084736" w14:paraId="74D9AD73" w14:textId="77777777">
            <w:pPr>
              <w:rPr>
                <w:rFonts w:asciiTheme="minorHAnsi" w:hAnsiTheme="minorHAnsi" w:cstheme="minorHAnsi"/>
                <w:sz w:val="22"/>
                <w:szCs w:val="22"/>
                <w:lang w:val="nl-NL"/>
              </w:rPr>
            </w:pPr>
            <w:r w:rsidRPr="006344AC">
              <w:rPr>
                <w:rFonts w:asciiTheme="minorHAnsi" w:hAnsiTheme="minorHAnsi" w:cstheme="minorHAnsi"/>
                <w:sz w:val="22"/>
                <w:szCs w:val="22"/>
                <w:lang w:val="nl-NL"/>
              </w:rPr>
              <w:t>Akkoord bereikt over nieuwe Europese regels (eIDAS) die erkenning van hooggekwalificeerde digitale handtekeningen en een vlotte uitwisseling en erkenning van (authentieke) gegevens en het makkelijk inloggen over de grens waarborgen.</w:t>
            </w:r>
          </w:p>
        </w:tc>
        <w:tc>
          <w:tcPr>
            <w:tcW w:w="5245" w:type="dxa"/>
          </w:tcPr>
          <w:p w:rsidRPr="006344AC" w:rsidR="00084736" w:rsidP="00D02550" w:rsidRDefault="00084736" w14:paraId="5DE01008" w14:textId="77777777">
            <w:pPr>
              <w:rPr>
                <w:rFonts w:asciiTheme="minorHAnsi" w:hAnsiTheme="minorHAnsi" w:cstheme="minorHAnsi"/>
                <w:sz w:val="22"/>
                <w:szCs w:val="22"/>
                <w:lang w:val="nl-NL"/>
              </w:rPr>
            </w:pPr>
            <w:r w:rsidRPr="006344AC">
              <w:rPr>
                <w:rFonts w:asciiTheme="minorHAnsi" w:hAnsiTheme="minorHAnsi" w:cstheme="minorHAnsi"/>
                <w:sz w:val="22"/>
                <w:szCs w:val="22"/>
                <w:lang w:val="nl-NL"/>
              </w:rPr>
              <w:t xml:space="preserve">Ondernemers en burgers kunnen EU-breed makkelijker digitaal zaken doen en procedures doorlopen. Een goed werkende markt is cruciaal voor het bereiken van de doelen in de digitale transitie. </w:t>
            </w:r>
          </w:p>
        </w:tc>
      </w:tr>
      <w:tr w:rsidRPr="006344AC" w:rsidR="00084736" w:rsidTr="00D02550" w14:paraId="5F6B3677" w14:textId="77777777">
        <w:tc>
          <w:tcPr>
            <w:tcW w:w="3964" w:type="dxa"/>
          </w:tcPr>
          <w:p w:rsidRPr="006344AC" w:rsidR="00084736" w:rsidP="00D02550" w:rsidRDefault="00084736" w14:paraId="1A62E80A" w14:textId="77777777">
            <w:pPr>
              <w:rPr>
                <w:rFonts w:asciiTheme="minorHAnsi" w:hAnsiTheme="minorHAnsi" w:cstheme="minorHAnsi"/>
                <w:sz w:val="22"/>
                <w:szCs w:val="22"/>
                <w:lang w:val="nl-NL"/>
              </w:rPr>
            </w:pPr>
            <w:r w:rsidRPr="006344AC">
              <w:rPr>
                <w:rFonts w:asciiTheme="minorHAnsi" w:hAnsiTheme="minorHAnsi" w:cstheme="minorHAnsi"/>
                <w:sz w:val="22"/>
                <w:szCs w:val="22"/>
                <w:lang w:val="nl-NL"/>
              </w:rPr>
              <w:t>Productregels over o.a. ecodesign, AI, grondstoffen toekomstbestendig gemaakt</w:t>
            </w:r>
          </w:p>
        </w:tc>
        <w:tc>
          <w:tcPr>
            <w:tcW w:w="5245" w:type="dxa"/>
          </w:tcPr>
          <w:p w:rsidRPr="006344AC" w:rsidR="00084736" w:rsidP="00D02550" w:rsidRDefault="00084736" w14:paraId="5F6C7902" w14:textId="77777777">
            <w:pPr>
              <w:rPr>
                <w:rFonts w:asciiTheme="minorHAnsi" w:hAnsiTheme="minorHAnsi" w:cstheme="minorHAnsi"/>
                <w:sz w:val="22"/>
                <w:szCs w:val="22"/>
                <w:lang w:val="nl-NL"/>
              </w:rPr>
            </w:pPr>
            <w:r w:rsidRPr="006344AC">
              <w:rPr>
                <w:rFonts w:asciiTheme="minorHAnsi" w:hAnsiTheme="minorHAnsi" w:cstheme="minorHAnsi"/>
                <w:sz w:val="22"/>
                <w:szCs w:val="22"/>
                <w:lang w:val="nl-NL"/>
              </w:rPr>
              <w:t>De nieuwe regels sluiten aan bij digitale en groene ontwikkelingen en waarborgen zo beter de productveiligheid.</w:t>
            </w:r>
          </w:p>
        </w:tc>
      </w:tr>
      <w:tr w:rsidRPr="006344AC" w:rsidR="00084736" w:rsidTr="00D02550" w14:paraId="0555863B" w14:textId="77777777">
        <w:tc>
          <w:tcPr>
            <w:tcW w:w="3964" w:type="dxa"/>
          </w:tcPr>
          <w:p w:rsidRPr="006344AC" w:rsidR="00084736" w:rsidP="00D02550" w:rsidRDefault="00084736" w14:paraId="2F154CEC" w14:textId="77777777">
            <w:pPr>
              <w:rPr>
                <w:rFonts w:asciiTheme="minorHAnsi" w:hAnsiTheme="minorHAnsi" w:cstheme="minorHAnsi"/>
                <w:sz w:val="22"/>
                <w:szCs w:val="22"/>
              </w:rPr>
            </w:pPr>
            <w:r w:rsidRPr="006344AC">
              <w:rPr>
                <w:rFonts w:asciiTheme="minorHAnsi" w:hAnsiTheme="minorHAnsi" w:cstheme="minorHAnsi"/>
                <w:sz w:val="22"/>
                <w:szCs w:val="22"/>
              </w:rPr>
              <w:t>Meldwijzer productveiligheid ingesteld</w:t>
            </w:r>
          </w:p>
        </w:tc>
        <w:tc>
          <w:tcPr>
            <w:tcW w:w="5245" w:type="dxa"/>
          </w:tcPr>
          <w:p w:rsidRPr="006344AC" w:rsidR="00084736" w:rsidP="00D02550" w:rsidRDefault="00084736" w14:paraId="5F34BD78" w14:textId="77777777">
            <w:pPr>
              <w:rPr>
                <w:rFonts w:asciiTheme="minorHAnsi" w:hAnsiTheme="minorHAnsi" w:cstheme="minorHAnsi"/>
                <w:sz w:val="22"/>
                <w:szCs w:val="22"/>
              </w:rPr>
            </w:pPr>
            <w:r w:rsidRPr="006344AC">
              <w:rPr>
                <w:rFonts w:asciiTheme="minorHAnsi" w:hAnsiTheme="minorHAnsi" w:cstheme="minorHAnsi"/>
                <w:sz w:val="22"/>
                <w:szCs w:val="22"/>
                <w:lang w:val="nl-NL"/>
              </w:rPr>
              <w:t xml:space="preserve">Consumenten en bedrijven kunnen via de Meldwijzer makkelijker onveilige en non-conforme producten melden bij de juiste toezichthouder. </w:t>
            </w:r>
            <w:r w:rsidRPr="006344AC">
              <w:rPr>
                <w:rFonts w:asciiTheme="minorHAnsi" w:hAnsiTheme="minorHAnsi" w:cstheme="minorHAnsi"/>
                <w:sz w:val="22"/>
                <w:szCs w:val="22"/>
              </w:rPr>
              <w:t>De toezichthouder kan zo sneller en gerichter optreden.</w:t>
            </w:r>
          </w:p>
        </w:tc>
      </w:tr>
      <w:tr w:rsidRPr="006344AC" w:rsidR="00084736" w:rsidTr="00D02550" w14:paraId="70B8C9A7" w14:textId="77777777">
        <w:trPr>
          <w:trHeight w:val="499"/>
        </w:trPr>
        <w:tc>
          <w:tcPr>
            <w:tcW w:w="9209" w:type="dxa"/>
            <w:gridSpan w:val="2"/>
            <w:shd w:val="clear" w:color="auto" w:fill="BFBFBF" w:themeFill="background1" w:themeFillShade="BF"/>
            <w:vAlign w:val="center"/>
          </w:tcPr>
          <w:p w:rsidRPr="006344AC" w:rsidR="00084736" w:rsidP="00D02550" w:rsidRDefault="00084736" w14:paraId="3D0B2C8C" w14:textId="77777777">
            <w:pPr>
              <w:pStyle w:val="Lijstalinea"/>
              <w:rPr>
                <w:rFonts w:asciiTheme="minorHAnsi" w:hAnsiTheme="minorHAnsi" w:cstheme="minorHAnsi"/>
                <w:b/>
                <w:bCs/>
                <w:sz w:val="22"/>
                <w:szCs w:val="22"/>
              </w:rPr>
            </w:pPr>
            <w:r w:rsidRPr="006344AC">
              <w:rPr>
                <w:rFonts w:asciiTheme="minorHAnsi" w:hAnsiTheme="minorHAnsi" w:cstheme="minorHAnsi"/>
                <w:noProof/>
                <w:sz w:val="22"/>
                <w:szCs w:val="22"/>
              </w:rPr>
              <w:drawing>
                <wp:anchor distT="0" distB="0" distL="114300" distR="114300" simplePos="0" relativeHeight="251660288" behindDoc="0" locked="0" layoutInCell="1" allowOverlap="1" wp14:editId="7DDB57FE" wp14:anchorId="32764254">
                  <wp:simplePos x="0" y="0"/>
                  <wp:positionH relativeFrom="column">
                    <wp:posOffset>8890</wp:posOffset>
                  </wp:positionH>
                  <wp:positionV relativeFrom="paragraph">
                    <wp:posOffset>-38735</wp:posOffset>
                  </wp:positionV>
                  <wp:extent cx="370840" cy="370840"/>
                  <wp:effectExtent l="0" t="0" r="0" b="0"/>
                  <wp:wrapNone/>
                  <wp:docPr id="5" name="Graphic 4" descr="Hernieuwbare energie met effen opvulling">
                    <a:extLst xmlns:a="http://schemas.openxmlformats.org/drawingml/2006/main">
                      <a:ext uri="{FF2B5EF4-FFF2-40B4-BE49-F238E27FC236}">
                        <a16:creationId xmlns:a16="http://schemas.microsoft.com/office/drawing/2014/main" id="{A7B8A339-1ECE-86EA-494D-2DDB38C33F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descr="Hernieuwbare energie met effen opvulling">
                            <a:extLst>
                              <a:ext uri="{FF2B5EF4-FFF2-40B4-BE49-F238E27FC236}">
                                <a16:creationId xmlns:a16="http://schemas.microsoft.com/office/drawing/2014/main" id="{A7B8A339-1ECE-86EA-494D-2DDB38C33FD7}"/>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70840" cy="370840"/>
                          </a:xfrm>
                          <a:prstGeom prst="rect">
                            <a:avLst/>
                          </a:prstGeom>
                        </pic:spPr>
                      </pic:pic>
                    </a:graphicData>
                  </a:graphic>
                  <wp14:sizeRelH relativeFrom="margin">
                    <wp14:pctWidth>0</wp14:pctWidth>
                  </wp14:sizeRelH>
                  <wp14:sizeRelV relativeFrom="margin">
                    <wp14:pctHeight>0</wp14:pctHeight>
                  </wp14:sizeRelV>
                </wp:anchor>
              </w:drawing>
            </w:r>
            <w:r w:rsidRPr="006344AC">
              <w:rPr>
                <w:rFonts w:asciiTheme="minorHAnsi" w:hAnsiTheme="minorHAnsi" w:cstheme="minorHAnsi"/>
                <w:b/>
                <w:bCs/>
                <w:i/>
                <w:iCs/>
                <w:sz w:val="22"/>
                <w:szCs w:val="22"/>
              </w:rPr>
              <w:t>Vergroening</w:t>
            </w:r>
          </w:p>
        </w:tc>
      </w:tr>
      <w:tr w:rsidRPr="006344AC" w:rsidR="00084736" w:rsidTr="00D02550" w14:paraId="1E58B41D" w14:textId="77777777">
        <w:tc>
          <w:tcPr>
            <w:tcW w:w="3964" w:type="dxa"/>
          </w:tcPr>
          <w:p w:rsidRPr="006344AC" w:rsidR="00084736" w:rsidP="00D02550" w:rsidRDefault="00084736" w14:paraId="7C1D00DA" w14:textId="77777777">
            <w:pPr>
              <w:rPr>
                <w:rFonts w:asciiTheme="minorHAnsi" w:hAnsiTheme="minorHAnsi" w:cstheme="minorHAnsi"/>
                <w:sz w:val="22"/>
                <w:szCs w:val="22"/>
                <w:lang w:val="nl-NL"/>
              </w:rPr>
            </w:pPr>
            <w:r w:rsidRPr="006344AC">
              <w:rPr>
                <w:rFonts w:asciiTheme="minorHAnsi" w:hAnsiTheme="minorHAnsi" w:cstheme="minorHAnsi"/>
                <w:sz w:val="22"/>
                <w:szCs w:val="22"/>
                <w:lang w:val="nl-NL"/>
              </w:rPr>
              <w:t>Akkoord bereikt over nieuwe Europese regels (AFIR) met als doel voldoende laadpalen op regelmatige afstanden langs de hoofdwegen</w:t>
            </w:r>
          </w:p>
        </w:tc>
        <w:tc>
          <w:tcPr>
            <w:tcW w:w="5245" w:type="dxa"/>
          </w:tcPr>
          <w:p w:rsidRPr="006344AC" w:rsidR="00084736" w:rsidP="00D02550" w:rsidRDefault="00084736" w14:paraId="7FB6AEB1" w14:textId="77777777">
            <w:pPr>
              <w:rPr>
                <w:rFonts w:asciiTheme="minorHAnsi" w:hAnsiTheme="minorHAnsi" w:cstheme="minorHAnsi"/>
                <w:sz w:val="22"/>
                <w:szCs w:val="22"/>
                <w:lang w:val="nl-NL"/>
              </w:rPr>
            </w:pPr>
            <w:r w:rsidRPr="006344AC">
              <w:rPr>
                <w:rFonts w:asciiTheme="minorHAnsi" w:hAnsiTheme="minorHAnsi" w:cstheme="minorHAnsi"/>
                <w:sz w:val="22"/>
                <w:szCs w:val="22"/>
                <w:lang w:val="nl-NL"/>
              </w:rPr>
              <w:t>Soepel met een elektrische auto de EU doorkruisen wordt steeds beter mogelijk met voldoende laadpalen.</w:t>
            </w:r>
          </w:p>
        </w:tc>
      </w:tr>
      <w:tr w:rsidRPr="006344AC" w:rsidR="00084736" w:rsidTr="00D02550" w14:paraId="2864054D" w14:textId="77777777">
        <w:tc>
          <w:tcPr>
            <w:tcW w:w="3964" w:type="dxa"/>
          </w:tcPr>
          <w:p w:rsidRPr="006344AC" w:rsidR="00084736" w:rsidP="00D02550" w:rsidRDefault="00084736" w14:paraId="4C028118" w14:textId="77777777">
            <w:pPr>
              <w:rPr>
                <w:rFonts w:asciiTheme="minorHAnsi" w:hAnsiTheme="minorHAnsi" w:cstheme="minorHAnsi"/>
                <w:sz w:val="22"/>
                <w:szCs w:val="22"/>
                <w:lang w:val="nl-NL"/>
              </w:rPr>
            </w:pPr>
            <w:r w:rsidRPr="006344AC">
              <w:rPr>
                <w:rFonts w:asciiTheme="minorHAnsi" w:hAnsiTheme="minorHAnsi" w:cstheme="minorHAnsi"/>
                <w:sz w:val="22"/>
                <w:szCs w:val="22"/>
                <w:lang w:val="nl-NL"/>
              </w:rPr>
              <w:t>Openbare consultatie gestart over Europese regels die ervoor zorgen voor betrouwbare meetresultaten van laadpunten voor elektrisch rijden.</w:t>
            </w:r>
          </w:p>
        </w:tc>
        <w:tc>
          <w:tcPr>
            <w:tcW w:w="5245" w:type="dxa"/>
          </w:tcPr>
          <w:p w:rsidRPr="006344AC" w:rsidR="00084736" w:rsidP="00D02550" w:rsidRDefault="00084736" w14:paraId="171F5747" w14:textId="77777777">
            <w:pPr>
              <w:rPr>
                <w:rFonts w:asciiTheme="minorHAnsi" w:hAnsiTheme="minorHAnsi" w:cstheme="minorHAnsi"/>
                <w:sz w:val="22"/>
                <w:szCs w:val="22"/>
                <w:lang w:val="nl-NL"/>
              </w:rPr>
            </w:pPr>
            <w:r w:rsidRPr="006344AC">
              <w:rPr>
                <w:rFonts w:asciiTheme="minorHAnsi" w:hAnsiTheme="minorHAnsi" w:cstheme="minorHAnsi"/>
                <w:sz w:val="22"/>
                <w:szCs w:val="22"/>
                <w:lang w:val="nl-NL"/>
              </w:rPr>
              <w:t>Automobilisten betalen een eerlijke prijs voor het opladen van hun voertuigen en kunnen vertrouwen op de informatie.</w:t>
            </w:r>
          </w:p>
        </w:tc>
      </w:tr>
      <w:tr w:rsidRPr="006344AC" w:rsidR="00084736" w:rsidTr="00D02550" w14:paraId="5A82C647" w14:textId="77777777">
        <w:trPr>
          <w:trHeight w:val="513"/>
        </w:trPr>
        <w:tc>
          <w:tcPr>
            <w:tcW w:w="9209" w:type="dxa"/>
            <w:gridSpan w:val="2"/>
            <w:shd w:val="clear" w:color="auto" w:fill="BFBFBF" w:themeFill="background1" w:themeFillShade="BF"/>
            <w:vAlign w:val="center"/>
          </w:tcPr>
          <w:p w:rsidRPr="006344AC" w:rsidR="00084736" w:rsidP="00D02550" w:rsidRDefault="00084736" w14:paraId="202C31E4" w14:textId="77777777">
            <w:pPr>
              <w:pStyle w:val="Lijstalinea"/>
              <w:rPr>
                <w:rFonts w:asciiTheme="minorHAnsi" w:hAnsiTheme="minorHAnsi" w:cstheme="minorHAnsi"/>
                <w:b/>
                <w:bCs/>
                <w:i/>
                <w:iCs/>
                <w:sz w:val="22"/>
                <w:szCs w:val="22"/>
              </w:rPr>
            </w:pPr>
            <w:r w:rsidRPr="006344AC">
              <w:rPr>
                <w:rFonts w:asciiTheme="minorHAnsi" w:hAnsiTheme="minorHAnsi" w:cstheme="minorHAnsi"/>
                <w:i/>
                <w:iCs/>
                <w:noProof/>
                <w:sz w:val="22"/>
                <w:szCs w:val="22"/>
              </w:rPr>
              <w:drawing>
                <wp:anchor distT="0" distB="0" distL="114300" distR="114300" simplePos="0" relativeHeight="251662336" behindDoc="0" locked="0" layoutInCell="1" allowOverlap="1" wp14:editId="3C21E630" wp14:anchorId="62CBB66A">
                  <wp:simplePos x="0" y="0"/>
                  <wp:positionH relativeFrom="column">
                    <wp:posOffset>3175</wp:posOffset>
                  </wp:positionH>
                  <wp:positionV relativeFrom="paragraph">
                    <wp:posOffset>-24765</wp:posOffset>
                  </wp:positionV>
                  <wp:extent cx="372913" cy="372913"/>
                  <wp:effectExtent l="0" t="0" r="0" b="8255"/>
                  <wp:wrapNone/>
                  <wp:docPr id="9" name="Graphic 8" descr="Tandwielen met effen opvulling">
                    <a:extLst xmlns:a="http://schemas.openxmlformats.org/drawingml/2006/main">
                      <a:ext uri="{FF2B5EF4-FFF2-40B4-BE49-F238E27FC236}">
                        <a16:creationId xmlns:a16="http://schemas.microsoft.com/office/drawing/2014/main" id="{AF221F19-3DB5-4AAE-B2DB-35E4F6F05B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descr="Tandwielen met effen opvulling">
                            <a:extLst>
                              <a:ext uri="{FF2B5EF4-FFF2-40B4-BE49-F238E27FC236}">
                                <a16:creationId xmlns:a16="http://schemas.microsoft.com/office/drawing/2014/main" id="{AF221F19-3DB5-4AAE-B2DB-35E4F6F05B11}"/>
                              </a:ext>
                            </a:extLst>
                          </pic:cNvPr>
                          <pic:cNvPicPr>
                            <a:picLocks noChangeAspect="1"/>
                          </pic:cNvPicPr>
                        </pic:nvPicPr>
                        <pic:blipFill>
                          <a:blip r:embed="rId16">
                            <a:extLst>
                              <a:ext uri="{96DAC541-7B7A-43D3-8B79-37D633B846F1}">
                                <asvg:svgBlip xmlns:asvg="http://schemas.microsoft.com/office/drawing/2016/SVG/main" r:embed="rId17"/>
                              </a:ext>
                            </a:extLst>
                          </a:blip>
                          <a:stretch>
                            <a:fillRect/>
                          </a:stretch>
                        </pic:blipFill>
                        <pic:spPr>
                          <a:xfrm>
                            <a:off x="0" y="0"/>
                            <a:ext cx="372913" cy="372913"/>
                          </a:xfrm>
                          <a:prstGeom prst="rect">
                            <a:avLst/>
                          </a:prstGeom>
                        </pic:spPr>
                      </pic:pic>
                    </a:graphicData>
                  </a:graphic>
                  <wp14:sizeRelH relativeFrom="margin">
                    <wp14:pctWidth>0</wp14:pctWidth>
                  </wp14:sizeRelH>
                  <wp14:sizeRelV relativeFrom="margin">
                    <wp14:pctHeight>0</wp14:pctHeight>
                  </wp14:sizeRelV>
                </wp:anchor>
              </w:drawing>
            </w:r>
            <w:r w:rsidRPr="006344AC">
              <w:rPr>
                <w:rFonts w:asciiTheme="minorHAnsi" w:hAnsiTheme="minorHAnsi" w:cstheme="minorHAnsi"/>
                <w:b/>
                <w:bCs/>
                <w:i/>
                <w:iCs/>
                <w:sz w:val="22"/>
                <w:szCs w:val="22"/>
              </w:rPr>
              <w:t>Randvoorwaarden versterking interne markt</w:t>
            </w:r>
          </w:p>
        </w:tc>
      </w:tr>
      <w:tr w:rsidRPr="006344AC" w:rsidR="00084736" w:rsidTr="00D02550" w14:paraId="2D2A4D1F" w14:textId="77777777">
        <w:tc>
          <w:tcPr>
            <w:tcW w:w="3964" w:type="dxa"/>
          </w:tcPr>
          <w:p w:rsidRPr="006344AC" w:rsidR="00084736" w:rsidP="00D02550" w:rsidRDefault="00084736" w14:paraId="65FD7273" w14:textId="77777777">
            <w:pPr>
              <w:rPr>
                <w:rFonts w:asciiTheme="minorHAnsi" w:hAnsiTheme="minorHAnsi" w:cstheme="minorHAnsi"/>
                <w:sz w:val="22"/>
                <w:szCs w:val="22"/>
                <w:lang w:val="nl-NL"/>
              </w:rPr>
            </w:pPr>
            <w:r w:rsidRPr="006344AC">
              <w:rPr>
                <w:rFonts w:asciiTheme="minorHAnsi" w:hAnsiTheme="minorHAnsi" w:cstheme="minorHAnsi"/>
                <w:sz w:val="22"/>
                <w:szCs w:val="22"/>
                <w:lang w:val="nl-NL"/>
              </w:rPr>
              <w:t>Akkoord bereikt over nieuwe Europese regels die het vrij verkeer in tijden van crisis beschermen (IMERA)</w:t>
            </w:r>
          </w:p>
        </w:tc>
        <w:tc>
          <w:tcPr>
            <w:tcW w:w="5245" w:type="dxa"/>
          </w:tcPr>
          <w:p w:rsidRPr="006344AC" w:rsidR="00084736" w:rsidP="00D02550" w:rsidRDefault="00084736" w14:paraId="471C8BC1" w14:textId="77777777">
            <w:pPr>
              <w:rPr>
                <w:rFonts w:asciiTheme="minorHAnsi" w:hAnsiTheme="minorHAnsi" w:cstheme="minorHAnsi"/>
                <w:sz w:val="22"/>
                <w:szCs w:val="22"/>
                <w:lang w:val="nl-NL"/>
              </w:rPr>
            </w:pPr>
            <w:r w:rsidRPr="006344AC">
              <w:rPr>
                <w:rFonts w:asciiTheme="minorHAnsi" w:hAnsiTheme="minorHAnsi" w:cstheme="minorHAnsi"/>
                <w:sz w:val="22"/>
                <w:szCs w:val="22"/>
                <w:lang w:val="nl-NL"/>
              </w:rPr>
              <w:t>In tijden van crisis moeten burgers en ondernemers soepel de grens over kunnen en mogen lidstaten niet zomaar allerlei belemmeringen opwerpen</w:t>
            </w:r>
          </w:p>
        </w:tc>
      </w:tr>
      <w:tr w:rsidRPr="006344AC" w:rsidR="00084736" w:rsidTr="00D02550" w14:paraId="6A795A77" w14:textId="77777777">
        <w:tc>
          <w:tcPr>
            <w:tcW w:w="3964" w:type="dxa"/>
          </w:tcPr>
          <w:p w:rsidRPr="006344AC" w:rsidR="00084736" w:rsidP="00D02550" w:rsidRDefault="00084736" w14:paraId="4ADD6837" w14:textId="77777777">
            <w:pPr>
              <w:rPr>
                <w:rFonts w:asciiTheme="minorHAnsi" w:hAnsiTheme="minorHAnsi" w:cstheme="minorHAnsi"/>
                <w:sz w:val="22"/>
                <w:szCs w:val="22"/>
                <w:lang w:val="nl-NL"/>
              </w:rPr>
            </w:pPr>
            <w:r w:rsidRPr="006344AC">
              <w:rPr>
                <w:rFonts w:asciiTheme="minorHAnsi" w:hAnsiTheme="minorHAnsi" w:cstheme="minorHAnsi"/>
                <w:sz w:val="22"/>
                <w:szCs w:val="22"/>
                <w:lang w:val="nl-NL"/>
              </w:rPr>
              <w:t>Aanpak territoriale leveringsbeperkingen in Europa op de agenda gezet</w:t>
            </w:r>
          </w:p>
        </w:tc>
        <w:tc>
          <w:tcPr>
            <w:tcW w:w="5245" w:type="dxa"/>
          </w:tcPr>
          <w:p w:rsidRPr="006344AC" w:rsidR="00084736" w:rsidP="00D02550" w:rsidRDefault="00084736" w14:paraId="2AF3EA89" w14:textId="77777777">
            <w:pPr>
              <w:rPr>
                <w:rFonts w:asciiTheme="minorHAnsi" w:hAnsiTheme="minorHAnsi" w:cstheme="minorHAnsi"/>
                <w:sz w:val="22"/>
                <w:szCs w:val="22"/>
                <w:lang w:val="nl-NL"/>
              </w:rPr>
            </w:pPr>
            <w:r w:rsidRPr="006344AC">
              <w:rPr>
                <w:rFonts w:asciiTheme="minorHAnsi" w:hAnsiTheme="minorHAnsi" w:cstheme="minorHAnsi"/>
                <w:sz w:val="22"/>
                <w:szCs w:val="22"/>
                <w:lang w:val="nl-NL"/>
              </w:rPr>
              <w:t>Maatregelen kunnen ertoe leiden dat er geen verschil meer is voor retailers in inkoopprijzen binnen de EU. Met als mogelijk gevolg lagere consumentenprijzen en een breder aanbod</w:t>
            </w:r>
          </w:p>
        </w:tc>
      </w:tr>
      <w:tr w:rsidRPr="006344AC" w:rsidR="00084736" w:rsidTr="00D02550" w14:paraId="1793D4EA" w14:textId="77777777">
        <w:tc>
          <w:tcPr>
            <w:tcW w:w="3964" w:type="dxa"/>
          </w:tcPr>
          <w:p w:rsidRPr="006344AC" w:rsidR="00084736" w:rsidP="00D02550" w:rsidRDefault="00084736" w14:paraId="4C90791F" w14:textId="77777777">
            <w:pPr>
              <w:rPr>
                <w:rFonts w:asciiTheme="minorHAnsi" w:hAnsiTheme="minorHAnsi" w:cstheme="minorHAnsi"/>
                <w:sz w:val="22"/>
                <w:szCs w:val="22"/>
                <w:lang w:val="nl-NL"/>
              </w:rPr>
            </w:pPr>
            <w:r w:rsidRPr="006344AC">
              <w:rPr>
                <w:rFonts w:asciiTheme="minorHAnsi" w:hAnsiTheme="minorHAnsi" w:cstheme="minorHAnsi"/>
                <w:sz w:val="22"/>
                <w:szCs w:val="22"/>
                <w:lang w:val="nl-NL"/>
              </w:rPr>
              <w:t>Pilot gestart voor verbetering Centraal loket met behulp van artificiële intelligentie (AI)</w:t>
            </w:r>
          </w:p>
        </w:tc>
        <w:tc>
          <w:tcPr>
            <w:tcW w:w="5245" w:type="dxa"/>
          </w:tcPr>
          <w:p w:rsidRPr="006344AC" w:rsidR="00084736" w:rsidP="00D02550" w:rsidRDefault="00084736" w14:paraId="5D8377B2" w14:textId="77777777">
            <w:pPr>
              <w:rPr>
                <w:rFonts w:asciiTheme="minorHAnsi" w:hAnsiTheme="minorHAnsi" w:cstheme="minorHAnsi"/>
                <w:sz w:val="22"/>
                <w:szCs w:val="22"/>
              </w:rPr>
            </w:pPr>
            <w:r w:rsidRPr="006344AC">
              <w:rPr>
                <w:rFonts w:asciiTheme="minorHAnsi" w:hAnsiTheme="minorHAnsi" w:cstheme="minorHAnsi"/>
                <w:sz w:val="22"/>
                <w:szCs w:val="22"/>
                <w:lang w:val="nl-NL"/>
              </w:rPr>
              <w:t xml:space="preserve">Betere informatie over geldende regels voor ondernemers die diensten verlenen. </w:t>
            </w:r>
            <w:r w:rsidRPr="006344AC">
              <w:rPr>
                <w:rFonts w:asciiTheme="minorHAnsi" w:hAnsiTheme="minorHAnsi" w:cstheme="minorHAnsi"/>
                <w:sz w:val="22"/>
                <w:szCs w:val="22"/>
              </w:rPr>
              <w:t>En bovendien vindbaar op één plek</w:t>
            </w:r>
          </w:p>
        </w:tc>
      </w:tr>
    </w:tbl>
    <w:p w:rsidRPr="006344AC" w:rsidR="00084736" w:rsidP="00084736" w:rsidRDefault="00084736" w14:paraId="1D5BC20B" w14:textId="77777777">
      <w:pPr>
        <w:rPr>
          <w:rFonts w:cstheme="minorHAnsi"/>
          <w:b/>
          <w:bCs/>
        </w:rPr>
      </w:pPr>
    </w:p>
    <w:p w:rsidRPr="006344AC" w:rsidR="00084736" w:rsidP="00084736" w:rsidRDefault="00084736" w14:paraId="642FD9D7" w14:textId="77777777">
      <w:pPr>
        <w:rPr>
          <w:rFonts w:cstheme="minorHAnsi"/>
          <w:b/>
          <w:bCs/>
        </w:rPr>
      </w:pPr>
      <w:r w:rsidRPr="006344AC">
        <w:rPr>
          <w:rFonts w:cstheme="minorHAnsi"/>
          <w:b/>
          <w:bCs/>
        </w:rPr>
        <w:t>Tweede jaarlijkse voortgangsrapportage</w:t>
      </w:r>
    </w:p>
    <w:p w:rsidRPr="006344AC" w:rsidR="00084736" w:rsidP="00084736" w:rsidRDefault="00084736" w14:paraId="1AC4EFA4" w14:textId="77777777">
      <w:pPr>
        <w:rPr>
          <w:rFonts w:eastAsia="Calibri" w:cstheme="minorHAnsi"/>
        </w:rPr>
      </w:pPr>
      <w:r w:rsidRPr="006344AC">
        <w:rPr>
          <w:rFonts w:cstheme="minorHAnsi"/>
        </w:rPr>
        <w:t xml:space="preserve">De bijlage bij deze brief bevat de tweede jaarlijkse voortgangsrapportage. Hierin informeert het kabinet u in detail over de voornaamste resultaten en processtappen bij de uitvoering van de interne-marktactieagenda. Per prioriteit worden de resultaten toegelicht die sinds de vorige jaarlijkse voortgangsrapportage zijn </w:t>
      </w:r>
      <w:r w:rsidRPr="006344AC">
        <w:rPr>
          <w:rFonts w:cstheme="minorHAnsi"/>
        </w:rPr>
        <w:lastRenderedPageBreak/>
        <w:t>bereikt.</w:t>
      </w:r>
      <w:r w:rsidRPr="006344AC">
        <w:rPr>
          <w:rStyle w:val="Voetnootmarkering"/>
          <w:rFonts w:cstheme="minorHAnsi"/>
        </w:rPr>
        <w:footnoteReference w:id="2"/>
      </w:r>
      <w:r w:rsidRPr="006344AC">
        <w:rPr>
          <w:rFonts w:cstheme="minorHAnsi"/>
        </w:rPr>
        <w:t xml:space="preserve"> Met de uitvoering van de kabinetsbrede interne-marktactieagenda zijn belangrijke resultaten behaald bij de versterking van de interne markt. Zowel in Nederland als in Europa. </w:t>
      </w:r>
    </w:p>
    <w:p w:rsidRPr="006344AC" w:rsidR="00084736" w:rsidP="00084736" w:rsidRDefault="00084736" w14:paraId="102A1496" w14:textId="77777777">
      <w:pPr>
        <w:rPr>
          <w:rFonts w:cstheme="minorHAnsi"/>
          <w:b/>
          <w:bCs/>
        </w:rPr>
      </w:pPr>
    </w:p>
    <w:p w:rsidRPr="006344AC" w:rsidR="00084736" w:rsidP="00084736" w:rsidRDefault="00084736" w14:paraId="39648633" w14:textId="77777777">
      <w:pPr>
        <w:rPr>
          <w:rFonts w:cstheme="minorHAnsi"/>
          <w:b/>
          <w:bCs/>
        </w:rPr>
      </w:pPr>
      <w:r w:rsidRPr="006344AC">
        <w:rPr>
          <w:rFonts w:cstheme="minorHAnsi"/>
          <w:b/>
          <w:bCs/>
        </w:rPr>
        <w:t>Tot slot</w:t>
      </w:r>
    </w:p>
    <w:p w:rsidRPr="006344AC" w:rsidR="00084736" w:rsidP="00084736" w:rsidRDefault="00084736" w14:paraId="607D25D9" w14:textId="77777777">
      <w:pPr>
        <w:rPr>
          <w:rFonts w:cstheme="minorHAnsi"/>
        </w:rPr>
      </w:pPr>
      <w:r w:rsidRPr="006344AC">
        <w:rPr>
          <w:rFonts w:cstheme="minorHAnsi"/>
        </w:rPr>
        <w:t xml:space="preserve">Het kabinet wil met ambitie aan versterking van de interne markt blijven werken, zowel in Nederland als in Europa. Alleen zo kan deze beter gaan werken en als groeimotor blijven fungeren. En alleen zo kunnen Europa en Nederland hun economische kracht in de woelige en veranderlijke, mondiale verhoudingen behouden en blijven versterken. Op deze manier kunnen ondernemers, werknemers en burgers de vruchten plukken van de interne markt, en werkt deze echt voor mensen zoals zou moeten. Ondernemers en burgers maken immers de interne markt. </w:t>
      </w:r>
    </w:p>
    <w:p w:rsidRPr="006344AC" w:rsidR="00084736" w:rsidP="00084736" w:rsidRDefault="00084736" w14:paraId="3C21CF12" w14:textId="77777777">
      <w:pPr>
        <w:rPr>
          <w:rFonts w:cstheme="minorHAnsi"/>
        </w:rPr>
      </w:pPr>
    </w:p>
    <w:p w:rsidRPr="006344AC" w:rsidR="006344AC" w:rsidP="006344AC" w:rsidRDefault="006344AC" w14:paraId="259C66A2" w14:textId="23B53CE4">
      <w:pPr>
        <w:pStyle w:val="Geenafstand"/>
        <w:rPr>
          <w:rFonts w:cstheme="minorHAnsi"/>
        </w:rPr>
      </w:pPr>
      <w:r w:rsidRPr="006344AC">
        <w:rPr>
          <w:rFonts w:cstheme="minorHAnsi"/>
        </w:rPr>
        <w:t>De m</w:t>
      </w:r>
      <w:r w:rsidRPr="006344AC">
        <w:rPr>
          <w:rFonts w:cstheme="minorHAnsi"/>
        </w:rPr>
        <w:t>inister van Economische Zaken</w:t>
      </w:r>
      <w:r w:rsidRPr="006344AC">
        <w:rPr>
          <w:rFonts w:cstheme="minorHAnsi"/>
        </w:rPr>
        <w:t>,</w:t>
      </w:r>
    </w:p>
    <w:p w:rsidRPr="006344AC" w:rsidR="00084736" w:rsidP="006344AC" w:rsidRDefault="00084736" w14:paraId="22DE5F03" w14:textId="2042CC72">
      <w:pPr>
        <w:pStyle w:val="Geenafstand"/>
        <w:rPr>
          <w:rFonts w:cstheme="minorHAnsi"/>
        </w:rPr>
      </w:pPr>
      <w:r w:rsidRPr="006344AC">
        <w:rPr>
          <w:rFonts w:cstheme="minorHAnsi"/>
        </w:rPr>
        <w:t>D</w:t>
      </w:r>
      <w:r w:rsidRPr="006344AC" w:rsidR="006344AC">
        <w:rPr>
          <w:rFonts w:cstheme="minorHAnsi"/>
        </w:rPr>
        <w:t>.S.</w:t>
      </w:r>
      <w:r w:rsidRPr="006344AC">
        <w:rPr>
          <w:rFonts w:cstheme="minorHAnsi"/>
        </w:rPr>
        <w:t xml:space="preserve"> Beljaarts</w:t>
      </w:r>
    </w:p>
    <w:p w:rsidRPr="006344AC" w:rsidR="00084736" w:rsidP="00084736" w:rsidRDefault="00084736" w14:paraId="52D2941F" w14:textId="77777777">
      <w:pPr>
        <w:rPr>
          <w:rFonts w:cstheme="minorHAnsi"/>
        </w:rPr>
      </w:pPr>
    </w:p>
    <w:p w:rsidRPr="006344AC" w:rsidR="00A05B60" w:rsidRDefault="00A05B60" w14:paraId="73893802" w14:textId="77777777">
      <w:pPr>
        <w:rPr>
          <w:rFonts w:cstheme="minorHAnsi"/>
        </w:rPr>
      </w:pPr>
    </w:p>
    <w:sectPr w:rsidRPr="006344AC" w:rsidR="00A05B60" w:rsidSect="00084736">
      <w:headerReference w:type="even" r:id="rId18"/>
      <w:headerReference w:type="default" r:id="rId19"/>
      <w:footerReference w:type="even" r:id="rId20"/>
      <w:footerReference w:type="default" r:id="rId21"/>
      <w:headerReference w:type="first" r:id="rId22"/>
      <w:footerReference w:type="first" r:id="rId2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61EEE" w14:textId="77777777" w:rsidR="00084736" w:rsidRDefault="00084736" w:rsidP="00084736">
      <w:pPr>
        <w:spacing w:after="0" w:line="240" w:lineRule="auto"/>
      </w:pPr>
      <w:r>
        <w:separator/>
      </w:r>
    </w:p>
  </w:endnote>
  <w:endnote w:type="continuationSeparator" w:id="0">
    <w:p w14:paraId="369ABD68" w14:textId="77777777" w:rsidR="00084736" w:rsidRDefault="00084736" w:rsidP="00084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E1EA" w14:textId="77777777" w:rsidR="00084736" w:rsidRPr="00084736" w:rsidRDefault="00084736" w:rsidP="0008473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DD795" w14:textId="77777777" w:rsidR="00084736" w:rsidRPr="00084736" w:rsidRDefault="00084736" w:rsidP="0008473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3D71" w14:textId="77777777" w:rsidR="00084736" w:rsidRPr="00084736" w:rsidRDefault="00084736" w:rsidP="000847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08774" w14:textId="77777777" w:rsidR="00084736" w:rsidRDefault="00084736" w:rsidP="00084736">
      <w:pPr>
        <w:spacing w:after="0" w:line="240" w:lineRule="auto"/>
      </w:pPr>
      <w:r>
        <w:separator/>
      </w:r>
    </w:p>
  </w:footnote>
  <w:footnote w:type="continuationSeparator" w:id="0">
    <w:p w14:paraId="03EE2A83" w14:textId="77777777" w:rsidR="00084736" w:rsidRDefault="00084736" w:rsidP="00084736">
      <w:pPr>
        <w:spacing w:after="0" w:line="240" w:lineRule="auto"/>
      </w:pPr>
      <w:r>
        <w:continuationSeparator/>
      </w:r>
    </w:p>
  </w:footnote>
  <w:footnote w:id="1">
    <w:p w14:paraId="48493B98" w14:textId="36458550" w:rsidR="00084736" w:rsidRPr="006344AC" w:rsidRDefault="00084736" w:rsidP="00084736">
      <w:pPr>
        <w:pStyle w:val="Voetnoottekst"/>
        <w:rPr>
          <w:rFonts w:asciiTheme="minorHAnsi" w:hAnsiTheme="minorHAnsi" w:cstheme="minorHAnsi"/>
          <w:sz w:val="20"/>
        </w:rPr>
      </w:pPr>
      <w:r w:rsidRPr="006344AC">
        <w:rPr>
          <w:rStyle w:val="Voetnootmarkering"/>
          <w:rFonts w:asciiTheme="minorHAnsi" w:hAnsiTheme="minorHAnsi" w:cstheme="minorHAnsi"/>
          <w:sz w:val="20"/>
        </w:rPr>
        <w:footnoteRef/>
      </w:r>
      <w:r w:rsidRPr="006344AC">
        <w:rPr>
          <w:rFonts w:asciiTheme="minorHAnsi" w:hAnsiTheme="minorHAnsi" w:cstheme="minorHAnsi"/>
          <w:sz w:val="20"/>
        </w:rPr>
        <w:t xml:space="preserve"> Kamerstuk 22 112, nr. 3437.</w:t>
      </w:r>
    </w:p>
  </w:footnote>
  <w:footnote w:id="2">
    <w:p w14:paraId="3C8000FF" w14:textId="4E779250" w:rsidR="00084736" w:rsidRPr="006344AC" w:rsidRDefault="00084736" w:rsidP="00084736">
      <w:pPr>
        <w:pStyle w:val="Voetnoottekst"/>
        <w:rPr>
          <w:rFonts w:asciiTheme="minorHAnsi" w:hAnsiTheme="minorHAnsi" w:cstheme="minorHAnsi"/>
          <w:sz w:val="20"/>
        </w:rPr>
      </w:pPr>
      <w:r w:rsidRPr="006344AC">
        <w:rPr>
          <w:rStyle w:val="Voetnootmarkering"/>
          <w:rFonts w:asciiTheme="minorHAnsi" w:hAnsiTheme="minorHAnsi" w:cstheme="minorHAnsi"/>
          <w:sz w:val="20"/>
        </w:rPr>
        <w:footnoteRef/>
      </w:r>
      <w:r w:rsidRPr="006344AC">
        <w:rPr>
          <w:rFonts w:asciiTheme="minorHAnsi" w:hAnsiTheme="minorHAnsi" w:cstheme="minorHAnsi"/>
          <w:sz w:val="20"/>
        </w:rPr>
        <w:t xml:space="preserve"> Kamerstuk 22 112, nrs. 3817 en 3864.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F7B70" w14:textId="77777777" w:rsidR="00084736" w:rsidRPr="00084736" w:rsidRDefault="00084736" w:rsidP="0008473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33FAB" w14:textId="77777777" w:rsidR="00084736" w:rsidRPr="00084736" w:rsidRDefault="00084736" w:rsidP="0008473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A967" w14:textId="77777777" w:rsidR="00084736" w:rsidRPr="00084736" w:rsidRDefault="00084736" w:rsidP="0008473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736"/>
    <w:rsid w:val="00084736"/>
    <w:rsid w:val="006344AC"/>
    <w:rsid w:val="009900D7"/>
    <w:rsid w:val="00A05B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4614D"/>
  <w15:chartTrackingRefBased/>
  <w15:docId w15:val="{405C2957-F634-480F-B92F-DF0B2BD7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8473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8473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8473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84736"/>
    <w:rPr>
      <w:rFonts w:ascii="Verdana" w:eastAsia="Times New Roman" w:hAnsi="Verdana" w:cs="Times New Roman"/>
      <w:kern w:val="0"/>
      <w:sz w:val="18"/>
      <w:szCs w:val="24"/>
      <w:lang w:eastAsia="nl-NL"/>
      <w14:ligatures w14:val="none"/>
    </w:rPr>
  </w:style>
  <w:style w:type="table" w:styleId="Tabelraster">
    <w:name w:val="Table Grid"/>
    <w:basedOn w:val="Standaardtabel"/>
    <w:rsid w:val="00084736"/>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08473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84736"/>
    <w:rPr>
      <w:rFonts w:ascii="Verdana" w:hAnsi="Verdana"/>
      <w:noProof/>
      <w:sz w:val="13"/>
      <w:szCs w:val="24"/>
      <w:lang w:eastAsia="nl-NL"/>
    </w:rPr>
  </w:style>
  <w:style w:type="paragraph" w:customStyle="1" w:styleId="Huisstijl-Gegeven">
    <w:name w:val="Huisstijl-Gegeven"/>
    <w:basedOn w:val="Standaard"/>
    <w:link w:val="Huisstijl-GegevenCharChar"/>
    <w:rsid w:val="0008473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8473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84736"/>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08473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84736"/>
    <w:pPr>
      <w:spacing w:after="0"/>
    </w:pPr>
    <w:rPr>
      <w:b/>
    </w:rPr>
  </w:style>
  <w:style w:type="paragraph" w:customStyle="1" w:styleId="Huisstijl-Paginanummering">
    <w:name w:val="Huisstijl-Paginanummering"/>
    <w:basedOn w:val="Standaard"/>
    <w:rsid w:val="0008473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084736"/>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084736"/>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084736"/>
    <w:rPr>
      <w:rFonts w:ascii="Verdana" w:eastAsia="Times New Roman" w:hAnsi="Verdana" w:cs="Times New Roman"/>
      <w:kern w:val="0"/>
      <w:sz w:val="13"/>
      <w:szCs w:val="20"/>
      <w:lang w:eastAsia="nl-NL"/>
      <w14:ligatures w14:val="none"/>
    </w:rPr>
  </w:style>
  <w:style w:type="paragraph" w:styleId="Lijstalinea">
    <w:name w:val="List Paragraph"/>
    <w:basedOn w:val="Standaard"/>
    <w:uiPriority w:val="34"/>
    <w:qFormat/>
    <w:rsid w:val="00084736"/>
    <w:pPr>
      <w:spacing w:after="0" w:line="240" w:lineRule="atLeast"/>
      <w:ind w:left="720"/>
      <w:contextualSpacing/>
    </w:pPr>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084736"/>
    <w:rPr>
      <w:vertAlign w:val="superscript"/>
    </w:rPr>
  </w:style>
  <w:style w:type="paragraph" w:styleId="Geenafstand">
    <w:name w:val="No Spacing"/>
    <w:uiPriority w:val="1"/>
    <w:qFormat/>
    <w:rsid w:val="006344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sv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2.svg"/><Relationship Id="rId12" Type="http://schemas.openxmlformats.org/officeDocument/2006/relationships/image" Target="media/image7.png"/><Relationship Id="rId17" Type="http://schemas.openxmlformats.org/officeDocument/2006/relationships/image" Target="media/image12.sv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sv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svg"/><Relationship Id="rId23" Type="http://schemas.openxmlformats.org/officeDocument/2006/relationships/footer" Target="footer3.xml"/><Relationship Id="rId10" Type="http://schemas.openxmlformats.org/officeDocument/2006/relationships/image" Target="media/image5.png"/><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4.svg"/><Relationship Id="rId14" Type="http://schemas.openxmlformats.org/officeDocument/2006/relationships/image" Target="media/image9.png"/><Relationship Id="rId22"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903</ap:Words>
  <ap:Characters>4972</ap:Characters>
  <ap:DocSecurity>0</ap:DocSecurity>
  <ap:Lines>41</ap:Lines>
  <ap:Paragraphs>11</ap:Paragraphs>
  <ap:ScaleCrop>false</ap:ScaleCrop>
  <ap:LinksUpToDate>false</ap:LinksUpToDate>
  <ap:CharactersWithSpaces>5864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2024-11-08T10:41:00.0000000Z</dcterms:created>
  <dcterms:modified xsi:type="dcterms:W3CDTF">2024-11-08T10:41:00.0000000Z</dcterms:modified>
  <version/>
  <category/>
</coreProperties>
</file>