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628A8" w:rsidTr="00D9561B" w14:paraId="59F0E230" w14:textId="77777777">
        <w:trPr>
          <w:trHeight w:val="1514"/>
        </w:trPr>
        <w:tc>
          <w:tcPr>
            <w:tcW w:w="7522" w:type="dxa"/>
            <w:tcBorders>
              <w:top w:val="nil"/>
              <w:left w:val="nil"/>
              <w:bottom w:val="nil"/>
              <w:right w:val="nil"/>
            </w:tcBorders>
            <w:tcMar>
              <w:left w:w="0" w:type="dxa"/>
              <w:right w:w="0" w:type="dxa"/>
            </w:tcMar>
          </w:tcPr>
          <w:p w:rsidR="00374412" w:rsidP="00D9561B" w:rsidRDefault="00491413" w14:paraId="3C5A9D09" w14:textId="77777777">
            <w:r>
              <w:t>De v</w:t>
            </w:r>
            <w:r w:rsidR="008E3932">
              <w:t>oorzitter van de Tweede Kamer der Staten-Generaal</w:t>
            </w:r>
          </w:p>
          <w:p w:rsidR="00374412" w:rsidP="00D9561B" w:rsidRDefault="00491413" w14:paraId="7B472DCC" w14:textId="77777777">
            <w:r>
              <w:t>Postbus 20018</w:t>
            </w:r>
          </w:p>
          <w:p w:rsidR="008E3932" w:rsidP="00D9561B" w:rsidRDefault="00491413" w14:paraId="74B4DF8C"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628A8" w:rsidTr="00FF66F9" w14:paraId="28F09060" w14:textId="77777777">
        <w:trPr>
          <w:trHeight w:val="289" w:hRule="exact"/>
        </w:trPr>
        <w:tc>
          <w:tcPr>
            <w:tcW w:w="929" w:type="dxa"/>
          </w:tcPr>
          <w:p w:rsidRPr="00434042" w:rsidR="0005404B" w:rsidP="00FF66F9" w:rsidRDefault="00491413" w14:paraId="09222DAC" w14:textId="77777777">
            <w:pPr>
              <w:rPr>
                <w:lang w:eastAsia="en-US"/>
              </w:rPr>
            </w:pPr>
            <w:r>
              <w:rPr>
                <w:lang w:eastAsia="en-US"/>
              </w:rPr>
              <w:t>Datum</w:t>
            </w:r>
          </w:p>
        </w:tc>
        <w:tc>
          <w:tcPr>
            <w:tcW w:w="6581" w:type="dxa"/>
          </w:tcPr>
          <w:p w:rsidRPr="00434042" w:rsidR="0005404B" w:rsidP="00FF66F9" w:rsidRDefault="001F4C10" w14:paraId="7F3ED7FA" w14:textId="391F638A">
            <w:pPr>
              <w:rPr>
                <w:lang w:eastAsia="en-US"/>
              </w:rPr>
            </w:pPr>
            <w:r>
              <w:rPr>
                <w:lang w:eastAsia="en-US"/>
              </w:rPr>
              <w:t>28 oktober 2024</w:t>
            </w:r>
          </w:p>
        </w:tc>
      </w:tr>
      <w:tr w:rsidR="005628A8" w:rsidTr="00FF66F9" w14:paraId="5D9E4B25" w14:textId="77777777">
        <w:trPr>
          <w:trHeight w:val="368"/>
        </w:trPr>
        <w:tc>
          <w:tcPr>
            <w:tcW w:w="929" w:type="dxa"/>
          </w:tcPr>
          <w:p w:rsidR="0005404B" w:rsidP="00FF66F9" w:rsidRDefault="00491413" w14:paraId="2FDF84C6" w14:textId="77777777">
            <w:pPr>
              <w:rPr>
                <w:lang w:eastAsia="en-US"/>
              </w:rPr>
            </w:pPr>
            <w:r>
              <w:rPr>
                <w:lang w:eastAsia="en-US"/>
              </w:rPr>
              <w:t>Betreft</w:t>
            </w:r>
          </w:p>
        </w:tc>
        <w:tc>
          <w:tcPr>
            <w:tcW w:w="6581" w:type="dxa"/>
          </w:tcPr>
          <w:p w:rsidR="0005404B" w:rsidP="00FF66F9" w:rsidRDefault="00491413" w14:paraId="2CF567DD" w14:textId="77777777">
            <w:pPr>
              <w:rPr>
                <w:lang w:eastAsia="en-US"/>
              </w:rPr>
            </w:pPr>
            <w:r>
              <w:rPr>
                <w:lang w:eastAsia="en-US"/>
              </w:rPr>
              <w:t>Antwoord op schriftelijke vragen van de vaste commissie voor Onderwijs, Cultuur en Wetenschap over lerarenstrategie</w:t>
            </w:r>
          </w:p>
        </w:tc>
      </w:tr>
    </w:tbl>
    <w:p w:rsidR="005628A8" w:rsidRDefault="001C2C36" w14:paraId="1CB5BDAF"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628A8" w:rsidTr="00A421A1" w14:paraId="2900F7DC" w14:textId="77777777">
        <w:tc>
          <w:tcPr>
            <w:tcW w:w="2160" w:type="dxa"/>
          </w:tcPr>
          <w:p w:rsidRPr="00F53C9D" w:rsidR="006205C0" w:rsidP="00686AED" w:rsidRDefault="00491413" w14:paraId="033AA3FE" w14:textId="77777777">
            <w:pPr>
              <w:pStyle w:val="Colofonkop"/>
              <w:framePr w:hSpace="0" w:wrap="auto" w:hAnchor="text" w:vAnchor="margin" w:xAlign="left" w:yAlign="inline"/>
            </w:pPr>
            <w:r>
              <w:t>Onderwijspersoneel en Primair Onderwijs</w:t>
            </w:r>
          </w:p>
          <w:p w:rsidR="006205C0" w:rsidP="00A421A1" w:rsidRDefault="00491413" w14:paraId="7BB1EA56" w14:textId="77777777">
            <w:pPr>
              <w:pStyle w:val="Huisstijl-Gegeven"/>
              <w:spacing w:after="0"/>
            </w:pPr>
            <w:r>
              <w:t xml:space="preserve">Rijnstraat 50 </w:t>
            </w:r>
          </w:p>
          <w:p w:rsidR="004425A7" w:rsidP="00E972A2" w:rsidRDefault="00491413" w14:paraId="7377E5BE" w14:textId="77777777">
            <w:pPr>
              <w:pStyle w:val="Huisstijl-Gegeven"/>
              <w:spacing w:after="0"/>
            </w:pPr>
            <w:r>
              <w:t>Den Haag</w:t>
            </w:r>
          </w:p>
          <w:p w:rsidR="004425A7" w:rsidP="00E972A2" w:rsidRDefault="00491413" w14:paraId="59B5AE92" w14:textId="77777777">
            <w:pPr>
              <w:pStyle w:val="Huisstijl-Gegeven"/>
              <w:spacing w:after="0"/>
            </w:pPr>
            <w:r>
              <w:t>Postbus 16375</w:t>
            </w:r>
          </w:p>
          <w:p w:rsidR="004425A7" w:rsidP="00E972A2" w:rsidRDefault="00491413" w14:paraId="29F6FD51" w14:textId="77777777">
            <w:pPr>
              <w:pStyle w:val="Huisstijl-Gegeven"/>
              <w:spacing w:after="0"/>
            </w:pPr>
            <w:r>
              <w:t>2500 BJ Den Haag</w:t>
            </w:r>
          </w:p>
          <w:p w:rsidRPr="00420270" w:rsidR="006205C0" w:rsidP="00420270" w:rsidRDefault="00491413" w14:paraId="5C1B93C6" w14:textId="32911C53">
            <w:pPr>
              <w:pStyle w:val="Huisstijl-Gegeven"/>
              <w:spacing w:after="90"/>
            </w:pPr>
            <w:r>
              <w:t>www.rijksoverheid.nl</w:t>
            </w:r>
          </w:p>
        </w:tc>
      </w:tr>
      <w:tr w:rsidR="005628A8" w:rsidTr="00A421A1" w14:paraId="770C1C5D" w14:textId="77777777">
        <w:trPr>
          <w:trHeight w:val="200" w:hRule="exact"/>
        </w:trPr>
        <w:tc>
          <w:tcPr>
            <w:tcW w:w="2160" w:type="dxa"/>
          </w:tcPr>
          <w:p w:rsidRPr="00356D2B" w:rsidR="006205C0" w:rsidP="00A421A1" w:rsidRDefault="006205C0" w14:paraId="2531801A" w14:textId="77777777">
            <w:pPr>
              <w:spacing w:after="90" w:line="180" w:lineRule="exact"/>
              <w:rPr>
                <w:sz w:val="13"/>
                <w:szCs w:val="13"/>
              </w:rPr>
            </w:pPr>
          </w:p>
        </w:tc>
      </w:tr>
      <w:tr w:rsidR="005628A8" w:rsidTr="00A421A1" w14:paraId="4F1C8189" w14:textId="77777777">
        <w:trPr>
          <w:trHeight w:val="450"/>
        </w:trPr>
        <w:tc>
          <w:tcPr>
            <w:tcW w:w="2160" w:type="dxa"/>
          </w:tcPr>
          <w:p w:rsidR="00F51A76" w:rsidP="00A421A1" w:rsidRDefault="00491413" w14:paraId="26A92176" w14:textId="77777777">
            <w:pPr>
              <w:spacing w:line="180" w:lineRule="exact"/>
              <w:rPr>
                <w:b/>
                <w:sz w:val="13"/>
                <w:szCs w:val="13"/>
              </w:rPr>
            </w:pPr>
            <w:r>
              <w:rPr>
                <w:b/>
                <w:sz w:val="13"/>
                <w:szCs w:val="13"/>
              </w:rPr>
              <w:t>Onze referentie</w:t>
            </w:r>
          </w:p>
          <w:p w:rsidRPr="00FA7882" w:rsidR="006205C0" w:rsidP="00215356" w:rsidRDefault="00F440D7" w14:paraId="41756124" w14:textId="2E235450">
            <w:pPr>
              <w:spacing w:line="180" w:lineRule="exact"/>
              <w:rPr>
                <w:sz w:val="13"/>
                <w:szCs w:val="13"/>
              </w:rPr>
            </w:pPr>
            <w:r w:rsidRPr="00F440D7">
              <w:rPr>
                <w:sz w:val="13"/>
                <w:szCs w:val="13"/>
              </w:rPr>
              <w:t>48887920</w:t>
            </w:r>
          </w:p>
        </w:tc>
      </w:tr>
      <w:tr w:rsidR="005628A8" w:rsidTr="00A421A1" w14:paraId="4097BE66" w14:textId="77777777">
        <w:trPr>
          <w:trHeight w:val="136"/>
        </w:trPr>
        <w:tc>
          <w:tcPr>
            <w:tcW w:w="2160" w:type="dxa"/>
          </w:tcPr>
          <w:p w:rsidRPr="00C5333A" w:rsidR="006205C0" w:rsidP="00A421A1" w:rsidRDefault="00491413" w14:paraId="13A24E59" w14:textId="77777777">
            <w:pPr>
              <w:tabs>
                <w:tab w:val="left" w:pos="1890"/>
              </w:tabs>
              <w:spacing w:line="180" w:lineRule="exact"/>
              <w:rPr>
                <w:b/>
                <w:sz w:val="13"/>
                <w:szCs w:val="13"/>
              </w:rPr>
            </w:pPr>
            <w:r w:rsidRPr="00003544">
              <w:rPr>
                <w:b/>
                <w:sz w:val="13"/>
                <w:szCs w:val="13"/>
              </w:rPr>
              <w:t>Uw brief</w:t>
            </w:r>
          </w:p>
          <w:p w:rsidRPr="00E06CD4" w:rsidR="00E91674" w:rsidP="00E210E0" w:rsidRDefault="007242DB" w14:paraId="54A45D2F" w14:textId="0B300D67">
            <w:pPr>
              <w:tabs>
                <w:tab w:val="left" w:pos="1890"/>
              </w:tabs>
              <w:spacing w:after="92" w:line="180" w:lineRule="exact"/>
              <w:rPr>
                <w:sz w:val="13"/>
                <w:szCs w:val="13"/>
              </w:rPr>
            </w:pPr>
            <w:r>
              <w:rPr>
                <w:sz w:val="13"/>
                <w:szCs w:val="13"/>
              </w:rPr>
              <w:t>5</w:t>
            </w:r>
            <w:r w:rsidR="00491413">
              <w:rPr>
                <w:sz w:val="13"/>
                <w:szCs w:val="13"/>
              </w:rPr>
              <w:t xml:space="preserve"> september 2024</w:t>
            </w:r>
          </w:p>
        </w:tc>
      </w:tr>
      <w:tr w:rsidR="005628A8" w:rsidTr="00A421A1" w14:paraId="3E755DC8" w14:textId="77777777">
        <w:trPr>
          <w:trHeight w:val="227"/>
        </w:trPr>
        <w:tc>
          <w:tcPr>
            <w:tcW w:w="2160" w:type="dxa"/>
          </w:tcPr>
          <w:p w:rsidRPr="004A65A5" w:rsidR="006205C0" w:rsidP="00A421A1" w:rsidRDefault="00491413" w14:paraId="18701F3B" w14:textId="77777777">
            <w:pPr>
              <w:spacing w:line="180" w:lineRule="exact"/>
              <w:rPr>
                <w:b/>
                <w:sz w:val="13"/>
                <w:szCs w:val="13"/>
              </w:rPr>
            </w:pPr>
            <w:r>
              <w:rPr>
                <w:b/>
                <w:sz w:val="13"/>
                <w:szCs w:val="13"/>
              </w:rPr>
              <w:t>Uw referentie</w:t>
            </w:r>
          </w:p>
          <w:p w:rsidRPr="00D74F66" w:rsidR="006205C0" w:rsidP="00A421A1" w:rsidRDefault="006205C0" w14:paraId="206ADB8C" w14:textId="77777777">
            <w:pPr>
              <w:spacing w:after="90" w:line="180" w:lineRule="exact"/>
              <w:rPr>
                <w:sz w:val="13"/>
              </w:rPr>
            </w:pPr>
          </w:p>
        </w:tc>
      </w:tr>
    </w:tbl>
    <w:p w:rsidR="00215356" w:rsidRDefault="00215356" w14:paraId="379B85EB" w14:textId="77777777"/>
    <w:p w:rsidR="006205C0" w:rsidP="00A421A1" w:rsidRDefault="006205C0" w14:paraId="646D4E0D" w14:textId="77777777"/>
    <w:p w:rsidR="00910A65" w:rsidP="00CA35E4" w:rsidRDefault="00405133" w14:paraId="50584614" w14:textId="72CC8A17">
      <w:r>
        <w:t>Hierbij stu</w:t>
      </w:r>
      <w:r w:rsidR="007242DB">
        <w:t xml:space="preserve">ren wij </w:t>
      </w:r>
      <w:r w:rsidR="00D45993">
        <w:t>u</w:t>
      </w:r>
      <w:r w:rsidR="00C82662">
        <w:t xml:space="preserve"> </w:t>
      </w:r>
      <w:r w:rsidRPr="00420270" w:rsidR="00491413">
        <w:t>d</w:t>
      </w:r>
      <w:r w:rsidRPr="00420270" w:rsidR="00935893">
        <w:t>e</w:t>
      </w:r>
      <w:r w:rsidRPr="00420270" w:rsidR="00491413">
        <w:t xml:space="preserve"> antwoorden op de</w:t>
      </w:r>
      <w:r w:rsidRPr="00420270" w:rsidR="00935893">
        <w:t xml:space="preserve"> vragen</w:t>
      </w:r>
      <w:r w:rsidR="00491413">
        <w:t xml:space="preserve"> van de commissie</w:t>
      </w:r>
      <w:r w:rsidR="00B36EBB">
        <w:t xml:space="preserve"> </w:t>
      </w:r>
      <w:r w:rsidR="00491413">
        <w:t xml:space="preserve">over </w:t>
      </w:r>
      <w:r w:rsidR="009A72A4">
        <w:t xml:space="preserve">de </w:t>
      </w:r>
      <w:r w:rsidR="00491413">
        <w:t>brief van 26 juni 2024</w:t>
      </w:r>
      <w:r w:rsidR="001F3F74">
        <w:t xml:space="preserve"> inzake</w:t>
      </w:r>
      <w:r w:rsidR="005768E4">
        <w:t xml:space="preserve"> </w:t>
      </w:r>
      <w:r w:rsidR="00491413">
        <w:t>Voortgang Lerarenstrategie</w:t>
      </w:r>
      <w:r w:rsidR="009F57B8">
        <w:t xml:space="preserve"> (</w:t>
      </w:r>
      <w:r w:rsidRPr="000F2477" w:rsidR="009F57B8">
        <w:rPr>
          <w:szCs w:val="18"/>
        </w:rPr>
        <w:t>Kamerstuk 27 923, nr. 492</w:t>
      </w:r>
      <w:r w:rsidR="009F57B8">
        <w:rPr>
          <w:szCs w:val="18"/>
        </w:rPr>
        <w:t>)</w:t>
      </w:r>
      <w:r w:rsidR="004A1BB7">
        <w:t>.</w:t>
      </w:r>
    </w:p>
    <w:p w:rsidR="00930C09" w:rsidP="00CA35E4" w:rsidRDefault="00930C09" w14:paraId="658542AF" w14:textId="77777777"/>
    <w:p w:rsidR="00873F6A" w:rsidP="00CA35E4" w:rsidRDefault="00873F6A" w14:paraId="0E99A769" w14:textId="77777777"/>
    <w:p w:rsidR="005628A8" w:rsidRDefault="00491413" w14:paraId="042DD4AF" w14:textId="77777777">
      <w:r>
        <w:t xml:space="preserve">De staatssecretaris </w:t>
      </w:r>
      <w:r w:rsidR="00535573">
        <w:t xml:space="preserve">van Onderwijs, </w:t>
      </w:r>
      <w:r>
        <w:t>Cultuur en</w:t>
      </w:r>
      <w:r w:rsidR="00535573">
        <w:t xml:space="preserve"> Wetenschap</w:t>
      </w:r>
      <w:r>
        <w:t>,</w:t>
      </w:r>
    </w:p>
    <w:p w:rsidR="00745AE0" w:rsidP="003A7160" w:rsidRDefault="00745AE0" w14:paraId="6D44FC70" w14:textId="77777777"/>
    <w:p w:rsidR="00745AE0" w:rsidP="003A7160" w:rsidRDefault="00745AE0" w14:paraId="0A953DBE" w14:textId="77777777"/>
    <w:p w:rsidR="00745AE0" w:rsidP="003A7160" w:rsidRDefault="00745AE0" w14:paraId="1A6E489D" w14:textId="77777777"/>
    <w:p w:rsidR="00745AE0" w:rsidP="003A7160" w:rsidRDefault="00745AE0" w14:paraId="13E4776B" w14:textId="77777777"/>
    <w:p w:rsidR="00745AE0" w:rsidP="003A7160" w:rsidRDefault="00491413" w14:paraId="3EC6092E" w14:textId="77777777">
      <w:r>
        <w:t>Mariëlle Paul</w:t>
      </w:r>
    </w:p>
    <w:p w:rsidR="00C7013F" w:rsidP="003A7160" w:rsidRDefault="00C7013F" w14:paraId="4E5B0439" w14:textId="77777777"/>
    <w:p w:rsidR="00420270" w:rsidP="003A7160" w:rsidRDefault="00420270" w14:paraId="46B58A8F" w14:textId="77777777"/>
    <w:p w:rsidR="009F57B8" w:rsidP="009F57B8" w:rsidRDefault="009F57B8" w14:paraId="45E1E881" w14:textId="77777777">
      <w:r>
        <w:t>De minister van Onderwijs, Cultuur en Wetenschap,</w:t>
      </w:r>
    </w:p>
    <w:p w:rsidR="009F57B8" w:rsidP="009F57B8" w:rsidRDefault="009F57B8" w14:paraId="06A182FF" w14:textId="77777777"/>
    <w:p w:rsidR="009F57B8" w:rsidP="009F57B8" w:rsidRDefault="009F57B8" w14:paraId="7D2B13DA" w14:textId="77777777"/>
    <w:p w:rsidR="009F57B8" w:rsidP="009F57B8" w:rsidRDefault="009F57B8" w14:paraId="78A57A45" w14:textId="77777777"/>
    <w:p w:rsidR="009F57B8" w:rsidP="009F57B8" w:rsidRDefault="009F57B8" w14:paraId="7F508E71" w14:textId="77777777"/>
    <w:p w:rsidR="009F57B8" w:rsidP="009F57B8" w:rsidRDefault="009F57B8" w14:paraId="50757C1C" w14:textId="77777777">
      <w:pPr>
        <w:pStyle w:val="standaard-tekst"/>
      </w:pPr>
      <w:r>
        <w:t>Eppo Bruins</w:t>
      </w:r>
    </w:p>
    <w:p w:rsidR="00420270" w:rsidP="003A7160" w:rsidRDefault="00420270" w14:paraId="7803C3ED" w14:textId="77777777"/>
    <w:p w:rsidR="00420270" w:rsidP="003A7160" w:rsidRDefault="00420270" w14:paraId="6B485CA3" w14:textId="77777777"/>
    <w:p w:rsidR="00420270" w:rsidP="003A7160" w:rsidRDefault="00420270" w14:paraId="352908CC" w14:textId="77777777"/>
    <w:p w:rsidR="00420270" w:rsidP="003A7160" w:rsidRDefault="00420270" w14:paraId="503867A9" w14:textId="77777777"/>
    <w:p w:rsidR="00420270" w:rsidP="003A7160" w:rsidRDefault="00420270" w14:paraId="1BD2D4A3" w14:textId="77777777"/>
    <w:p w:rsidR="00420270" w:rsidP="003A7160" w:rsidRDefault="00420270" w14:paraId="0164E2C2" w14:textId="77777777"/>
    <w:p w:rsidR="00420270" w:rsidP="003A7160" w:rsidRDefault="00420270" w14:paraId="1C67841C" w14:textId="77777777"/>
    <w:p w:rsidR="00420270" w:rsidP="003A7160" w:rsidRDefault="00420270" w14:paraId="754DF575" w14:textId="77777777"/>
    <w:p w:rsidR="00420270" w:rsidP="003A7160" w:rsidRDefault="00420270" w14:paraId="029170B7" w14:textId="77777777"/>
    <w:p w:rsidR="00420270" w:rsidP="003A7160" w:rsidRDefault="00420270" w14:paraId="0E7A29F0" w14:textId="77777777"/>
    <w:p w:rsidR="00420270" w:rsidP="003A7160" w:rsidRDefault="00420270" w14:paraId="4ED3C713" w14:textId="77777777"/>
    <w:p w:rsidR="00420270" w:rsidP="003A7160" w:rsidRDefault="00420270" w14:paraId="22F685CB" w14:textId="77777777"/>
    <w:p w:rsidR="00420270" w:rsidP="003A7160" w:rsidRDefault="00420270" w14:paraId="083454A8" w14:textId="77777777"/>
    <w:p w:rsidR="009F57B8" w:rsidP="003A7160" w:rsidRDefault="009F57B8" w14:paraId="3D9720CD" w14:textId="77777777"/>
    <w:p w:rsidR="009F57B8" w:rsidP="003A7160" w:rsidRDefault="009F57B8" w14:paraId="329CD437" w14:textId="77777777"/>
    <w:p w:rsidR="00420270" w:rsidP="00420270" w:rsidRDefault="00420270" w14:paraId="476C5FB5" w14:textId="3F665800">
      <w:pPr>
        <w:rPr>
          <w:b/>
          <w:bCs/>
          <w:szCs w:val="18"/>
        </w:rPr>
      </w:pPr>
      <w:r>
        <w:rPr>
          <w:b/>
          <w:bCs/>
          <w:szCs w:val="18"/>
        </w:rPr>
        <w:t>27 923</w:t>
      </w:r>
      <w:r>
        <w:rPr>
          <w:b/>
          <w:bCs/>
          <w:szCs w:val="18"/>
        </w:rPr>
        <w:tab/>
        <w:t xml:space="preserve"> Werken in het onderwijs</w:t>
      </w:r>
    </w:p>
    <w:p w:rsidRPr="00420270" w:rsidR="00420270" w:rsidP="00420270" w:rsidRDefault="00420270" w14:paraId="429F6EF0" w14:textId="77777777">
      <w:pPr>
        <w:rPr>
          <w:b/>
          <w:bCs/>
          <w:szCs w:val="18"/>
        </w:rPr>
      </w:pPr>
    </w:p>
    <w:p w:rsidRPr="000F2477" w:rsidR="00420270" w:rsidP="00420270" w:rsidRDefault="00420270" w14:paraId="42BFBD66" w14:textId="2F03FF78">
      <w:pPr>
        <w:rPr>
          <w:szCs w:val="18"/>
        </w:rPr>
      </w:pPr>
      <w:r w:rsidRPr="000F2477">
        <w:rPr>
          <w:szCs w:val="18"/>
        </w:rPr>
        <w:t xml:space="preserve">nr. </w:t>
      </w:r>
      <w:r w:rsidRPr="000F2477">
        <w:rPr>
          <w:szCs w:val="18"/>
        </w:rPr>
        <w:tab/>
      </w:r>
      <w:r w:rsidRPr="000F2477">
        <w:rPr>
          <w:szCs w:val="18"/>
        </w:rPr>
        <w:tab/>
        <w:t>Lijst van vragen en antwoorden</w:t>
      </w:r>
    </w:p>
    <w:p w:rsidRPr="000F2477" w:rsidR="00420270" w:rsidP="00420270" w:rsidRDefault="00420270" w14:paraId="50D1B783" w14:textId="77777777">
      <w:pPr>
        <w:rPr>
          <w:szCs w:val="18"/>
        </w:rPr>
      </w:pPr>
      <w:r w:rsidRPr="000F2477">
        <w:rPr>
          <w:szCs w:val="18"/>
        </w:rPr>
        <w:tab/>
      </w:r>
      <w:r w:rsidRPr="000F2477">
        <w:rPr>
          <w:szCs w:val="18"/>
        </w:rPr>
        <w:tab/>
      </w:r>
    </w:p>
    <w:p w:rsidRPr="000F2477" w:rsidR="00420270" w:rsidP="00420270" w:rsidRDefault="00420270" w14:paraId="187A050B" w14:textId="77777777">
      <w:pPr>
        <w:ind w:left="1440"/>
        <w:rPr>
          <w:i/>
          <w:iCs/>
          <w:szCs w:val="18"/>
        </w:rPr>
      </w:pPr>
      <w:r w:rsidRPr="000F2477">
        <w:rPr>
          <w:i/>
          <w:iCs/>
          <w:szCs w:val="18"/>
        </w:rPr>
        <w:t>Vastgesteld (wordt door griffie ingevuld als antwoorden er zijn)</w:t>
      </w:r>
    </w:p>
    <w:p w:rsidRPr="000F2477" w:rsidR="00420270" w:rsidP="00420270" w:rsidRDefault="00420270" w14:paraId="1C20326B" w14:textId="77777777">
      <w:pPr>
        <w:ind w:left="1440"/>
        <w:rPr>
          <w:szCs w:val="18"/>
        </w:rPr>
      </w:pPr>
    </w:p>
    <w:p w:rsidRPr="000F2477" w:rsidR="00420270" w:rsidP="00420270" w:rsidRDefault="00420270" w14:paraId="1A3AE7EC" w14:textId="77777777">
      <w:pPr>
        <w:ind w:left="1440"/>
        <w:rPr>
          <w:szCs w:val="18"/>
        </w:rPr>
      </w:pPr>
      <w:r w:rsidRPr="000F2477">
        <w:rPr>
          <w:szCs w:val="18"/>
        </w:rPr>
        <w:t>De vaste commissie voor Onderwijs, Cultuur en Wetenschap heeft een aantal vragen voorgelegd aan de minister van Onderwijs, Cultuur en Wetenschap en de minister voor Primair en Voortgezet Onderwijs over de brief d.d. 26 juni 2024 inzake de Voortgang Lerarenstrategie juni 2024 (Kamerstuk 27 923, nr. 492).</w:t>
      </w:r>
    </w:p>
    <w:p w:rsidRPr="000F2477" w:rsidR="00420270" w:rsidP="00420270" w:rsidRDefault="00420270" w14:paraId="60E01349" w14:textId="77777777">
      <w:pPr>
        <w:ind w:left="1440"/>
        <w:rPr>
          <w:szCs w:val="18"/>
        </w:rPr>
      </w:pPr>
      <w:r w:rsidRPr="000F2477">
        <w:rPr>
          <w:szCs w:val="18"/>
        </w:rPr>
        <w:t>De daarop door de minister van Onderwijs, Cultuur en Wetenschap en de staatssecretaris van Onderwijs, Cultuur en Wetenschap gegeven antwoorden zijn hierbij afgedrukt.</w:t>
      </w:r>
    </w:p>
    <w:p w:rsidRPr="000F2477" w:rsidR="00420270" w:rsidP="00420270" w:rsidRDefault="00420270" w14:paraId="0F50CD76" w14:textId="77777777">
      <w:pPr>
        <w:ind w:left="1440"/>
        <w:rPr>
          <w:szCs w:val="18"/>
        </w:rPr>
      </w:pPr>
    </w:p>
    <w:p w:rsidRPr="000F2477" w:rsidR="00420270" w:rsidP="00420270" w:rsidRDefault="00420270" w14:paraId="29E6D799" w14:textId="77777777">
      <w:pPr>
        <w:ind w:left="1440"/>
        <w:rPr>
          <w:szCs w:val="18"/>
        </w:rPr>
      </w:pPr>
      <w:r w:rsidRPr="000F2477">
        <w:rPr>
          <w:szCs w:val="18"/>
        </w:rPr>
        <w:t>De fungerend voorzitter van de commissie,</w:t>
      </w:r>
    </w:p>
    <w:p w:rsidRPr="000F2477" w:rsidR="00420270" w:rsidP="00420270" w:rsidRDefault="00420270" w14:paraId="17E9D71C" w14:textId="77777777">
      <w:pPr>
        <w:ind w:left="1440"/>
        <w:rPr>
          <w:szCs w:val="18"/>
        </w:rPr>
      </w:pPr>
      <w:r w:rsidRPr="000F2477">
        <w:rPr>
          <w:szCs w:val="18"/>
        </w:rPr>
        <w:t>Michon-Derkzen</w:t>
      </w:r>
    </w:p>
    <w:p w:rsidRPr="000F2477" w:rsidR="00420270" w:rsidP="00420270" w:rsidRDefault="00420270" w14:paraId="00EE0E70" w14:textId="77777777">
      <w:pPr>
        <w:ind w:left="1440"/>
        <w:rPr>
          <w:szCs w:val="18"/>
        </w:rPr>
      </w:pPr>
    </w:p>
    <w:p w:rsidRPr="000F2477" w:rsidR="00420270" w:rsidP="00420270" w:rsidRDefault="00420270" w14:paraId="47AC9A2E" w14:textId="77777777">
      <w:pPr>
        <w:ind w:left="1440"/>
        <w:rPr>
          <w:szCs w:val="18"/>
        </w:rPr>
      </w:pPr>
      <w:r w:rsidRPr="000F2477">
        <w:rPr>
          <w:szCs w:val="18"/>
        </w:rPr>
        <w:t>Adjunct-griffier van de commissie,</w:t>
      </w:r>
    </w:p>
    <w:p w:rsidRPr="000F2477" w:rsidR="00420270" w:rsidP="00420270" w:rsidRDefault="00420270" w14:paraId="43A3B918" w14:textId="77777777">
      <w:pPr>
        <w:ind w:left="1440"/>
        <w:rPr>
          <w:szCs w:val="18"/>
        </w:rPr>
      </w:pPr>
      <w:r w:rsidRPr="000F2477">
        <w:rPr>
          <w:szCs w:val="18"/>
        </w:rPr>
        <w:t>Bosnjakovic</w:t>
      </w:r>
    </w:p>
    <w:p w:rsidR="00420270" w:rsidP="003A7160" w:rsidRDefault="00420270" w14:paraId="190BEE95" w14:textId="77777777"/>
    <w:p w:rsidR="00C7013F" w:rsidP="003A7160" w:rsidRDefault="00C7013F" w14:paraId="14BDE8BC" w14:textId="77777777"/>
    <w:p w:rsidR="00184B30" w:rsidP="00A60B58" w:rsidRDefault="00184B30" w14:paraId="54962899" w14:textId="77777777"/>
    <w:p w:rsidRPr="000F2477" w:rsidR="00F67DA3" w:rsidP="00F67DA3" w:rsidRDefault="00F67DA3" w14:paraId="1D0DD88C" w14:textId="77777777">
      <w:pPr>
        <w:ind w:left="1440"/>
        <w:rPr>
          <w:szCs w:val="18"/>
        </w:rPr>
      </w:pPr>
    </w:p>
    <w:p w:rsidRPr="000F2477" w:rsidR="00F67DA3" w:rsidP="00F67DA3" w:rsidRDefault="00F67DA3" w14:paraId="3739219E" w14:textId="77777777">
      <w:pPr>
        <w:ind w:left="720" w:firstLine="720"/>
        <w:rPr>
          <w:szCs w:val="18"/>
        </w:rPr>
      </w:pP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0F2477" w:rsidR="00F67DA3" w:rsidTr="00104D6D" w14:paraId="7C994E4D" w14:textId="77777777">
        <w:trPr>
          <w:cantSplit/>
        </w:trPr>
        <w:tc>
          <w:tcPr>
            <w:tcW w:w="567" w:type="dxa"/>
          </w:tcPr>
          <w:p w:rsidRPr="00556A01" w:rsidR="00F67DA3" w:rsidP="00104D6D" w:rsidRDefault="00F67DA3" w14:paraId="25CB6B10" w14:textId="77777777">
            <w:pPr>
              <w:rPr>
                <w:b/>
                <w:bCs/>
                <w:szCs w:val="18"/>
              </w:rPr>
            </w:pPr>
            <w:bookmarkStart w:name="bmkStartTabel" w:id="0"/>
            <w:bookmarkEnd w:id="0"/>
            <w:r w:rsidRPr="00556A01">
              <w:rPr>
                <w:b/>
                <w:bCs/>
                <w:szCs w:val="18"/>
              </w:rPr>
              <w:t>Nr</w:t>
            </w:r>
          </w:p>
        </w:tc>
        <w:tc>
          <w:tcPr>
            <w:tcW w:w="6521" w:type="dxa"/>
          </w:tcPr>
          <w:p w:rsidR="00F67DA3" w:rsidP="00104D6D" w:rsidRDefault="00F67DA3" w14:paraId="07D7154A" w14:textId="77777777">
            <w:pPr>
              <w:rPr>
                <w:b/>
                <w:bCs/>
                <w:szCs w:val="18"/>
              </w:rPr>
            </w:pPr>
            <w:r w:rsidRPr="00456911">
              <w:rPr>
                <w:b/>
                <w:bCs/>
                <w:szCs w:val="18"/>
              </w:rPr>
              <w:t>Vraag</w:t>
            </w:r>
          </w:p>
          <w:p w:rsidRPr="00456911" w:rsidR="00F67DA3" w:rsidP="00104D6D" w:rsidRDefault="00F67DA3" w14:paraId="61586E81" w14:textId="77777777">
            <w:pPr>
              <w:rPr>
                <w:b/>
                <w:bCs/>
                <w:szCs w:val="18"/>
              </w:rPr>
            </w:pPr>
          </w:p>
        </w:tc>
        <w:tc>
          <w:tcPr>
            <w:tcW w:w="850" w:type="dxa"/>
          </w:tcPr>
          <w:p w:rsidRPr="000F2477" w:rsidR="00F67DA3" w:rsidP="00104D6D" w:rsidRDefault="00F67DA3" w14:paraId="189434AA" w14:textId="77777777">
            <w:pPr>
              <w:jc w:val="right"/>
              <w:rPr>
                <w:szCs w:val="18"/>
              </w:rPr>
            </w:pPr>
            <w:r w:rsidRPr="000F2477">
              <w:rPr>
                <w:szCs w:val="18"/>
              </w:rPr>
              <w:t>Bijlage</w:t>
            </w:r>
          </w:p>
        </w:tc>
        <w:tc>
          <w:tcPr>
            <w:tcW w:w="992" w:type="dxa"/>
          </w:tcPr>
          <w:p w:rsidRPr="000F2477" w:rsidR="00F67DA3" w:rsidP="00104D6D" w:rsidRDefault="00F67DA3" w14:paraId="08B52385" w14:textId="77777777">
            <w:pPr>
              <w:jc w:val="right"/>
              <w:rPr>
                <w:szCs w:val="18"/>
              </w:rPr>
            </w:pPr>
            <w:r w:rsidRPr="000F2477">
              <w:rPr>
                <w:szCs w:val="18"/>
              </w:rPr>
              <w:t>Blz. (van)</w:t>
            </w:r>
          </w:p>
        </w:tc>
        <w:tc>
          <w:tcPr>
            <w:tcW w:w="567" w:type="dxa"/>
          </w:tcPr>
          <w:p w:rsidRPr="000F2477" w:rsidR="00F67DA3" w:rsidP="00104D6D" w:rsidRDefault="00F67DA3" w14:paraId="28205CEA" w14:textId="77777777">
            <w:pPr>
              <w:jc w:val="center"/>
              <w:rPr>
                <w:szCs w:val="18"/>
              </w:rPr>
            </w:pPr>
            <w:r w:rsidRPr="000F2477">
              <w:rPr>
                <w:szCs w:val="18"/>
              </w:rPr>
              <w:t>t/m</w:t>
            </w:r>
          </w:p>
        </w:tc>
      </w:tr>
      <w:tr w:rsidRPr="000F2477" w:rsidR="00F67DA3" w:rsidTr="00104D6D" w14:paraId="3FF24224" w14:textId="77777777">
        <w:tc>
          <w:tcPr>
            <w:tcW w:w="567" w:type="dxa"/>
          </w:tcPr>
          <w:p w:rsidR="00F67DA3" w:rsidP="00104D6D" w:rsidRDefault="00F67DA3" w14:paraId="205DE340" w14:textId="77777777">
            <w:pPr>
              <w:rPr>
                <w:b/>
                <w:bCs/>
                <w:szCs w:val="18"/>
              </w:rPr>
            </w:pPr>
          </w:p>
          <w:p w:rsidRPr="00556A01" w:rsidR="00F67DA3" w:rsidP="00104D6D" w:rsidRDefault="00F67DA3" w14:paraId="4CE3CAB7" w14:textId="77777777">
            <w:pPr>
              <w:rPr>
                <w:b/>
                <w:bCs/>
                <w:szCs w:val="18"/>
              </w:rPr>
            </w:pPr>
            <w:r>
              <w:rPr>
                <w:b/>
                <w:bCs/>
                <w:szCs w:val="18"/>
              </w:rPr>
              <w:t>1</w:t>
            </w:r>
          </w:p>
        </w:tc>
        <w:tc>
          <w:tcPr>
            <w:tcW w:w="6521" w:type="dxa"/>
          </w:tcPr>
          <w:p w:rsidRPr="000B238B" w:rsidR="00F67DA3" w:rsidP="00104D6D" w:rsidRDefault="00F67DA3" w14:paraId="59E4BEB9" w14:textId="77777777">
            <w:pPr>
              <w:rPr>
                <w:b/>
                <w:bCs/>
                <w:szCs w:val="18"/>
              </w:rPr>
            </w:pPr>
            <w:r w:rsidRPr="000B238B">
              <w:rPr>
                <w:b/>
                <w:bCs/>
                <w:szCs w:val="18"/>
              </w:rPr>
              <w:t>Wanneer ontvangt de Kamer de beleidsreactie op het Onderwijsraadadvies ‘Schaarste Schuurt’ van juni 2023?</w:t>
            </w:r>
          </w:p>
          <w:p w:rsidRPr="000B238B" w:rsidR="00F67DA3" w:rsidP="00104D6D" w:rsidRDefault="00F67DA3" w14:paraId="37759CCB" w14:textId="77777777">
            <w:pPr>
              <w:rPr>
                <w:szCs w:val="18"/>
              </w:rPr>
            </w:pPr>
          </w:p>
          <w:p w:rsidR="00F67DA3" w:rsidP="00104D6D" w:rsidRDefault="00F67DA3" w14:paraId="360CEC91" w14:textId="1427D8DA">
            <w:pPr>
              <w:rPr>
                <w:szCs w:val="18"/>
              </w:rPr>
            </w:pPr>
            <w:r>
              <w:rPr>
                <w:szCs w:val="18"/>
              </w:rPr>
              <w:t xml:space="preserve">De opbrengsten </w:t>
            </w:r>
            <w:r w:rsidR="00557B1F">
              <w:rPr>
                <w:szCs w:val="18"/>
              </w:rPr>
              <w:t xml:space="preserve">van bijeenkomsten georganiseerd naar aanleiding van ‘Schaarste Schuurt’ </w:t>
            </w:r>
            <w:r>
              <w:rPr>
                <w:szCs w:val="18"/>
              </w:rPr>
              <w:t xml:space="preserve">worden meegenomen in het bredere Herstelplan Kwaliteit Onderwijs dat aangekondigd is in het hoofdlijnenakkoord. </w:t>
            </w:r>
          </w:p>
          <w:p w:rsidRPr="000B238B" w:rsidR="00F67DA3" w:rsidP="00104D6D" w:rsidRDefault="00F67DA3" w14:paraId="28DC41D5" w14:textId="77777777">
            <w:pPr>
              <w:rPr>
                <w:szCs w:val="18"/>
              </w:rPr>
            </w:pPr>
          </w:p>
        </w:tc>
        <w:tc>
          <w:tcPr>
            <w:tcW w:w="850" w:type="dxa"/>
          </w:tcPr>
          <w:p w:rsidRPr="000F2477" w:rsidR="00F67DA3" w:rsidP="00104D6D" w:rsidRDefault="00F67DA3" w14:paraId="24D642FA" w14:textId="77777777">
            <w:pPr>
              <w:jc w:val="right"/>
              <w:rPr>
                <w:szCs w:val="18"/>
              </w:rPr>
            </w:pPr>
          </w:p>
        </w:tc>
        <w:tc>
          <w:tcPr>
            <w:tcW w:w="992" w:type="dxa"/>
          </w:tcPr>
          <w:p w:rsidRPr="000F2477" w:rsidR="00F67DA3" w:rsidP="00104D6D" w:rsidRDefault="00F67DA3" w14:paraId="4AD425F2" w14:textId="77777777">
            <w:pPr>
              <w:jc w:val="right"/>
              <w:rPr>
                <w:szCs w:val="18"/>
              </w:rPr>
            </w:pPr>
          </w:p>
        </w:tc>
        <w:tc>
          <w:tcPr>
            <w:tcW w:w="567" w:type="dxa"/>
            <w:tcBorders>
              <w:left w:val="nil"/>
            </w:tcBorders>
          </w:tcPr>
          <w:p w:rsidRPr="000F2477" w:rsidR="00F67DA3" w:rsidP="00104D6D" w:rsidRDefault="00F67DA3" w14:paraId="47C08670" w14:textId="77777777">
            <w:pPr>
              <w:jc w:val="right"/>
              <w:rPr>
                <w:szCs w:val="18"/>
              </w:rPr>
            </w:pPr>
          </w:p>
        </w:tc>
      </w:tr>
      <w:tr w:rsidRPr="000F2477" w:rsidR="00F67DA3" w:rsidTr="00104D6D" w14:paraId="4C737364" w14:textId="77777777">
        <w:tc>
          <w:tcPr>
            <w:tcW w:w="567" w:type="dxa"/>
          </w:tcPr>
          <w:p w:rsidRPr="00C04C3E" w:rsidR="00F67DA3" w:rsidP="00104D6D" w:rsidRDefault="00F67DA3" w14:paraId="4BE0358C" w14:textId="77777777">
            <w:pPr>
              <w:rPr>
                <w:b/>
                <w:bCs/>
                <w:szCs w:val="18"/>
              </w:rPr>
            </w:pPr>
            <w:r w:rsidRPr="00C04C3E">
              <w:rPr>
                <w:b/>
                <w:bCs/>
                <w:szCs w:val="18"/>
              </w:rPr>
              <w:t>2</w:t>
            </w:r>
          </w:p>
        </w:tc>
        <w:tc>
          <w:tcPr>
            <w:tcW w:w="6521" w:type="dxa"/>
          </w:tcPr>
          <w:p w:rsidRPr="00EE357A" w:rsidR="00F67DA3" w:rsidP="00104D6D" w:rsidRDefault="00F67DA3" w14:paraId="737306DC" w14:textId="77777777">
            <w:pPr>
              <w:rPr>
                <w:b/>
                <w:bCs/>
                <w:color w:val="000000" w:themeColor="text1"/>
                <w:szCs w:val="18"/>
              </w:rPr>
            </w:pPr>
            <w:r w:rsidRPr="00EE357A">
              <w:rPr>
                <w:b/>
                <w:bCs/>
                <w:color w:val="000000" w:themeColor="text1"/>
                <w:szCs w:val="18"/>
              </w:rPr>
              <w:t>Wat zijn de resultaten van pabo-opleidingen omtrent de differentiatie tussen het oude en jonge kind?</w:t>
            </w:r>
          </w:p>
          <w:p w:rsidRPr="00EE357A" w:rsidR="00F67DA3" w:rsidP="00104D6D" w:rsidRDefault="00F67DA3" w14:paraId="1EDB1F4F" w14:textId="77777777">
            <w:pPr>
              <w:rPr>
                <w:b/>
                <w:bCs/>
                <w:color w:val="000000" w:themeColor="text1"/>
                <w:szCs w:val="18"/>
              </w:rPr>
            </w:pPr>
          </w:p>
          <w:p w:rsidRPr="00EE357A" w:rsidR="00F67DA3" w:rsidP="00104D6D" w:rsidRDefault="00F67DA3" w14:paraId="574CD710" w14:textId="634AA969">
            <w:pPr>
              <w:rPr>
                <w:rFonts w:ascii="Calibri" w:hAnsi="Calibri"/>
                <w:color w:val="000000" w:themeColor="text1"/>
                <w:szCs w:val="18"/>
              </w:rPr>
            </w:pPr>
            <w:r w:rsidRPr="00EE357A">
              <w:rPr>
                <w:color w:val="000000" w:themeColor="text1"/>
                <w:szCs w:val="18"/>
              </w:rPr>
              <w:t>In 2020 tot en met 2022 zijn pilots ingericht met als doel de reeds bestaande leeftijdsspecialisaties op de pabo’s te verdiepen. Deze pilots zijn in augustus 2021 en oktober 2022 geëvalueerd</w:t>
            </w:r>
            <w:r w:rsidRPr="00EE357A">
              <w:rPr>
                <w:rStyle w:val="Voetnootmarkering"/>
                <w:color w:val="000000" w:themeColor="text1"/>
                <w:szCs w:val="18"/>
              </w:rPr>
              <w:footnoteReference w:id="2"/>
            </w:r>
            <w:r w:rsidRPr="00EE357A">
              <w:rPr>
                <w:color w:val="000000" w:themeColor="text1"/>
                <w:szCs w:val="18"/>
              </w:rPr>
              <w:t xml:space="preserve"> en gaven aanleiding tot het verder verstevigen en eerder aanbieden van leeftijdsspecialisaties binnen de bestaande opleidingen. In 2022 is daarom aangekondigd dat alle pabo’s toewerken naar een landelijk specialisatiemodel. In dit model wordt met behoud van de brede bevoegdheid in minimaal de helft van de opleidingstijd geprofileerd op een leeftijdsgroep. </w:t>
            </w:r>
            <w:r w:rsidR="00602303">
              <w:rPr>
                <w:color w:val="000000" w:themeColor="text1"/>
                <w:szCs w:val="18"/>
              </w:rPr>
              <w:t xml:space="preserve">Alle pabo’s bieden inmiddels een leeftijdsspecialisatie aan. De omvang hiervan verschilt echter nog. We </w:t>
            </w:r>
            <w:r w:rsidR="00602303">
              <w:rPr>
                <w:color w:val="000000" w:themeColor="text1"/>
                <w:szCs w:val="18"/>
              </w:rPr>
              <w:lastRenderedPageBreak/>
              <w:t xml:space="preserve">blijven pabo’s stimuleren om zo snel mogelijk aan hun eigen ambitie van het landelijk specialisatiemodel te voldoen. </w:t>
            </w:r>
            <w:r w:rsidRPr="00EE357A">
              <w:rPr>
                <w:color w:val="000000" w:themeColor="text1"/>
                <w:szCs w:val="18"/>
              </w:rPr>
              <w:t>Daarnaast sluit het aanbod in een doorlopende leerlijn aan op leeftijdsgebonden post-hbo aanbod. In de herijking van de kennisbases van de lerarenopleiding basisonderwijs, die onlangs is gestart met de leergebieden Nederlands en rekenen en wiskunde, wordt per leergebied onderscheid gemaakt welke inhoud relevant is voor het jonge kind en het oude</w:t>
            </w:r>
            <w:r w:rsidR="006F25A1">
              <w:rPr>
                <w:color w:val="000000" w:themeColor="text1"/>
                <w:szCs w:val="18"/>
              </w:rPr>
              <w:t>re</w:t>
            </w:r>
            <w:r w:rsidRPr="00EE357A">
              <w:rPr>
                <w:color w:val="000000" w:themeColor="text1"/>
                <w:szCs w:val="18"/>
              </w:rPr>
              <w:t xml:space="preserve"> kind. Tot slot zijn de landelijke expertisecentra jonge kind en po-vo opgericht die onder andere bijdragen aan de doorontwikkeling van opleidingsaanbod voor leeftijdsprofilering- en specialisatie. </w:t>
            </w:r>
            <w:r w:rsidR="006F25A1">
              <w:rPr>
                <w:color w:val="000000" w:themeColor="text1"/>
                <w:szCs w:val="18"/>
              </w:rPr>
              <w:t>Dit najaar sturen we uw Kamer een hoofdlijnennotitie over de uitwerking van de motie De Kort c.s.</w:t>
            </w:r>
            <w:r w:rsidR="009711AD">
              <w:rPr>
                <w:rStyle w:val="Voetnootmarkering"/>
                <w:color w:val="000000" w:themeColor="text1"/>
                <w:szCs w:val="18"/>
              </w:rPr>
              <w:footnoteReference w:id="3"/>
            </w:r>
            <w:r w:rsidR="006F25A1">
              <w:rPr>
                <w:color w:val="000000" w:themeColor="text1"/>
                <w:szCs w:val="18"/>
              </w:rPr>
              <w:t xml:space="preserve"> en het regeerprogramma om nieuwe opleidingen voor het jonge en oudere kind mogelijk te maken. Hierin worden de belangrijkste uit te werken fundamentele keuzes geschetst en bij u in gesprek gebracht.</w:t>
            </w:r>
          </w:p>
          <w:p w:rsidRPr="00EE357A" w:rsidR="00F67DA3" w:rsidP="00104D6D" w:rsidRDefault="00F67DA3" w14:paraId="39E377F3" w14:textId="77777777">
            <w:pPr>
              <w:rPr>
                <w:color w:val="000000" w:themeColor="text1"/>
                <w:szCs w:val="18"/>
              </w:rPr>
            </w:pPr>
          </w:p>
        </w:tc>
        <w:tc>
          <w:tcPr>
            <w:tcW w:w="850" w:type="dxa"/>
          </w:tcPr>
          <w:p w:rsidRPr="000F2477" w:rsidR="00F67DA3" w:rsidP="00104D6D" w:rsidRDefault="00F67DA3" w14:paraId="667D77C5" w14:textId="77777777">
            <w:pPr>
              <w:jc w:val="right"/>
              <w:rPr>
                <w:szCs w:val="18"/>
              </w:rPr>
            </w:pPr>
          </w:p>
        </w:tc>
        <w:tc>
          <w:tcPr>
            <w:tcW w:w="992" w:type="dxa"/>
          </w:tcPr>
          <w:p w:rsidRPr="000F2477" w:rsidR="00F67DA3" w:rsidP="00104D6D" w:rsidRDefault="00F67DA3" w14:paraId="7668C03E" w14:textId="77777777">
            <w:pPr>
              <w:jc w:val="right"/>
              <w:rPr>
                <w:szCs w:val="18"/>
              </w:rPr>
            </w:pPr>
          </w:p>
        </w:tc>
        <w:tc>
          <w:tcPr>
            <w:tcW w:w="567" w:type="dxa"/>
            <w:tcBorders>
              <w:left w:val="nil"/>
            </w:tcBorders>
          </w:tcPr>
          <w:p w:rsidRPr="000F2477" w:rsidR="00F67DA3" w:rsidP="00104D6D" w:rsidRDefault="00F67DA3" w14:paraId="2BA3F825" w14:textId="77777777">
            <w:pPr>
              <w:jc w:val="right"/>
              <w:rPr>
                <w:szCs w:val="18"/>
              </w:rPr>
            </w:pPr>
          </w:p>
        </w:tc>
      </w:tr>
      <w:tr w:rsidRPr="000F2477" w:rsidR="00F67DA3" w:rsidTr="00104D6D" w14:paraId="7E4B8950" w14:textId="77777777">
        <w:tc>
          <w:tcPr>
            <w:tcW w:w="567" w:type="dxa"/>
          </w:tcPr>
          <w:p w:rsidRPr="00556A01" w:rsidR="00F67DA3" w:rsidP="00104D6D" w:rsidRDefault="00F67DA3" w14:paraId="041E95E7" w14:textId="77777777">
            <w:pPr>
              <w:rPr>
                <w:b/>
                <w:bCs/>
                <w:szCs w:val="18"/>
              </w:rPr>
            </w:pPr>
            <w:r w:rsidRPr="00556A01">
              <w:rPr>
                <w:b/>
                <w:bCs/>
                <w:szCs w:val="18"/>
              </w:rPr>
              <w:t>3</w:t>
            </w:r>
          </w:p>
        </w:tc>
        <w:tc>
          <w:tcPr>
            <w:tcW w:w="6521" w:type="dxa"/>
          </w:tcPr>
          <w:p w:rsidRPr="00EE357A" w:rsidR="00F67DA3" w:rsidP="00104D6D" w:rsidRDefault="00F67DA3" w14:paraId="246978D7" w14:textId="77777777">
            <w:pPr>
              <w:rPr>
                <w:b/>
                <w:bCs/>
                <w:color w:val="000000" w:themeColor="text1"/>
                <w:szCs w:val="18"/>
              </w:rPr>
            </w:pPr>
            <w:r w:rsidRPr="00EE357A">
              <w:rPr>
                <w:b/>
                <w:bCs/>
                <w:color w:val="000000" w:themeColor="text1"/>
                <w:szCs w:val="18"/>
              </w:rPr>
              <w:t>Welke "scherpe keuzes om de belasting van leraren terug te brengen"</w:t>
            </w:r>
            <w:r w:rsidRPr="00EE357A">
              <w:rPr>
                <w:color w:val="000000" w:themeColor="text1"/>
                <w:szCs w:val="18"/>
              </w:rPr>
              <w:t xml:space="preserve"> </w:t>
            </w:r>
            <w:r w:rsidRPr="00EE357A">
              <w:rPr>
                <w:b/>
                <w:bCs/>
                <w:color w:val="000000" w:themeColor="text1"/>
                <w:szCs w:val="18"/>
              </w:rPr>
              <w:t>bedoelt u precies?</w:t>
            </w:r>
          </w:p>
          <w:p w:rsidRPr="00EE357A" w:rsidR="00F67DA3" w:rsidP="00104D6D" w:rsidRDefault="00F67DA3" w14:paraId="7D4D933D" w14:textId="77777777">
            <w:pPr>
              <w:rPr>
                <w:b/>
                <w:bCs/>
                <w:color w:val="000000" w:themeColor="text1"/>
                <w:szCs w:val="18"/>
              </w:rPr>
            </w:pPr>
          </w:p>
          <w:p w:rsidRPr="00EE357A" w:rsidR="00F67DA3" w:rsidP="00104D6D" w:rsidRDefault="00F67DA3" w14:paraId="241681C6" w14:textId="1B618234">
            <w:pPr>
              <w:rPr>
                <w:color w:val="000000" w:themeColor="text1"/>
                <w:szCs w:val="18"/>
              </w:rPr>
            </w:pPr>
            <w:r w:rsidRPr="00EE357A">
              <w:rPr>
                <w:color w:val="000000" w:themeColor="text1"/>
                <w:szCs w:val="18"/>
              </w:rPr>
              <w:t>Leraren moeten zich kunnen focussen op het geven en voorbereiden van goede lessen. De impact op de belasting van leraren speelt daarom bij</w:t>
            </w:r>
            <w:r>
              <w:rPr>
                <w:color w:val="000000" w:themeColor="text1"/>
                <w:szCs w:val="18"/>
              </w:rPr>
              <w:t xml:space="preserve"> </w:t>
            </w:r>
            <w:r w:rsidRPr="00EE357A">
              <w:rPr>
                <w:color w:val="000000" w:themeColor="text1"/>
                <w:szCs w:val="18"/>
              </w:rPr>
              <w:t>beleidskeuze</w:t>
            </w:r>
            <w:r>
              <w:rPr>
                <w:color w:val="000000" w:themeColor="text1"/>
                <w:szCs w:val="18"/>
              </w:rPr>
              <w:t>s</w:t>
            </w:r>
            <w:r w:rsidRPr="00EE357A">
              <w:rPr>
                <w:color w:val="000000" w:themeColor="text1"/>
                <w:szCs w:val="18"/>
              </w:rPr>
              <w:t xml:space="preserve"> in het onderwijs een belangrijke rol. Een aantal specifieke trajecten ondersteunt dit doel. Zo wordt er onder andere gewerkt aan de herziening van het curriculum. Uit onderzoeken blijkt dat het huidige curriculum kan bijdragen aan een gevoel van overladenheid. Dit kan komen door te globaal geformuleerde doelen en onduidelijkheid over wat er moet en mag. De curriculumbijstelling biedt heldere kaders om overladenheid te voorkomen: concretere kerndoelen</w:t>
            </w:r>
            <w:r w:rsidR="00773092">
              <w:rPr>
                <w:color w:val="000000" w:themeColor="text1"/>
                <w:szCs w:val="18"/>
              </w:rPr>
              <w:t xml:space="preserve"> - met focus op lezen, schrijven en rekenen -</w:t>
            </w:r>
            <w:r w:rsidRPr="00EE357A">
              <w:rPr>
                <w:color w:val="000000" w:themeColor="text1"/>
                <w:szCs w:val="18"/>
              </w:rPr>
              <w:t>, afbakening van de tijd en het beproeven van conceptdoelen om de bruikbaarheid en haalbaarheid te verzekeren. Daarnaast werken we aan het bijstellen van de deugdelijkheidseisen</w:t>
            </w:r>
            <w:r w:rsidR="00DE778F">
              <w:rPr>
                <w:color w:val="000000" w:themeColor="text1"/>
                <w:szCs w:val="18"/>
              </w:rPr>
              <w:t>.</w:t>
            </w:r>
            <w:r w:rsidRPr="00EE357A">
              <w:rPr>
                <w:color w:val="000000" w:themeColor="text1"/>
                <w:szCs w:val="18"/>
              </w:rPr>
              <w:t xml:space="preserve"> </w:t>
            </w:r>
            <w:r w:rsidR="00DE778F">
              <w:rPr>
                <w:color w:val="000000" w:themeColor="text1"/>
                <w:szCs w:val="18"/>
              </w:rPr>
              <w:t>Hierbij</w:t>
            </w:r>
            <w:r w:rsidRPr="00EE357A" w:rsidR="00DE778F">
              <w:rPr>
                <w:color w:val="000000" w:themeColor="text1"/>
                <w:szCs w:val="18"/>
              </w:rPr>
              <w:t xml:space="preserve"> </w:t>
            </w:r>
            <w:r w:rsidRPr="00EE357A">
              <w:rPr>
                <w:color w:val="000000" w:themeColor="text1"/>
                <w:szCs w:val="18"/>
              </w:rPr>
              <w:t xml:space="preserve">wordt gewogen of de wettelijke eisen zich op de juiste zaken richten, concreet genoeg zijn en of ze nog voldoende focus bieden. Administratie wordt consequent benoemd als belangrijke bron van werkdruk. Daarom wordt op dit moment voor zowel po, vo, mbo en </w:t>
            </w:r>
            <w:r w:rsidR="00304F54">
              <w:rPr>
                <w:color w:val="000000" w:themeColor="text1"/>
                <w:szCs w:val="18"/>
              </w:rPr>
              <w:t>(voortgezet) speciaal onderwijs (</w:t>
            </w:r>
            <w:r>
              <w:rPr>
                <w:color w:val="000000" w:themeColor="text1"/>
                <w:szCs w:val="18"/>
              </w:rPr>
              <w:t>(v)</w:t>
            </w:r>
            <w:r w:rsidRPr="00EE357A">
              <w:rPr>
                <w:color w:val="000000" w:themeColor="text1"/>
                <w:szCs w:val="18"/>
              </w:rPr>
              <w:t>so</w:t>
            </w:r>
            <w:r w:rsidR="00304F54">
              <w:rPr>
                <w:color w:val="000000" w:themeColor="text1"/>
                <w:szCs w:val="18"/>
              </w:rPr>
              <w:t>)</w:t>
            </w:r>
            <w:r w:rsidRPr="00EE357A">
              <w:rPr>
                <w:color w:val="000000" w:themeColor="text1"/>
                <w:szCs w:val="18"/>
              </w:rPr>
              <w:t xml:space="preserve"> in kaart gebracht welke administratieve lasten leraren in de weg staan. We gaan bezien waar deze administratie vandaan komt en wat we verder kunnen doen om de lasten voor leraren te verlagen. Voor po is dit onderzoek opgestart op initiatief van de Algemene Rekenkamer.</w:t>
            </w:r>
            <w:r w:rsidR="00686DE3">
              <w:rPr>
                <w:color w:val="000000" w:themeColor="text1"/>
                <w:szCs w:val="18"/>
              </w:rPr>
              <w:t xml:space="preserve"> De resultaten van het onderzoek in het mbo zijn naar verwachting nog dit jaar beschikbaar, de resultaten van de andere onderzoeken in het voorjaar van 2025.</w:t>
            </w:r>
            <w:r w:rsidRPr="00EE357A">
              <w:rPr>
                <w:color w:val="000000" w:themeColor="text1"/>
                <w:szCs w:val="18"/>
              </w:rPr>
              <w:t> </w:t>
            </w:r>
          </w:p>
          <w:p w:rsidRPr="00EE357A" w:rsidR="00F67DA3" w:rsidP="00104D6D" w:rsidRDefault="00F67DA3" w14:paraId="0E7D5117" w14:textId="77777777">
            <w:pPr>
              <w:rPr>
                <w:color w:val="000000" w:themeColor="text1"/>
                <w:szCs w:val="18"/>
              </w:rPr>
            </w:pPr>
          </w:p>
        </w:tc>
        <w:tc>
          <w:tcPr>
            <w:tcW w:w="850" w:type="dxa"/>
          </w:tcPr>
          <w:p w:rsidRPr="000F2477" w:rsidR="00F67DA3" w:rsidP="00104D6D" w:rsidRDefault="00F67DA3" w14:paraId="789C8FC2" w14:textId="77777777">
            <w:pPr>
              <w:jc w:val="right"/>
              <w:rPr>
                <w:szCs w:val="18"/>
              </w:rPr>
            </w:pPr>
          </w:p>
        </w:tc>
        <w:tc>
          <w:tcPr>
            <w:tcW w:w="992" w:type="dxa"/>
          </w:tcPr>
          <w:p w:rsidRPr="000F2477" w:rsidR="00F67DA3" w:rsidP="00104D6D" w:rsidRDefault="00F67DA3" w14:paraId="2943EC5B" w14:textId="77777777">
            <w:pPr>
              <w:jc w:val="right"/>
              <w:rPr>
                <w:szCs w:val="18"/>
              </w:rPr>
            </w:pPr>
          </w:p>
        </w:tc>
        <w:tc>
          <w:tcPr>
            <w:tcW w:w="567" w:type="dxa"/>
            <w:tcBorders>
              <w:left w:val="nil"/>
            </w:tcBorders>
          </w:tcPr>
          <w:p w:rsidRPr="000F2477" w:rsidR="00F67DA3" w:rsidP="00104D6D" w:rsidRDefault="00F67DA3" w14:paraId="2DCF21AC" w14:textId="77777777">
            <w:pPr>
              <w:jc w:val="right"/>
              <w:rPr>
                <w:szCs w:val="18"/>
              </w:rPr>
            </w:pPr>
          </w:p>
        </w:tc>
      </w:tr>
      <w:tr w:rsidRPr="000F2477" w:rsidR="00F67DA3" w:rsidTr="00104D6D" w14:paraId="65B98F81" w14:textId="77777777">
        <w:tc>
          <w:tcPr>
            <w:tcW w:w="567" w:type="dxa"/>
          </w:tcPr>
          <w:p w:rsidRPr="00556A01" w:rsidR="00F67DA3" w:rsidP="00104D6D" w:rsidRDefault="00F67DA3" w14:paraId="32DFCD5B" w14:textId="77777777">
            <w:pPr>
              <w:rPr>
                <w:b/>
                <w:bCs/>
                <w:szCs w:val="18"/>
              </w:rPr>
            </w:pPr>
            <w:r w:rsidRPr="00556A01">
              <w:rPr>
                <w:b/>
                <w:bCs/>
                <w:szCs w:val="18"/>
              </w:rPr>
              <w:t>4</w:t>
            </w:r>
          </w:p>
        </w:tc>
        <w:tc>
          <w:tcPr>
            <w:tcW w:w="6521" w:type="dxa"/>
          </w:tcPr>
          <w:p w:rsidRPr="000B238B" w:rsidR="00F67DA3" w:rsidP="00104D6D" w:rsidRDefault="00F67DA3" w14:paraId="4ED5E94F" w14:textId="77777777">
            <w:pPr>
              <w:rPr>
                <w:b/>
                <w:bCs/>
                <w:szCs w:val="18"/>
              </w:rPr>
            </w:pPr>
            <w:r w:rsidRPr="000B238B">
              <w:rPr>
                <w:b/>
                <w:bCs/>
                <w:szCs w:val="18"/>
              </w:rPr>
              <w:t>Hoeveel geld gaat er jaarlijks naar de structuur van onderwijsregio’s?</w:t>
            </w:r>
          </w:p>
          <w:p w:rsidRPr="000B238B" w:rsidR="00F67DA3" w:rsidP="00104D6D" w:rsidRDefault="00F67DA3" w14:paraId="7F645FF3" w14:textId="77777777">
            <w:pPr>
              <w:rPr>
                <w:szCs w:val="18"/>
              </w:rPr>
            </w:pPr>
          </w:p>
          <w:p w:rsidRPr="000B238B" w:rsidR="00F67DA3" w:rsidP="00104D6D" w:rsidRDefault="00CA5AFA" w14:paraId="48C1EED4" w14:textId="77EE3BBA">
            <w:pPr>
              <w:rPr>
                <w:szCs w:val="18"/>
              </w:rPr>
            </w:pPr>
            <w:r>
              <w:rPr>
                <w:szCs w:val="18"/>
              </w:rPr>
              <w:t xml:space="preserve">De onderwijsregio’s krijgen middelen om uitvoering te geven aan de activiteiten waarvoor ze worden opgericht: het analyseren van de regionale arbeidsmarktsituatie en het werven, matchen, opleiden </w:t>
            </w:r>
            <w:r>
              <w:rPr>
                <w:szCs w:val="18"/>
              </w:rPr>
              <w:lastRenderedPageBreak/>
              <w:t>(waaronder Samen Opleiden), begeleiden en professionaliseren van onderwijspersoneel.</w:t>
            </w:r>
            <w:r w:rsidRPr="000B238B">
              <w:rPr>
                <w:szCs w:val="18"/>
              </w:rPr>
              <w:t xml:space="preserve"> E</w:t>
            </w:r>
            <w:r>
              <w:rPr>
                <w:szCs w:val="18"/>
              </w:rPr>
              <w:t>r worden geen middelen specifiek op de structuur gericht, maar e</w:t>
            </w:r>
            <w:r w:rsidRPr="000B238B">
              <w:rPr>
                <w:szCs w:val="18"/>
              </w:rPr>
              <w:t>en beperkt deel van de middelen zal worden ingezet voor</w:t>
            </w:r>
            <w:r>
              <w:rPr>
                <w:szCs w:val="18"/>
              </w:rPr>
              <w:t xml:space="preserve"> o.a. een projectleider voor de coördinatie</w:t>
            </w:r>
            <w:r w:rsidR="00741348">
              <w:rPr>
                <w:szCs w:val="18"/>
              </w:rPr>
              <w:t>.</w:t>
            </w:r>
            <w:r>
              <w:rPr>
                <w:szCs w:val="18"/>
              </w:rPr>
              <w:t xml:space="preserve"> </w:t>
            </w:r>
            <w:r w:rsidR="00741348">
              <w:rPr>
                <w:szCs w:val="18"/>
              </w:rPr>
              <w:t>Dit was</w:t>
            </w:r>
            <w:r>
              <w:rPr>
                <w:szCs w:val="18"/>
              </w:rPr>
              <w:t xml:space="preserve"> ook bij eerdere regelingen zoals de Regionale Aanpak Personeelstekorten het geval. </w:t>
            </w:r>
            <w:r w:rsidRPr="000B238B" w:rsidR="00F67DA3">
              <w:rPr>
                <w:szCs w:val="18"/>
              </w:rPr>
              <w:t>Het subsidieplafond voor de regeling Onderwijsregio’s was in 2024 € 91 miljoen. Voor de regeling landelijk dekkend netwerk onderwijsregio’s i</w:t>
            </w:r>
            <w:r w:rsidR="00741348">
              <w:rPr>
                <w:szCs w:val="18"/>
              </w:rPr>
              <w:t>s</w:t>
            </w:r>
            <w:r w:rsidRPr="000B238B" w:rsidR="00F67DA3">
              <w:rPr>
                <w:szCs w:val="18"/>
              </w:rPr>
              <w:t xml:space="preserve"> het huidige subsidieplafond voor 2025 € 152 miljoen. Dit zijn de bedragen voor de </w:t>
            </w:r>
            <w:r w:rsidR="00F67DA3">
              <w:rPr>
                <w:szCs w:val="18"/>
              </w:rPr>
              <w:t>basis</w:t>
            </w:r>
            <w:r w:rsidRPr="000B238B" w:rsidR="00F67DA3">
              <w:rPr>
                <w:szCs w:val="18"/>
              </w:rPr>
              <w:t>subsidieregeling</w:t>
            </w:r>
            <w:r w:rsidR="00741348">
              <w:rPr>
                <w:szCs w:val="18"/>
              </w:rPr>
              <w:t>.</w:t>
            </w:r>
            <w:r>
              <w:rPr>
                <w:szCs w:val="18"/>
              </w:rPr>
              <w:t xml:space="preserve"> </w:t>
            </w:r>
            <w:r w:rsidRPr="000B238B" w:rsidR="00F67DA3">
              <w:rPr>
                <w:szCs w:val="18"/>
              </w:rPr>
              <w:t xml:space="preserve">Daarnaast zijn er nog aanvullende middelen beschikbaar op het hoofdbudget Tekorten Regio’s van artikel 9 van de OCW begroting. </w:t>
            </w:r>
            <w:r>
              <w:t xml:space="preserve">Deze zullen worden ingezet voor regio’s die een extra stap willen zetten en voor de schoolbesturen in het po en vo die nog extra ondersteuning nodig hebben om de stap naar een onderwijsregio te zetten. </w:t>
            </w:r>
            <w:r>
              <w:rPr>
                <w:szCs w:val="18"/>
              </w:rPr>
              <w:t>Ook</w:t>
            </w:r>
            <w:r w:rsidRPr="000B238B">
              <w:rPr>
                <w:szCs w:val="18"/>
              </w:rPr>
              <w:t xml:space="preserve"> </w:t>
            </w:r>
            <w:r w:rsidRPr="000B238B" w:rsidR="00F67DA3">
              <w:rPr>
                <w:szCs w:val="18"/>
              </w:rPr>
              <w:t xml:space="preserve">wordt </w:t>
            </w:r>
            <w:r>
              <w:rPr>
                <w:szCs w:val="18"/>
              </w:rPr>
              <w:t xml:space="preserve">hieruit </w:t>
            </w:r>
            <w:r w:rsidRPr="000B238B" w:rsidR="00F67DA3">
              <w:rPr>
                <w:szCs w:val="18"/>
              </w:rPr>
              <w:t xml:space="preserve">de ondersteuning van de </w:t>
            </w:r>
            <w:r w:rsidR="00741348">
              <w:rPr>
                <w:szCs w:val="18"/>
              </w:rPr>
              <w:t>o</w:t>
            </w:r>
            <w:r w:rsidR="00F67DA3">
              <w:rPr>
                <w:szCs w:val="18"/>
              </w:rPr>
              <w:t>nderwijsregio’s</w:t>
            </w:r>
            <w:r w:rsidRPr="000B238B" w:rsidR="00F67DA3">
              <w:rPr>
                <w:szCs w:val="18"/>
              </w:rPr>
              <w:t xml:space="preserve"> betaald, zoals het platform Samen Opleiden, het onderwijsloket en (evaluatie)onderzoek. </w:t>
            </w:r>
          </w:p>
          <w:p w:rsidRPr="000B238B" w:rsidR="00F67DA3" w:rsidP="00104D6D" w:rsidRDefault="00F67DA3" w14:paraId="52F4171A" w14:textId="77777777">
            <w:pPr>
              <w:rPr>
                <w:szCs w:val="18"/>
              </w:rPr>
            </w:pPr>
          </w:p>
        </w:tc>
        <w:tc>
          <w:tcPr>
            <w:tcW w:w="850" w:type="dxa"/>
          </w:tcPr>
          <w:p w:rsidRPr="000F2477" w:rsidR="00F67DA3" w:rsidP="00104D6D" w:rsidRDefault="00F67DA3" w14:paraId="79272359" w14:textId="77777777">
            <w:pPr>
              <w:jc w:val="right"/>
              <w:rPr>
                <w:szCs w:val="18"/>
              </w:rPr>
            </w:pPr>
          </w:p>
        </w:tc>
        <w:tc>
          <w:tcPr>
            <w:tcW w:w="992" w:type="dxa"/>
          </w:tcPr>
          <w:p w:rsidRPr="000F2477" w:rsidR="00F67DA3" w:rsidP="00104D6D" w:rsidRDefault="00F67DA3" w14:paraId="6D84048A" w14:textId="77777777">
            <w:pPr>
              <w:jc w:val="right"/>
              <w:rPr>
                <w:szCs w:val="18"/>
              </w:rPr>
            </w:pPr>
            <w:r w:rsidRPr="000F2477">
              <w:rPr>
                <w:szCs w:val="18"/>
              </w:rPr>
              <w:t>2</w:t>
            </w:r>
          </w:p>
        </w:tc>
        <w:tc>
          <w:tcPr>
            <w:tcW w:w="567" w:type="dxa"/>
            <w:tcBorders>
              <w:left w:val="nil"/>
            </w:tcBorders>
          </w:tcPr>
          <w:p w:rsidRPr="000F2477" w:rsidR="00F67DA3" w:rsidP="00104D6D" w:rsidRDefault="00F67DA3" w14:paraId="7CAF2208" w14:textId="77777777">
            <w:pPr>
              <w:jc w:val="right"/>
              <w:rPr>
                <w:szCs w:val="18"/>
              </w:rPr>
            </w:pPr>
            <w:r w:rsidRPr="000F2477">
              <w:rPr>
                <w:szCs w:val="18"/>
              </w:rPr>
              <w:t xml:space="preserve"> </w:t>
            </w:r>
          </w:p>
        </w:tc>
      </w:tr>
      <w:tr w:rsidRPr="000F2477" w:rsidR="00F67DA3" w:rsidTr="00104D6D" w14:paraId="3DD7A090" w14:textId="77777777">
        <w:tc>
          <w:tcPr>
            <w:tcW w:w="567" w:type="dxa"/>
          </w:tcPr>
          <w:p w:rsidRPr="00556A01" w:rsidR="00F67DA3" w:rsidP="00104D6D" w:rsidRDefault="00F67DA3" w14:paraId="1AC338C8" w14:textId="77777777">
            <w:pPr>
              <w:rPr>
                <w:b/>
                <w:bCs/>
                <w:szCs w:val="18"/>
              </w:rPr>
            </w:pPr>
            <w:r w:rsidRPr="00556A01">
              <w:rPr>
                <w:b/>
                <w:bCs/>
                <w:szCs w:val="18"/>
              </w:rPr>
              <w:t>5</w:t>
            </w:r>
          </w:p>
        </w:tc>
        <w:tc>
          <w:tcPr>
            <w:tcW w:w="6521" w:type="dxa"/>
          </w:tcPr>
          <w:p w:rsidRPr="00556A01" w:rsidR="00F67DA3" w:rsidP="00104D6D" w:rsidRDefault="00F67DA3" w14:paraId="4E66203B" w14:textId="77777777">
            <w:pPr>
              <w:rPr>
                <w:b/>
                <w:bCs/>
                <w:szCs w:val="18"/>
              </w:rPr>
            </w:pPr>
            <w:r w:rsidRPr="00556A01">
              <w:rPr>
                <w:b/>
                <w:bCs/>
                <w:szCs w:val="18"/>
              </w:rPr>
              <w:t>Hoeveel fte is er gemoeid met het opzetten en laten functioneren van de onderwijsregio’s?</w:t>
            </w:r>
          </w:p>
          <w:p w:rsidR="00F67DA3" w:rsidP="00104D6D" w:rsidRDefault="00F67DA3" w14:paraId="3EEF4D87" w14:textId="77777777">
            <w:pPr>
              <w:rPr>
                <w:szCs w:val="18"/>
              </w:rPr>
            </w:pPr>
          </w:p>
          <w:p w:rsidR="00F67DA3" w:rsidP="00104D6D" w:rsidRDefault="00F67DA3" w14:paraId="7D7E0290" w14:textId="21AD5D3A">
            <w:r w:rsidRPr="00FA23FC">
              <w:t xml:space="preserve">De onderwijsregio’s zijn regionaal georganiseerd. Het aantal fte is afhankelijk van de gekozen invulling door de onderwijsregio’s. </w:t>
            </w:r>
            <w:r>
              <w:t>Elke onderwijsregio heeft een projectleider aangesteld voor de uitvoering van het plan van aanpak.</w:t>
            </w:r>
            <w:r w:rsidRPr="00FA23FC">
              <w:t xml:space="preserve"> Het overgrote deel van de inzet in middelen en tijd gaat naar werven, matchen</w:t>
            </w:r>
            <w:r w:rsidR="00615D4A">
              <w:t xml:space="preserve"> en </w:t>
            </w:r>
            <w:r w:rsidRPr="00FA23FC">
              <w:t xml:space="preserve">begeleiden van onderwijspersoneel. Het subsidiebedrag voor een onderwijsregio is o.a. gebaseerd op het aantal leerlingen en mbo-studenten binnen een onderwijsregio. Het subsidiebedrag is niet gebaseerd op het aantal fte binnen een onderwijsregio. </w:t>
            </w:r>
          </w:p>
          <w:p w:rsidRPr="000F2477" w:rsidR="00F67DA3" w:rsidP="00104D6D" w:rsidRDefault="00F67DA3" w14:paraId="66355C4D" w14:textId="77777777">
            <w:pPr>
              <w:rPr>
                <w:szCs w:val="18"/>
              </w:rPr>
            </w:pPr>
          </w:p>
        </w:tc>
        <w:tc>
          <w:tcPr>
            <w:tcW w:w="850" w:type="dxa"/>
          </w:tcPr>
          <w:p w:rsidRPr="000F2477" w:rsidR="00F67DA3" w:rsidP="00104D6D" w:rsidRDefault="00F67DA3" w14:paraId="2822D7E8" w14:textId="77777777">
            <w:pPr>
              <w:jc w:val="right"/>
              <w:rPr>
                <w:szCs w:val="18"/>
              </w:rPr>
            </w:pPr>
          </w:p>
        </w:tc>
        <w:tc>
          <w:tcPr>
            <w:tcW w:w="992" w:type="dxa"/>
          </w:tcPr>
          <w:p w:rsidRPr="000F2477" w:rsidR="00F67DA3" w:rsidP="00104D6D" w:rsidRDefault="00F67DA3" w14:paraId="5BC1A244" w14:textId="77777777">
            <w:pPr>
              <w:jc w:val="right"/>
              <w:rPr>
                <w:szCs w:val="18"/>
              </w:rPr>
            </w:pPr>
            <w:r w:rsidRPr="000F2477">
              <w:rPr>
                <w:szCs w:val="18"/>
              </w:rPr>
              <w:t>2</w:t>
            </w:r>
          </w:p>
        </w:tc>
        <w:tc>
          <w:tcPr>
            <w:tcW w:w="567" w:type="dxa"/>
            <w:tcBorders>
              <w:left w:val="nil"/>
            </w:tcBorders>
          </w:tcPr>
          <w:p w:rsidRPr="000F2477" w:rsidR="00F67DA3" w:rsidP="00104D6D" w:rsidRDefault="00F67DA3" w14:paraId="2E7AF361" w14:textId="77777777">
            <w:pPr>
              <w:jc w:val="right"/>
              <w:rPr>
                <w:szCs w:val="18"/>
              </w:rPr>
            </w:pPr>
            <w:r w:rsidRPr="000F2477">
              <w:rPr>
                <w:szCs w:val="18"/>
              </w:rPr>
              <w:t xml:space="preserve"> </w:t>
            </w:r>
          </w:p>
        </w:tc>
      </w:tr>
      <w:tr w:rsidRPr="000F2477" w:rsidR="00F67DA3" w:rsidTr="00104D6D" w14:paraId="7539D010" w14:textId="77777777">
        <w:tc>
          <w:tcPr>
            <w:tcW w:w="567" w:type="dxa"/>
          </w:tcPr>
          <w:p w:rsidRPr="00556A01" w:rsidR="00F67DA3" w:rsidP="00104D6D" w:rsidRDefault="00F67DA3" w14:paraId="1437835D" w14:textId="77777777">
            <w:pPr>
              <w:rPr>
                <w:b/>
                <w:bCs/>
                <w:szCs w:val="18"/>
              </w:rPr>
            </w:pPr>
            <w:r w:rsidRPr="00556A01">
              <w:rPr>
                <w:b/>
                <w:bCs/>
                <w:szCs w:val="18"/>
              </w:rPr>
              <w:t>6</w:t>
            </w:r>
          </w:p>
        </w:tc>
        <w:tc>
          <w:tcPr>
            <w:tcW w:w="6521" w:type="dxa"/>
          </w:tcPr>
          <w:p w:rsidRPr="00556A01" w:rsidR="00F67DA3" w:rsidP="00104D6D" w:rsidRDefault="00F67DA3" w14:paraId="30B75277" w14:textId="77777777">
            <w:pPr>
              <w:rPr>
                <w:b/>
                <w:bCs/>
                <w:szCs w:val="18"/>
              </w:rPr>
            </w:pPr>
            <w:r w:rsidRPr="00556A01">
              <w:rPr>
                <w:b/>
                <w:bCs/>
                <w:szCs w:val="18"/>
              </w:rPr>
              <w:t>Welke signalen krijgt u van het onderwijsveld over de werking van de onderwijsregio’s als het gaat om de beleving van bestuurlijke drukte?</w:t>
            </w:r>
          </w:p>
          <w:p w:rsidRPr="000F2477" w:rsidR="00F67DA3" w:rsidP="00104D6D" w:rsidRDefault="00F67DA3" w14:paraId="03E3643E" w14:textId="77777777">
            <w:pPr>
              <w:rPr>
                <w:szCs w:val="18"/>
              </w:rPr>
            </w:pPr>
          </w:p>
          <w:p w:rsidRPr="000F2477" w:rsidR="00F67DA3" w:rsidP="00104D6D" w:rsidRDefault="00F67DA3" w14:paraId="45895D2A" w14:textId="54EC70B4">
            <w:pPr>
              <w:rPr>
                <w:szCs w:val="18"/>
              </w:rPr>
            </w:pPr>
            <w:r w:rsidRPr="000F2477">
              <w:rPr>
                <w:szCs w:val="18"/>
              </w:rPr>
              <w:t xml:space="preserve">Schoolbesturen en lerarenopleidingen hebben samen met de beroepsgroep onderwijsregio’s gevormd. Hiervoor zijn de samenwerkingsverbanden van de </w:t>
            </w:r>
            <w:r w:rsidR="00741348">
              <w:rPr>
                <w:szCs w:val="18"/>
              </w:rPr>
              <w:t>R</w:t>
            </w:r>
            <w:r w:rsidRPr="000F2477">
              <w:rPr>
                <w:szCs w:val="18"/>
              </w:rPr>
              <w:t xml:space="preserve">egionale </w:t>
            </w:r>
            <w:r w:rsidR="00741348">
              <w:rPr>
                <w:szCs w:val="18"/>
              </w:rPr>
              <w:t>A</w:t>
            </w:r>
            <w:r w:rsidRPr="000F2477">
              <w:rPr>
                <w:szCs w:val="18"/>
              </w:rPr>
              <w:t xml:space="preserve">anpak </w:t>
            </w:r>
            <w:r w:rsidR="00741348">
              <w:rPr>
                <w:szCs w:val="18"/>
              </w:rPr>
              <w:t>P</w:t>
            </w:r>
            <w:r w:rsidRPr="000F2477">
              <w:rPr>
                <w:szCs w:val="18"/>
              </w:rPr>
              <w:t>ersoneelstekort</w:t>
            </w:r>
            <w:r w:rsidR="00741348">
              <w:rPr>
                <w:szCs w:val="18"/>
              </w:rPr>
              <w:t>en</w:t>
            </w:r>
            <w:r w:rsidRPr="000F2477">
              <w:rPr>
                <w:szCs w:val="18"/>
              </w:rPr>
              <w:t xml:space="preserve"> (RAP-regio’s) en de opleidingsscholen samengevoegd. Dit is gedaan om de versnippering van subsidies tegen te gaan en de bestuurlijke drukte</w:t>
            </w:r>
            <w:r w:rsidR="00741348">
              <w:rPr>
                <w:szCs w:val="18"/>
              </w:rPr>
              <w:t xml:space="preserve"> te verminderen</w:t>
            </w:r>
            <w:r w:rsidRPr="000F2477">
              <w:rPr>
                <w:szCs w:val="18"/>
              </w:rPr>
              <w:t xml:space="preserve">. </w:t>
            </w:r>
            <w:r w:rsidR="00DE778F">
              <w:rPr>
                <w:szCs w:val="18"/>
              </w:rPr>
              <w:t xml:space="preserve">De ervaren bestuurlijke drukte verschilt per onderwijsregio. </w:t>
            </w:r>
            <w:r w:rsidRPr="000F2477">
              <w:rPr>
                <w:szCs w:val="18"/>
              </w:rPr>
              <w:t>Onderwijsregio’s geven aan dat het samengaan en het inrichten van een governance bij het oprichten van onderwijsregio’s om een extra inspanning van de besturen vraagt</w:t>
            </w:r>
            <w:r>
              <w:rPr>
                <w:szCs w:val="18"/>
              </w:rPr>
              <w:t xml:space="preserve"> en dat de bestuurlijke drukte </w:t>
            </w:r>
            <w:r w:rsidRPr="000F2477">
              <w:rPr>
                <w:szCs w:val="18"/>
              </w:rPr>
              <w:t>in het begin</w:t>
            </w:r>
            <w:r>
              <w:rPr>
                <w:szCs w:val="18"/>
              </w:rPr>
              <w:t xml:space="preserve"> toeneemt</w:t>
            </w:r>
            <w:r w:rsidRPr="000F2477">
              <w:rPr>
                <w:szCs w:val="18"/>
              </w:rPr>
              <w:t>. Uiteindelijk zal dit resulteren in een verlichting voor besturen</w:t>
            </w:r>
            <w:r w:rsidR="00741348">
              <w:rPr>
                <w:szCs w:val="18"/>
              </w:rPr>
              <w:t>.</w:t>
            </w:r>
            <w:r w:rsidRPr="000F2477">
              <w:rPr>
                <w:szCs w:val="18"/>
              </w:rPr>
              <w:t xml:space="preserve"> </w:t>
            </w:r>
            <w:r w:rsidR="00741348">
              <w:rPr>
                <w:szCs w:val="18"/>
              </w:rPr>
              <w:t>De Realisatie-</w:t>
            </w:r>
            <w:r w:rsidR="000C10D2">
              <w:rPr>
                <w:szCs w:val="18"/>
              </w:rPr>
              <w:t>E</w:t>
            </w:r>
            <w:r w:rsidR="00741348">
              <w:rPr>
                <w:szCs w:val="18"/>
              </w:rPr>
              <w:t>enheid ondersteunt de o</w:t>
            </w:r>
            <w:r w:rsidRPr="000F2477">
              <w:rPr>
                <w:szCs w:val="18"/>
              </w:rPr>
              <w:t xml:space="preserve">nderwijsregio’s </w:t>
            </w:r>
            <w:r w:rsidR="00391E27">
              <w:rPr>
                <w:szCs w:val="18"/>
              </w:rPr>
              <w:t>bij het beter organiseren</w:t>
            </w:r>
            <w:r w:rsidRPr="000F2477">
              <w:rPr>
                <w:szCs w:val="18"/>
              </w:rPr>
              <w:t xml:space="preserve"> van </w:t>
            </w:r>
            <w:r w:rsidR="00391E27">
              <w:rPr>
                <w:szCs w:val="18"/>
              </w:rPr>
              <w:t xml:space="preserve">de </w:t>
            </w:r>
            <w:r w:rsidRPr="000F2477">
              <w:rPr>
                <w:szCs w:val="18"/>
              </w:rPr>
              <w:t xml:space="preserve">samenwerking </w:t>
            </w:r>
            <w:r w:rsidR="00391E27">
              <w:rPr>
                <w:szCs w:val="18"/>
              </w:rPr>
              <w:t xml:space="preserve">zodat bestuurlijke drukte vermeden kan worden en de onderwijsregio’s zich richten op de uitvoering van de acties zoals afgesproken. </w:t>
            </w:r>
          </w:p>
          <w:p w:rsidR="00F67DA3" w:rsidP="00104D6D" w:rsidRDefault="00F67DA3" w14:paraId="114F7527" w14:textId="77777777">
            <w:pPr>
              <w:rPr>
                <w:szCs w:val="18"/>
              </w:rPr>
            </w:pPr>
          </w:p>
          <w:p w:rsidR="006A22E1" w:rsidP="00104D6D" w:rsidRDefault="006A22E1" w14:paraId="7A68A694" w14:textId="77777777">
            <w:pPr>
              <w:rPr>
                <w:szCs w:val="18"/>
              </w:rPr>
            </w:pPr>
          </w:p>
          <w:p w:rsidRPr="000F2477" w:rsidR="006A22E1" w:rsidP="00104D6D" w:rsidRDefault="006A22E1" w14:paraId="41C7E867" w14:textId="77777777">
            <w:pPr>
              <w:rPr>
                <w:szCs w:val="18"/>
              </w:rPr>
            </w:pPr>
          </w:p>
        </w:tc>
        <w:tc>
          <w:tcPr>
            <w:tcW w:w="850" w:type="dxa"/>
          </w:tcPr>
          <w:p w:rsidRPr="000F2477" w:rsidR="00F67DA3" w:rsidP="00104D6D" w:rsidRDefault="00F67DA3" w14:paraId="2D2B9096" w14:textId="77777777">
            <w:pPr>
              <w:jc w:val="right"/>
              <w:rPr>
                <w:szCs w:val="18"/>
              </w:rPr>
            </w:pPr>
          </w:p>
        </w:tc>
        <w:tc>
          <w:tcPr>
            <w:tcW w:w="992" w:type="dxa"/>
          </w:tcPr>
          <w:p w:rsidRPr="000F2477" w:rsidR="00F67DA3" w:rsidP="00104D6D" w:rsidRDefault="00F67DA3" w14:paraId="7B5683CF" w14:textId="77777777">
            <w:pPr>
              <w:jc w:val="right"/>
              <w:rPr>
                <w:szCs w:val="18"/>
              </w:rPr>
            </w:pPr>
            <w:r w:rsidRPr="000F2477">
              <w:rPr>
                <w:szCs w:val="18"/>
              </w:rPr>
              <w:t>2</w:t>
            </w:r>
          </w:p>
        </w:tc>
        <w:tc>
          <w:tcPr>
            <w:tcW w:w="567" w:type="dxa"/>
            <w:tcBorders>
              <w:left w:val="nil"/>
            </w:tcBorders>
          </w:tcPr>
          <w:p w:rsidRPr="000F2477" w:rsidR="00F67DA3" w:rsidP="00104D6D" w:rsidRDefault="00F67DA3" w14:paraId="410B9AAE" w14:textId="77777777">
            <w:pPr>
              <w:jc w:val="right"/>
              <w:rPr>
                <w:szCs w:val="18"/>
              </w:rPr>
            </w:pPr>
            <w:r w:rsidRPr="000F2477">
              <w:rPr>
                <w:szCs w:val="18"/>
              </w:rPr>
              <w:t xml:space="preserve"> </w:t>
            </w:r>
          </w:p>
        </w:tc>
      </w:tr>
      <w:tr w:rsidRPr="000F2477" w:rsidR="00F67DA3" w:rsidTr="00104D6D" w14:paraId="1E8690CA" w14:textId="77777777">
        <w:tc>
          <w:tcPr>
            <w:tcW w:w="567" w:type="dxa"/>
          </w:tcPr>
          <w:p w:rsidRPr="00556A01" w:rsidR="00F67DA3" w:rsidP="00104D6D" w:rsidRDefault="00F67DA3" w14:paraId="45EFE142" w14:textId="77777777">
            <w:pPr>
              <w:rPr>
                <w:b/>
                <w:bCs/>
                <w:szCs w:val="18"/>
              </w:rPr>
            </w:pPr>
            <w:r w:rsidRPr="00556A01">
              <w:rPr>
                <w:b/>
                <w:bCs/>
                <w:szCs w:val="18"/>
              </w:rPr>
              <w:lastRenderedPageBreak/>
              <w:t>7</w:t>
            </w:r>
          </w:p>
        </w:tc>
        <w:tc>
          <w:tcPr>
            <w:tcW w:w="6521" w:type="dxa"/>
          </w:tcPr>
          <w:p w:rsidRPr="00556A01" w:rsidR="00F67DA3" w:rsidP="00104D6D" w:rsidRDefault="00F67DA3" w14:paraId="1EA18D1A" w14:textId="77777777">
            <w:pPr>
              <w:rPr>
                <w:b/>
                <w:bCs/>
                <w:szCs w:val="18"/>
              </w:rPr>
            </w:pPr>
            <w:r w:rsidRPr="00556A01">
              <w:rPr>
                <w:b/>
                <w:bCs/>
                <w:szCs w:val="18"/>
              </w:rPr>
              <w:t>Hebben de Realisatie-Eenheid en onderwijsregio’s al resultaten geboekt bij het ontwikkelen van expertise en delen van ervaring en kennis over datgene wat werkt, wat niet werkt en waar eventuele knelpunten zitten?</w:t>
            </w:r>
          </w:p>
          <w:p w:rsidRPr="00C41363" w:rsidR="00F67DA3" w:rsidP="00104D6D" w:rsidRDefault="00F67DA3" w14:paraId="36AED60B" w14:textId="77777777"/>
          <w:p w:rsidR="00AB5290" w:rsidP="00104D6D" w:rsidRDefault="00F67DA3" w14:paraId="3DBDE6BD" w14:textId="67B202D9">
            <w:r w:rsidRPr="00C41363">
              <w:t xml:space="preserve">Gelijktijdig met de start van de onderwijsregio’s wordt er gewerkt aan een lerende aanpak waarin expertise wordt ontwikkeld en onderling ervaring en kennis wordt gedeeld over datgene wat werkt, wat niet werkt en waar eventuele knelpunten zitten. </w:t>
            </w:r>
            <w:r w:rsidR="00AB5290">
              <w:t xml:space="preserve">Zo </w:t>
            </w:r>
            <w:r w:rsidR="00735FE6">
              <w:t xml:space="preserve">heeft ‘Utrecht Leert’ </w:t>
            </w:r>
            <w:r w:rsidR="005B6767">
              <w:t>recent hun</w:t>
            </w:r>
            <w:r w:rsidR="00735FE6">
              <w:t xml:space="preserve"> regionale arbeidsmarktcampagne gelanceerd, waarbij ook wervingsactiviteiten zijn opgenomen voor zij-instromers en schoolleiders. </w:t>
            </w:r>
            <w:r w:rsidR="005975E5">
              <w:t>D</w:t>
            </w:r>
            <w:r w:rsidR="00735FE6">
              <w:t xml:space="preserve">e </w:t>
            </w:r>
            <w:r w:rsidR="00D95BD9">
              <w:t>onderwijs</w:t>
            </w:r>
            <w:r w:rsidR="00735FE6">
              <w:t xml:space="preserve">regio Rijnmond </w:t>
            </w:r>
            <w:r w:rsidR="005975E5">
              <w:t>werkt</w:t>
            </w:r>
            <w:r w:rsidR="00735FE6">
              <w:t xml:space="preserve"> met clustermakelaars </w:t>
            </w:r>
            <w:r w:rsidR="005B6767">
              <w:t xml:space="preserve">die worden ingeschakeld </w:t>
            </w:r>
            <w:r w:rsidR="00735FE6">
              <w:t xml:space="preserve">tussen </w:t>
            </w:r>
            <w:r w:rsidR="005B6767">
              <w:t xml:space="preserve">enerzijds </w:t>
            </w:r>
            <w:r w:rsidR="00735FE6">
              <w:t>de professionalisering</w:t>
            </w:r>
            <w:r w:rsidR="00D95BD9">
              <w:t>s</w:t>
            </w:r>
            <w:r w:rsidR="00735FE6">
              <w:t xml:space="preserve">vraag </w:t>
            </w:r>
            <w:r w:rsidR="005B6767">
              <w:t xml:space="preserve">van (aankomend) personeel </w:t>
            </w:r>
            <w:r w:rsidR="00735FE6">
              <w:t xml:space="preserve">en </w:t>
            </w:r>
            <w:r w:rsidR="005B6767">
              <w:t xml:space="preserve">anderzijds </w:t>
            </w:r>
            <w:r w:rsidR="00735FE6">
              <w:t>het aanbod binnen de scholen en de opleiders.</w:t>
            </w:r>
            <w:r w:rsidR="005B6767">
              <w:t xml:space="preserve"> En </w:t>
            </w:r>
            <w:r w:rsidR="005975E5">
              <w:t>de</w:t>
            </w:r>
            <w:r w:rsidR="00D95BD9">
              <w:t xml:space="preserve"> onderwijsregio Zwolle </w:t>
            </w:r>
            <w:r w:rsidR="005975E5">
              <w:t>werkt</w:t>
            </w:r>
            <w:r w:rsidR="00D95BD9">
              <w:t xml:space="preserve"> met een instroommakelaar om zo mensen die geïnteresseerd zijn in het onderwijs wegwijs te maken binnen het onderwijs. Daarnaast zoekt de</w:t>
            </w:r>
            <w:r w:rsidR="005B6767">
              <w:t>ze</w:t>
            </w:r>
            <w:r w:rsidR="00D95BD9">
              <w:t xml:space="preserve"> onderwijsregio de verbinding met de sectortafel Kind &amp; Educatie, gekoppeld aan de regionale Human Capital Agenda. </w:t>
            </w:r>
          </w:p>
          <w:p w:rsidR="003B3E72" w:rsidP="00104D6D" w:rsidRDefault="003B3E72" w14:paraId="2A030158" w14:textId="77777777"/>
          <w:p w:rsidR="00AB5290" w:rsidP="00104D6D" w:rsidRDefault="00AB5290" w14:paraId="2CE7943F" w14:textId="79713F79">
            <w:r>
              <w:t>De</w:t>
            </w:r>
            <w:r w:rsidR="005975E5">
              <w:t xml:space="preserve"> onderwijsregio’s delen deze</w:t>
            </w:r>
            <w:r>
              <w:t xml:space="preserve"> ervaringen </w:t>
            </w:r>
            <w:r w:rsidR="005975E5">
              <w:t xml:space="preserve">met elkaar </w:t>
            </w:r>
            <w:r w:rsidR="009F5DEE">
              <w:t xml:space="preserve">tijdens </w:t>
            </w:r>
            <w:r>
              <w:t xml:space="preserve">de kennisdelingsbijeenkomsten </w:t>
            </w:r>
            <w:r w:rsidR="009F5DEE">
              <w:t xml:space="preserve">en </w:t>
            </w:r>
            <w:r>
              <w:t xml:space="preserve">de landelijke Onderwijsregio Praktijkdag, die </w:t>
            </w:r>
            <w:r w:rsidR="005B6767">
              <w:t xml:space="preserve">door </w:t>
            </w:r>
            <w:r>
              <w:t xml:space="preserve">de Realisatie-Eenheid </w:t>
            </w:r>
            <w:r w:rsidR="005B6767">
              <w:t>worden georganiseerd</w:t>
            </w:r>
            <w:r>
              <w:t xml:space="preserve">. Ook worden handreikingen met ervaringen en handige tips uit de onderwijsregio’s gedeeld, zodat anderen daar hun voordeel mee kunnen doen. </w:t>
            </w:r>
          </w:p>
          <w:p w:rsidRPr="000F2477" w:rsidR="00F67DA3" w:rsidP="00104D6D" w:rsidRDefault="00F67DA3" w14:paraId="42475B28" w14:textId="77777777">
            <w:pPr>
              <w:rPr>
                <w:szCs w:val="18"/>
              </w:rPr>
            </w:pPr>
          </w:p>
        </w:tc>
        <w:tc>
          <w:tcPr>
            <w:tcW w:w="850" w:type="dxa"/>
          </w:tcPr>
          <w:p w:rsidRPr="000F2477" w:rsidR="00F67DA3" w:rsidP="00104D6D" w:rsidRDefault="00F67DA3" w14:paraId="4680F05D" w14:textId="77777777">
            <w:pPr>
              <w:jc w:val="right"/>
              <w:rPr>
                <w:szCs w:val="18"/>
              </w:rPr>
            </w:pPr>
          </w:p>
        </w:tc>
        <w:tc>
          <w:tcPr>
            <w:tcW w:w="992" w:type="dxa"/>
          </w:tcPr>
          <w:p w:rsidRPr="000F2477" w:rsidR="00F67DA3" w:rsidP="00104D6D" w:rsidRDefault="00F67DA3" w14:paraId="5B91E9AA" w14:textId="77777777">
            <w:pPr>
              <w:jc w:val="right"/>
              <w:rPr>
                <w:szCs w:val="18"/>
              </w:rPr>
            </w:pPr>
            <w:r w:rsidRPr="000F2477">
              <w:rPr>
                <w:szCs w:val="18"/>
              </w:rPr>
              <w:t>2</w:t>
            </w:r>
          </w:p>
        </w:tc>
        <w:tc>
          <w:tcPr>
            <w:tcW w:w="567" w:type="dxa"/>
            <w:tcBorders>
              <w:left w:val="nil"/>
            </w:tcBorders>
          </w:tcPr>
          <w:p w:rsidRPr="000F2477" w:rsidR="00F67DA3" w:rsidP="00104D6D" w:rsidRDefault="00F67DA3" w14:paraId="07BDFC59" w14:textId="77777777">
            <w:pPr>
              <w:jc w:val="right"/>
              <w:rPr>
                <w:szCs w:val="18"/>
              </w:rPr>
            </w:pPr>
            <w:r w:rsidRPr="000F2477">
              <w:rPr>
                <w:szCs w:val="18"/>
              </w:rPr>
              <w:t xml:space="preserve"> </w:t>
            </w:r>
          </w:p>
        </w:tc>
      </w:tr>
      <w:tr w:rsidRPr="000F2477" w:rsidR="00F67DA3" w:rsidTr="00104D6D" w14:paraId="01B32F1B" w14:textId="77777777">
        <w:tc>
          <w:tcPr>
            <w:tcW w:w="567" w:type="dxa"/>
          </w:tcPr>
          <w:p w:rsidRPr="00556A01" w:rsidR="00F67DA3" w:rsidP="00104D6D" w:rsidRDefault="00F67DA3" w14:paraId="2B6D608A" w14:textId="77777777">
            <w:pPr>
              <w:rPr>
                <w:b/>
                <w:bCs/>
                <w:szCs w:val="18"/>
              </w:rPr>
            </w:pPr>
            <w:r w:rsidRPr="00556A01">
              <w:rPr>
                <w:b/>
                <w:bCs/>
                <w:szCs w:val="18"/>
              </w:rPr>
              <w:t>8</w:t>
            </w:r>
          </w:p>
        </w:tc>
        <w:tc>
          <w:tcPr>
            <w:tcW w:w="6521" w:type="dxa"/>
          </w:tcPr>
          <w:p w:rsidRPr="00556A01" w:rsidR="00F67DA3" w:rsidP="00104D6D" w:rsidRDefault="00F67DA3" w14:paraId="1E1D48BB" w14:textId="77777777">
            <w:pPr>
              <w:rPr>
                <w:b/>
                <w:bCs/>
                <w:szCs w:val="18"/>
              </w:rPr>
            </w:pPr>
            <w:r w:rsidRPr="00556A01">
              <w:rPr>
                <w:b/>
                <w:bCs/>
                <w:szCs w:val="18"/>
              </w:rPr>
              <w:t>In hoeverre vult u het streven om recht te doen aan verschillende snelheden aan met landelijke sturing door deugdelijkheidseisen te handhaven in termen van het aantal bevoegde leraren voor de klas, de klassengrootte en in het voortgezet onderwijs tevens de lestaak, het aantal lesuren voor leraren en een herinvoering van de advieslessentabel?</w:t>
            </w:r>
          </w:p>
          <w:p w:rsidRPr="000F2477" w:rsidR="00F67DA3" w:rsidP="00104D6D" w:rsidRDefault="00F67DA3" w14:paraId="647BE30E" w14:textId="77777777">
            <w:pPr>
              <w:rPr>
                <w:szCs w:val="18"/>
              </w:rPr>
            </w:pPr>
          </w:p>
          <w:p w:rsidR="003B3E72" w:rsidP="00773092" w:rsidRDefault="00F67DA3" w14:paraId="72E0B5F4" w14:textId="663692A3">
            <w:pPr>
              <w:rPr>
                <w:szCs w:val="18"/>
              </w:rPr>
            </w:pPr>
            <w:bookmarkStart w:name="_Hlk178148819" w:id="1"/>
            <w:r w:rsidRPr="000F2477">
              <w:rPr>
                <w:szCs w:val="18"/>
              </w:rPr>
              <w:t xml:space="preserve">Voor alle schoolbesturen geldt dat zij, ongeacht hun deelname aan een onderwijsregio, aan de deugdelijkheidseisen moeten voldoen. </w:t>
            </w:r>
            <w:r w:rsidR="00602303">
              <w:rPr>
                <w:szCs w:val="18"/>
              </w:rPr>
              <w:t>Daarbij is het belangrijk om te benoemen dat er voor de bevoegdheden en de onderwijstijd deugdelijkheidseisen zijn; voor de overige zaken niet.</w:t>
            </w:r>
          </w:p>
          <w:bookmarkEnd w:id="1"/>
          <w:p w:rsidRPr="000F2477" w:rsidR="00F67DA3" w:rsidP="00773092" w:rsidRDefault="00F67DA3" w14:paraId="64E726E8" w14:textId="241CB0D5">
            <w:pPr>
              <w:rPr>
                <w:szCs w:val="18"/>
              </w:rPr>
            </w:pPr>
          </w:p>
        </w:tc>
        <w:tc>
          <w:tcPr>
            <w:tcW w:w="850" w:type="dxa"/>
          </w:tcPr>
          <w:p w:rsidRPr="000F2477" w:rsidR="00F67DA3" w:rsidP="00104D6D" w:rsidRDefault="00F67DA3" w14:paraId="12CC8F31" w14:textId="77777777">
            <w:pPr>
              <w:jc w:val="right"/>
              <w:rPr>
                <w:szCs w:val="18"/>
              </w:rPr>
            </w:pPr>
          </w:p>
        </w:tc>
        <w:tc>
          <w:tcPr>
            <w:tcW w:w="992" w:type="dxa"/>
          </w:tcPr>
          <w:p w:rsidRPr="000F2477" w:rsidR="00F67DA3" w:rsidP="00104D6D" w:rsidRDefault="00F67DA3" w14:paraId="4C9DF669" w14:textId="77777777">
            <w:pPr>
              <w:jc w:val="right"/>
              <w:rPr>
                <w:szCs w:val="18"/>
              </w:rPr>
            </w:pPr>
            <w:r w:rsidRPr="000F2477">
              <w:rPr>
                <w:szCs w:val="18"/>
              </w:rPr>
              <w:t>3</w:t>
            </w:r>
          </w:p>
        </w:tc>
        <w:tc>
          <w:tcPr>
            <w:tcW w:w="567" w:type="dxa"/>
            <w:tcBorders>
              <w:left w:val="nil"/>
            </w:tcBorders>
          </w:tcPr>
          <w:p w:rsidRPr="000F2477" w:rsidR="00F67DA3" w:rsidP="00104D6D" w:rsidRDefault="00F67DA3" w14:paraId="6302E90B" w14:textId="77777777">
            <w:pPr>
              <w:jc w:val="right"/>
              <w:rPr>
                <w:szCs w:val="18"/>
              </w:rPr>
            </w:pPr>
            <w:r w:rsidRPr="000F2477">
              <w:rPr>
                <w:szCs w:val="18"/>
              </w:rPr>
              <w:t xml:space="preserve"> </w:t>
            </w:r>
          </w:p>
        </w:tc>
      </w:tr>
      <w:tr w:rsidRPr="000F2477" w:rsidR="00F67DA3" w:rsidTr="00104D6D" w14:paraId="0D4C1517" w14:textId="77777777">
        <w:tc>
          <w:tcPr>
            <w:tcW w:w="567" w:type="dxa"/>
          </w:tcPr>
          <w:p w:rsidRPr="00556A01" w:rsidR="00F67DA3" w:rsidP="00104D6D" w:rsidRDefault="00F67DA3" w14:paraId="5222C5B2" w14:textId="77777777">
            <w:pPr>
              <w:rPr>
                <w:b/>
                <w:bCs/>
                <w:szCs w:val="18"/>
              </w:rPr>
            </w:pPr>
            <w:r w:rsidRPr="00556A01">
              <w:rPr>
                <w:b/>
                <w:bCs/>
                <w:szCs w:val="18"/>
              </w:rPr>
              <w:t>9</w:t>
            </w:r>
          </w:p>
        </w:tc>
        <w:tc>
          <w:tcPr>
            <w:tcW w:w="6521" w:type="dxa"/>
          </w:tcPr>
          <w:p w:rsidRPr="00556A01" w:rsidR="00F67DA3" w:rsidP="00104D6D" w:rsidRDefault="00F67DA3" w14:paraId="1B0721EC" w14:textId="77777777">
            <w:pPr>
              <w:rPr>
                <w:b/>
                <w:bCs/>
                <w:szCs w:val="18"/>
              </w:rPr>
            </w:pPr>
            <w:r w:rsidRPr="00556A01">
              <w:rPr>
                <w:b/>
                <w:bCs/>
                <w:szCs w:val="18"/>
              </w:rPr>
              <w:t>Welke concrete afspraken werden al in het opleidingsberaad leraren gemaakt? In hoeverre is al resultaat zichtbaar van deze afspraken?</w:t>
            </w:r>
          </w:p>
          <w:p w:rsidR="00F67DA3" w:rsidP="00104D6D" w:rsidRDefault="00F67DA3" w14:paraId="7BAD268F" w14:textId="77777777">
            <w:pPr>
              <w:rPr>
                <w:szCs w:val="18"/>
              </w:rPr>
            </w:pPr>
          </w:p>
          <w:p w:rsidR="00F67DA3" w:rsidP="00104D6D" w:rsidRDefault="00F67DA3" w14:paraId="3CAD3542" w14:textId="73FDBBB9">
            <w:pPr>
              <w:rPr>
                <w:szCs w:val="18"/>
              </w:rPr>
            </w:pPr>
            <w:r w:rsidRPr="00342F83">
              <w:t xml:space="preserve">Het Opleidingsberaad Leraren is een platform van de overheid, lerarenorganisaties, werkgevers en opleiders om afspraken te maken over het opleiden van leraren. Voor de zomer zijn in het opleidingsberaad afspraken gemaakt over de herijking van de </w:t>
            </w:r>
            <w:r>
              <w:t>leergebieden van de</w:t>
            </w:r>
            <w:r w:rsidR="00B57C59">
              <w:t xml:space="preserve"> landelijke</w:t>
            </w:r>
            <w:r>
              <w:t xml:space="preserve"> </w:t>
            </w:r>
            <w:r w:rsidRPr="00342F83">
              <w:t xml:space="preserve">kennisbases waarin de landelijke afspraken over de inhoud van de </w:t>
            </w:r>
            <w:r w:rsidR="00B57C59">
              <w:t>pabo-opleidingen</w:t>
            </w:r>
            <w:r w:rsidRPr="00342F83" w:rsidR="00B57C59">
              <w:t xml:space="preserve"> </w:t>
            </w:r>
            <w:r w:rsidRPr="00342F83">
              <w:t xml:space="preserve">zijn vastgelegd. </w:t>
            </w:r>
            <w:r w:rsidR="00B57C59">
              <w:t xml:space="preserve">Daarbij </w:t>
            </w:r>
            <w:r w:rsidR="00773092">
              <w:t>zijn</w:t>
            </w:r>
            <w:r w:rsidRPr="00342F83">
              <w:t xml:space="preserve"> er meer leraren zijn opgenomen in de ontwikkelteams die momenteel werken aan de leergebieden taal en rekenen</w:t>
            </w:r>
            <w:r w:rsidR="00B57C59">
              <w:t xml:space="preserve"> in deze kennisbases</w:t>
            </w:r>
            <w:r w:rsidRPr="00342F83">
              <w:t xml:space="preserve">. Daarnaast denken alle relevante netwerken van experts </w:t>
            </w:r>
            <w:r w:rsidRPr="00342F83">
              <w:lastRenderedPageBreak/>
              <w:t xml:space="preserve">op taal en rekenen mee in een advieskring en is de opdracht aan de ontwikkelteams meer gericht op focus en aandacht op de basis en terugdringen van overladenheid. Dit najaar leveren deze ontwikkelteams hun eerste deelproducten op. In het Opleidingsberaad wordt dan besproken of deze voldoende invulling geven aan de behoeftes bij de verschillende partners (lerarenorganisaties, werkgevers, opleiders, overheid). Dit moet leiden tot </w:t>
            </w:r>
            <w:r>
              <w:t>herijking van de</w:t>
            </w:r>
            <w:r w:rsidRPr="00342F83">
              <w:t xml:space="preserve"> leergebieden taal en rekenen die aansluiten op de nieuwe kerndoelen en de behoeftes in het werkveld</w:t>
            </w:r>
            <w:r w:rsidR="005975E5">
              <w:t>.</w:t>
            </w:r>
            <w:r w:rsidRPr="00342F83">
              <w:t xml:space="preserve"> Deze nieuwe leergebieden zijn naar verwachting per september 2026 in alle pabo-opleidingen geïmplementeerd.</w:t>
            </w:r>
          </w:p>
          <w:p w:rsidRPr="000F2477" w:rsidR="00F67DA3" w:rsidP="00104D6D" w:rsidRDefault="00F67DA3" w14:paraId="5BE101D0" w14:textId="77777777">
            <w:pPr>
              <w:rPr>
                <w:szCs w:val="18"/>
              </w:rPr>
            </w:pPr>
          </w:p>
        </w:tc>
        <w:tc>
          <w:tcPr>
            <w:tcW w:w="850" w:type="dxa"/>
          </w:tcPr>
          <w:p w:rsidRPr="000F2477" w:rsidR="00F67DA3" w:rsidP="00104D6D" w:rsidRDefault="00F67DA3" w14:paraId="620F646C" w14:textId="77777777">
            <w:pPr>
              <w:jc w:val="right"/>
              <w:rPr>
                <w:szCs w:val="18"/>
              </w:rPr>
            </w:pPr>
          </w:p>
        </w:tc>
        <w:tc>
          <w:tcPr>
            <w:tcW w:w="992" w:type="dxa"/>
          </w:tcPr>
          <w:p w:rsidRPr="000F2477" w:rsidR="00F67DA3" w:rsidP="00104D6D" w:rsidRDefault="00F67DA3" w14:paraId="038C779A" w14:textId="77777777">
            <w:pPr>
              <w:jc w:val="right"/>
              <w:rPr>
                <w:szCs w:val="18"/>
              </w:rPr>
            </w:pPr>
            <w:r w:rsidRPr="000F2477">
              <w:rPr>
                <w:szCs w:val="18"/>
              </w:rPr>
              <w:t>3</w:t>
            </w:r>
          </w:p>
        </w:tc>
        <w:tc>
          <w:tcPr>
            <w:tcW w:w="567" w:type="dxa"/>
            <w:tcBorders>
              <w:left w:val="nil"/>
            </w:tcBorders>
          </w:tcPr>
          <w:p w:rsidRPr="000F2477" w:rsidR="00F67DA3" w:rsidP="00104D6D" w:rsidRDefault="00F67DA3" w14:paraId="3ED505CB" w14:textId="77777777">
            <w:pPr>
              <w:jc w:val="right"/>
              <w:rPr>
                <w:szCs w:val="18"/>
              </w:rPr>
            </w:pPr>
            <w:r w:rsidRPr="000F2477">
              <w:rPr>
                <w:szCs w:val="18"/>
              </w:rPr>
              <w:t xml:space="preserve"> </w:t>
            </w:r>
          </w:p>
        </w:tc>
      </w:tr>
      <w:tr w:rsidRPr="000F2477" w:rsidR="00F67DA3" w:rsidTr="00104D6D" w14:paraId="5402A909" w14:textId="77777777">
        <w:tc>
          <w:tcPr>
            <w:tcW w:w="567" w:type="dxa"/>
          </w:tcPr>
          <w:p w:rsidRPr="00556A01" w:rsidR="00F67DA3" w:rsidP="00104D6D" w:rsidRDefault="00F67DA3" w14:paraId="3AD1CCC0" w14:textId="77777777">
            <w:pPr>
              <w:rPr>
                <w:b/>
                <w:bCs/>
                <w:szCs w:val="18"/>
              </w:rPr>
            </w:pPr>
            <w:r w:rsidRPr="00556A01">
              <w:rPr>
                <w:b/>
                <w:bCs/>
                <w:szCs w:val="18"/>
              </w:rPr>
              <w:t>10</w:t>
            </w:r>
          </w:p>
        </w:tc>
        <w:tc>
          <w:tcPr>
            <w:tcW w:w="6521" w:type="dxa"/>
          </w:tcPr>
          <w:p w:rsidRPr="00556A01" w:rsidR="00F67DA3" w:rsidP="00104D6D" w:rsidRDefault="00F67DA3" w14:paraId="1DA8C0D6" w14:textId="77777777">
            <w:pPr>
              <w:rPr>
                <w:b/>
                <w:bCs/>
                <w:szCs w:val="18"/>
              </w:rPr>
            </w:pPr>
            <w:r w:rsidRPr="00556A01">
              <w:rPr>
                <w:b/>
                <w:bCs/>
                <w:szCs w:val="18"/>
              </w:rPr>
              <w:t>Welke concrete keuzes hebben tot op heden geleid tot minder overladenheid?</w:t>
            </w:r>
          </w:p>
          <w:p w:rsidR="00F67DA3" w:rsidP="00104D6D" w:rsidRDefault="00F67DA3" w14:paraId="6DFA9879" w14:textId="77777777">
            <w:pPr>
              <w:rPr>
                <w:szCs w:val="18"/>
              </w:rPr>
            </w:pPr>
          </w:p>
          <w:p w:rsidR="00F67DA3" w:rsidP="00104D6D" w:rsidRDefault="00F67DA3" w14:paraId="5559CBD1" w14:textId="606B1875">
            <w:pPr>
              <w:rPr>
                <w:szCs w:val="18"/>
              </w:rPr>
            </w:pPr>
            <w:r w:rsidRPr="00342F83">
              <w:t xml:space="preserve">De partners binnen het Opleidingsberaad </w:t>
            </w:r>
            <w:r>
              <w:t xml:space="preserve">Leraren </w:t>
            </w:r>
            <w:r w:rsidRPr="00342F83">
              <w:t>delen de ambitie om de overladenheid in de curricula van de lerarenopleidingen te verminderen</w:t>
            </w:r>
            <w:r w:rsidR="00773092">
              <w:t>. Een duidelijke focus gericht op de behoefte in het werkveld (en de focus in het curriculum in het funderend onderwijs) is dus gewenst.</w:t>
            </w:r>
            <w:r w:rsidRPr="00342F83">
              <w:t xml:space="preserve"> De eerste concrete keuzes en resultaten zullen terug te zien zijn in de </w:t>
            </w:r>
            <w:r>
              <w:t>vernieuwde</w:t>
            </w:r>
            <w:r w:rsidRPr="00342F83">
              <w:t xml:space="preserve"> leergebieden taal en rekenen van de kennisbases voor de pabo’s</w:t>
            </w:r>
            <w:r w:rsidR="005975E5">
              <w:t xml:space="preserve">. Deze worden </w:t>
            </w:r>
            <w:r w:rsidRPr="00342F83">
              <w:t>nu ontwikkeld in vervolg op de opdracht die voor de zomer in het Opleidingsberaad</w:t>
            </w:r>
            <w:r>
              <w:t xml:space="preserve"> Leraren</w:t>
            </w:r>
            <w:r w:rsidRPr="00342F83">
              <w:t xml:space="preserve"> is besproken. De </w:t>
            </w:r>
            <w:r>
              <w:t>vernieuwde</w:t>
            </w:r>
            <w:r w:rsidRPr="00342F83">
              <w:t xml:space="preserve"> leergebieden zijn naar verwachting per september 2026 bij alle pabo’s geïmplementeerd.</w:t>
            </w:r>
            <w:r w:rsidR="007058CA">
              <w:t xml:space="preserve"> De implementatie van de overige leergebieden volgt het ritme van definitieve oplevering van de vernieuwde kerndoelen voor het funderend onderwijs.</w:t>
            </w:r>
          </w:p>
          <w:p w:rsidRPr="000F2477" w:rsidR="00F67DA3" w:rsidP="00104D6D" w:rsidRDefault="00F67DA3" w14:paraId="70ECF9AC" w14:textId="77777777">
            <w:pPr>
              <w:rPr>
                <w:szCs w:val="18"/>
              </w:rPr>
            </w:pPr>
          </w:p>
        </w:tc>
        <w:tc>
          <w:tcPr>
            <w:tcW w:w="850" w:type="dxa"/>
          </w:tcPr>
          <w:p w:rsidRPr="000F2477" w:rsidR="00F67DA3" w:rsidP="00104D6D" w:rsidRDefault="00F67DA3" w14:paraId="4E333923" w14:textId="77777777">
            <w:pPr>
              <w:jc w:val="right"/>
              <w:rPr>
                <w:szCs w:val="18"/>
              </w:rPr>
            </w:pPr>
          </w:p>
        </w:tc>
        <w:tc>
          <w:tcPr>
            <w:tcW w:w="992" w:type="dxa"/>
          </w:tcPr>
          <w:p w:rsidRPr="000F2477" w:rsidR="00F67DA3" w:rsidP="00104D6D" w:rsidRDefault="00F67DA3" w14:paraId="1E23E515" w14:textId="77777777">
            <w:pPr>
              <w:jc w:val="right"/>
              <w:rPr>
                <w:szCs w:val="18"/>
              </w:rPr>
            </w:pPr>
            <w:r w:rsidRPr="000F2477">
              <w:rPr>
                <w:szCs w:val="18"/>
              </w:rPr>
              <w:t>4</w:t>
            </w:r>
          </w:p>
        </w:tc>
        <w:tc>
          <w:tcPr>
            <w:tcW w:w="567" w:type="dxa"/>
            <w:tcBorders>
              <w:left w:val="nil"/>
            </w:tcBorders>
          </w:tcPr>
          <w:p w:rsidRPr="000F2477" w:rsidR="00F67DA3" w:rsidP="00104D6D" w:rsidRDefault="00F67DA3" w14:paraId="621829A6" w14:textId="77777777">
            <w:pPr>
              <w:jc w:val="right"/>
              <w:rPr>
                <w:szCs w:val="18"/>
              </w:rPr>
            </w:pPr>
            <w:r w:rsidRPr="000F2477">
              <w:rPr>
                <w:szCs w:val="18"/>
              </w:rPr>
              <w:t xml:space="preserve"> </w:t>
            </w:r>
          </w:p>
        </w:tc>
      </w:tr>
      <w:tr w:rsidRPr="000F2477" w:rsidR="00F67DA3" w:rsidTr="00104D6D" w14:paraId="1CD6DA64" w14:textId="77777777">
        <w:tc>
          <w:tcPr>
            <w:tcW w:w="567" w:type="dxa"/>
          </w:tcPr>
          <w:p w:rsidRPr="00556A01" w:rsidR="00F67DA3" w:rsidP="00104D6D" w:rsidRDefault="00F67DA3" w14:paraId="051B8F0C" w14:textId="77777777">
            <w:pPr>
              <w:rPr>
                <w:b/>
                <w:bCs/>
                <w:szCs w:val="18"/>
              </w:rPr>
            </w:pPr>
            <w:r w:rsidRPr="00556A01">
              <w:rPr>
                <w:b/>
                <w:bCs/>
                <w:szCs w:val="18"/>
              </w:rPr>
              <w:t>11</w:t>
            </w:r>
          </w:p>
        </w:tc>
        <w:tc>
          <w:tcPr>
            <w:tcW w:w="6521" w:type="dxa"/>
          </w:tcPr>
          <w:p w:rsidRPr="00556A01" w:rsidR="00F67DA3" w:rsidP="00104D6D" w:rsidRDefault="00F67DA3" w14:paraId="0D4B6B7F" w14:textId="77777777">
            <w:pPr>
              <w:rPr>
                <w:b/>
                <w:bCs/>
                <w:szCs w:val="18"/>
              </w:rPr>
            </w:pPr>
            <w:r w:rsidRPr="00556A01">
              <w:rPr>
                <w:b/>
                <w:bCs/>
                <w:szCs w:val="18"/>
              </w:rPr>
              <w:t>Welke rol speelt de Nederlandse taal bij het opleiden van statushouders?</w:t>
            </w:r>
          </w:p>
          <w:p w:rsidRPr="000F2477" w:rsidR="00F67DA3" w:rsidP="00104D6D" w:rsidRDefault="00F67DA3" w14:paraId="21679A17" w14:textId="77777777">
            <w:pPr>
              <w:rPr>
                <w:szCs w:val="18"/>
              </w:rPr>
            </w:pPr>
          </w:p>
          <w:p w:rsidRPr="000F2477" w:rsidR="00F67DA3" w:rsidP="00104D6D" w:rsidRDefault="00F67DA3" w14:paraId="1E8F2B9D" w14:textId="13D82C60">
            <w:pPr>
              <w:rPr>
                <w:szCs w:val="18"/>
              </w:rPr>
            </w:pPr>
            <w:r w:rsidRPr="000F2477">
              <w:rPr>
                <w:szCs w:val="18"/>
              </w:rPr>
              <w:t xml:space="preserve">De subsidieregeling Statushouders en Oekraïense ontheemden en de stap naar de klas (SOVDK) biedt scholen een financiële tegemoetkoming van </w:t>
            </w:r>
            <w:r>
              <w:rPr>
                <w:szCs w:val="18"/>
              </w:rPr>
              <w:t xml:space="preserve">€ </w:t>
            </w:r>
            <w:r w:rsidRPr="000F2477">
              <w:rPr>
                <w:szCs w:val="18"/>
              </w:rPr>
              <w:t>10</w:t>
            </w:r>
            <w:r>
              <w:rPr>
                <w:szCs w:val="18"/>
              </w:rPr>
              <w:t>.</w:t>
            </w:r>
            <w:r w:rsidRPr="000F2477">
              <w:rPr>
                <w:szCs w:val="18"/>
              </w:rPr>
              <w:t xml:space="preserve">000 in de opleidings- en begeleidingskosten van een statushouder of Oekraïense ontheemde met potentie om voor de klas te staan. Om in aanmerking te komen voor een aanvraag worden er eisen </w:t>
            </w:r>
            <w:r>
              <w:rPr>
                <w:szCs w:val="18"/>
              </w:rPr>
              <w:t xml:space="preserve">gesteld </w:t>
            </w:r>
            <w:r w:rsidR="00773092">
              <w:rPr>
                <w:szCs w:val="18"/>
              </w:rPr>
              <w:t>aan</w:t>
            </w:r>
            <w:r w:rsidRPr="000F2477" w:rsidR="00773092">
              <w:rPr>
                <w:szCs w:val="18"/>
              </w:rPr>
              <w:t xml:space="preserve"> </w:t>
            </w:r>
            <w:r w:rsidRPr="000F2477">
              <w:rPr>
                <w:szCs w:val="18"/>
              </w:rPr>
              <w:t>de taal</w:t>
            </w:r>
            <w:r w:rsidR="00773092">
              <w:rPr>
                <w:szCs w:val="18"/>
              </w:rPr>
              <w:t>beheersing</w:t>
            </w:r>
            <w:r w:rsidRPr="000F2477">
              <w:rPr>
                <w:szCs w:val="18"/>
              </w:rPr>
              <w:t xml:space="preserve"> </w:t>
            </w:r>
            <w:r w:rsidR="00773092">
              <w:rPr>
                <w:szCs w:val="18"/>
              </w:rPr>
              <w:t>v</w:t>
            </w:r>
            <w:r w:rsidRPr="000F2477">
              <w:rPr>
                <w:szCs w:val="18"/>
              </w:rPr>
              <w:t>an de statushouder en het ondersteuningsprogramma</w:t>
            </w:r>
            <w:r w:rsidR="00024AAF">
              <w:rPr>
                <w:szCs w:val="18"/>
              </w:rPr>
              <w:t xml:space="preserve"> dat door een lerarenopleiding of vergelijkbare partij wordt aangeboden</w:t>
            </w:r>
            <w:r w:rsidRPr="000F2477">
              <w:rPr>
                <w:szCs w:val="18"/>
              </w:rPr>
              <w:t>. Zo moet de statushouder of Oekraïense ontheemde op het moment van aanvragen minimaal de Nederlandse taal beheersen op B1 niveau. Ook moet het ondersteuningsprogramma een module Nederlands als tweede taal van minimaal 120 uur omvatten, vaktaal, pedagogiek, vakdidactiek en de aspecten van de Nederlandse onderwijscultuur.</w:t>
            </w:r>
          </w:p>
          <w:p w:rsidRPr="000F2477" w:rsidR="00F67DA3" w:rsidP="00104D6D" w:rsidRDefault="00F67DA3" w14:paraId="7588F5E8" w14:textId="77777777">
            <w:pPr>
              <w:rPr>
                <w:szCs w:val="18"/>
              </w:rPr>
            </w:pPr>
          </w:p>
        </w:tc>
        <w:tc>
          <w:tcPr>
            <w:tcW w:w="850" w:type="dxa"/>
          </w:tcPr>
          <w:p w:rsidRPr="000F2477" w:rsidR="00F67DA3" w:rsidP="00104D6D" w:rsidRDefault="00F67DA3" w14:paraId="224EB740" w14:textId="77777777">
            <w:pPr>
              <w:jc w:val="right"/>
              <w:rPr>
                <w:szCs w:val="18"/>
              </w:rPr>
            </w:pPr>
          </w:p>
        </w:tc>
        <w:tc>
          <w:tcPr>
            <w:tcW w:w="992" w:type="dxa"/>
          </w:tcPr>
          <w:p w:rsidRPr="000F2477" w:rsidR="00F67DA3" w:rsidP="00104D6D" w:rsidRDefault="00F67DA3" w14:paraId="40D8D05E" w14:textId="77777777">
            <w:pPr>
              <w:jc w:val="right"/>
              <w:rPr>
                <w:szCs w:val="18"/>
              </w:rPr>
            </w:pPr>
            <w:r w:rsidRPr="000F2477">
              <w:rPr>
                <w:szCs w:val="18"/>
              </w:rPr>
              <w:t>4</w:t>
            </w:r>
          </w:p>
        </w:tc>
        <w:tc>
          <w:tcPr>
            <w:tcW w:w="567" w:type="dxa"/>
            <w:tcBorders>
              <w:left w:val="nil"/>
            </w:tcBorders>
          </w:tcPr>
          <w:p w:rsidRPr="000F2477" w:rsidR="00F67DA3" w:rsidP="00104D6D" w:rsidRDefault="00F67DA3" w14:paraId="58BE6FE0" w14:textId="77777777">
            <w:pPr>
              <w:jc w:val="right"/>
              <w:rPr>
                <w:szCs w:val="18"/>
              </w:rPr>
            </w:pPr>
            <w:r w:rsidRPr="000F2477">
              <w:rPr>
                <w:szCs w:val="18"/>
              </w:rPr>
              <w:t xml:space="preserve"> </w:t>
            </w:r>
          </w:p>
        </w:tc>
      </w:tr>
      <w:tr w:rsidRPr="000F2477" w:rsidR="00F67DA3" w:rsidTr="00104D6D" w14:paraId="46D63359" w14:textId="77777777">
        <w:tc>
          <w:tcPr>
            <w:tcW w:w="567" w:type="dxa"/>
          </w:tcPr>
          <w:p w:rsidRPr="00556A01" w:rsidR="00F67DA3" w:rsidP="00104D6D" w:rsidRDefault="00F67DA3" w14:paraId="7984E506" w14:textId="77777777">
            <w:pPr>
              <w:rPr>
                <w:b/>
                <w:bCs/>
                <w:szCs w:val="18"/>
              </w:rPr>
            </w:pPr>
            <w:r w:rsidRPr="00556A01">
              <w:rPr>
                <w:b/>
                <w:bCs/>
                <w:szCs w:val="18"/>
              </w:rPr>
              <w:t>12</w:t>
            </w:r>
          </w:p>
        </w:tc>
        <w:tc>
          <w:tcPr>
            <w:tcW w:w="6521" w:type="dxa"/>
          </w:tcPr>
          <w:p w:rsidRPr="00556A01" w:rsidR="00F67DA3" w:rsidP="00104D6D" w:rsidRDefault="00F67DA3" w14:paraId="7A5307F2" w14:textId="77777777">
            <w:pPr>
              <w:rPr>
                <w:b/>
                <w:bCs/>
                <w:szCs w:val="18"/>
              </w:rPr>
            </w:pPr>
            <w:r w:rsidRPr="00556A01">
              <w:rPr>
                <w:b/>
                <w:bCs/>
                <w:szCs w:val="18"/>
              </w:rPr>
              <w:t>Welke afspraken zijn er gemaakt over de taalbeheersing van statushouders die worden opgeleid om voor de klas te staan?</w:t>
            </w:r>
          </w:p>
          <w:p w:rsidRPr="000F2477" w:rsidR="00F67DA3" w:rsidP="00104D6D" w:rsidRDefault="00F67DA3" w14:paraId="5E64B6FD" w14:textId="77777777">
            <w:pPr>
              <w:rPr>
                <w:szCs w:val="18"/>
              </w:rPr>
            </w:pPr>
          </w:p>
          <w:p w:rsidRPr="000F2477" w:rsidR="00F67DA3" w:rsidP="00104D6D" w:rsidRDefault="00F67DA3" w14:paraId="58CCED49" w14:textId="2C2C8FCE">
            <w:pPr>
              <w:rPr>
                <w:szCs w:val="18"/>
              </w:rPr>
            </w:pPr>
            <w:r w:rsidRPr="00E2063C">
              <w:rPr>
                <w:szCs w:val="18"/>
              </w:rPr>
              <w:t xml:space="preserve">De statushouder of Oekraïense ontheemde </w:t>
            </w:r>
            <w:r>
              <w:rPr>
                <w:szCs w:val="18"/>
              </w:rPr>
              <w:t xml:space="preserve">moet </w:t>
            </w:r>
            <w:r w:rsidRPr="00E2063C">
              <w:rPr>
                <w:szCs w:val="18"/>
              </w:rPr>
              <w:t xml:space="preserve">op het moment van aanvragen minimaal de Nederlandse taal beheersen op B1 niveau. </w:t>
            </w:r>
            <w:r w:rsidRPr="000F2477">
              <w:rPr>
                <w:szCs w:val="18"/>
              </w:rPr>
              <w:t>D</w:t>
            </w:r>
            <w:r>
              <w:rPr>
                <w:szCs w:val="18"/>
              </w:rPr>
              <w:t>aarnaast geldt dat de s</w:t>
            </w:r>
            <w:r w:rsidRPr="000F2477">
              <w:rPr>
                <w:szCs w:val="18"/>
              </w:rPr>
              <w:t xml:space="preserve">tatushouders of Oekraïense ontheemden een lesbevoegdheid </w:t>
            </w:r>
            <w:r>
              <w:rPr>
                <w:szCs w:val="18"/>
              </w:rPr>
              <w:t xml:space="preserve">moeten </w:t>
            </w:r>
            <w:r w:rsidRPr="000F2477">
              <w:rPr>
                <w:szCs w:val="18"/>
              </w:rPr>
              <w:t xml:space="preserve">hebben </w:t>
            </w:r>
            <w:r>
              <w:rPr>
                <w:szCs w:val="18"/>
              </w:rPr>
              <w:t>die</w:t>
            </w:r>
            <w:r w:rsidRPr="000F2477">
              <w:rPr>
                <w:szCs w:val="18"/>
              </w:rPr>
              <w:t xml:space="preserve"> minimaal gelijk gewaardeerd is aan </w:t>
            </w:r>
            <w:r w:rsidRPr="000F2477">
              <w:rPr>
                <w:szCs w:val="18"/>
              </w:rPr>
              <w:lastRenderedPageBreak/>
              <w:t xml:space="preserve">een Nederlands hogeronderwijsdiploma of in het bezit zijn van een getuigschrift in één van de tekortvakken </w:t>
            </w:r>
            <w:r>
              <w:rPr>
                <w:szCs w:val="18"/>
              </w:rPr>
              <w:t>d</w:t>
            </w:r>
            <w:r w:rsidRPr="000F2477">
              <w:rPr>
                <w:szCs w:val="18"/>
              </w:rPr>
              <w:t xml:space="preserve">at minimaal gelijk gewaardeerd is aan een Nederlands hoger onderwijsdiploma. Het programma is er op gericht al bevoegde docenten bekwaam te maken in de Nederlandse onderwijscontext, potentiële leraren voor te bereiden op een lerarenopleiding of zij-instroomtraject of personen met een </w:t>
            </w:r>
            <w:r w:rsidR="00773092">
              <w:rPr>
                <w:szCs w:val="18"/>
              </w:rPr>
              <w:t>interesse</w:t>
            </w:r>
            <w:r w:rsidRPr="000F2477" w:rsidR="00773092">
              <w:rPr>
                <w:szCs w:val="18"/>
              </w:rPr>
              <w:t xml:space="preserve"> </w:t>
            </w:r>
            <w:r w:rsidRPr="000F2477">
              <w:rPr>
                <w:szCs w:val="18"/>
              </w:rPr>
              <w:t>voor het onderwijs voor te bereiden op een andere functie in het onderwijs.</w:t>
            </w:r>
          </w:p>
          <w:p w:rsidRPr="000F2477" w:rsidR="00F67DA3" w:rsidP="00104D6D" w:rsidRDefault="00F67DA3" w14:paraId="48B80081" w14:textId="77777777">
            <w:pPr>
              <w:rPr>
                <w:szCs w:val="18"/>
              </w:rPr>
            </w:pPr>
          </w:p>
        </w:tc>
        <w:tc>
          <w:tcPr>
            <w:tcW w:w="850" w:type="dxa"/>
          </w:tcPr>
          <w:p w:rsidRPr="000F2477" w:rsidR="00F67DA3" w:rsidP="00104D6D" w:rsidRDefault="00F67DA3" w14:paraId="55F83FC9" w14:textId="77777777">
            <w:pPr>
              <w:jc w:val="right"/>
              <w:rPr>
                <w:szCs w:val="18"/>
              </w:rPr>
            </w:pPr>
          </w:p>
        </w:tc>
        <w:tc>
          <w:tcPr>
            <w:tcW w:w="992" w:type="dxa"/>
          </w:tcPr>
          <w:p w:rsidRPr="000F2477" w:rsidR="00F67DA3" w:rsidP="00104D6D" w:rsidRDefault="00F67DA3" w14:paraId="2FB3E394" w14:textId="77777777">
            <w:pPr>
              <w:jc w:val="right"/>
              <w:rPr>
                <w:szCs w:val="18"/>
              </w:rPr>
            </w:pPr>
            <w:r w:rsidRPr="000F2477">
              <w:rPr>
                <w:szCs w:val="18"/>
              </w:rPr>
              <w:t>4</w:t>
            </w:r>
          </w:p>
        </w:tc>
        <w:tc>
          <w:tcPr>
            <w:tcW w:w="567" w:type="dxa"/>
            <w:tcBorders>
              <w:left w:val="nil"/>
            </w:tcBorders>
          </w:tcPr>
          <w:p w:rsidRPr="000F2477" w:rsidR="00F67DA3" w:rsidP="00104D6D" w:rsidRDefault="00F67DA3" w14:paraId="232E6B46" w14:textId="77777777">
            <w:pPr>
              <w:jc w:val="right"/>
              <w:rPr>
                <w:szCs w:val="18"/>
              </w:rPr>
            </w:pPr>
            <w:r w:rsidRPr="000F2477">
              <w:rPr>
                <w:szCs w:val="18"/>
              </w:rPr>
              <w:t xml:space="preserve"> </w:t>
            </w:r>
          </w:p>
        </w:tc>
      </w:tr>
      <w:tr w:rsidRPr="000F2477" w:rsidR="00F67DA3" w:rsidTr="00104D6D" w14:paraId="642AA5D3" w14:textId="77777777">
        <w:tc>
          <w:tcPr>
            <w:tcW w:w="567" w:type="dxa"/>
          </w:tcPr>
          <w:p w:rsidRPr="00556A01" w:rsidR="00F67DA3" w:rsidP="00104D6D" w:rsidRDefault="00F67DA3" w14:paraId="227CABC9" w14:textId="77777777">
            <w:pPr>
              <w:rPr>
                <w:b/>
                <w:bCs/>
                <w:szCs w:val="18"/>
              </w:rPr>
            </w:pPr>
            <w:r w:rsidRPr="00556A01">
              <w:rPr>
                <w:b/>
                <w:bCs/>
                <w:szCs w:val="18"/>
              </w:rPr>
              <w:t>13</w:t>
            </w:r>
          </w:p>
        </w:tc>
        <w:tc>
          <w:tcPr>
            <w:tcW w:w="6521" w:type="dxa"/>
          </w:tcPr>
          <w:p w:rsidRPr="00556A01" w:rsidR="00F67DA3" w:rsidP="00104D6D" w:rsidRDefault="00F67DA3" w14:paraId="23D6F851" w14:textId="77777777">
            <w:pPr>
              <w:rPr>
                <w:b/>
                <w:bCs/>
                <w:szCs w:val="18"/>
              </w:rPr>
            </w:pPr>
            <w:r w:rsidRPr="00556A01">
              <w:rPr>
                <w:b/>
                <w:bCs/>
                <w:szCs w:val="18"/>
              </w:rPr>
              <w:t>Streeft het opleidingsberaad leraren, naast het bevorderen van de onderwijskwaliteit door samen met betrokkenen een landelijke basis vast te stellen en focus aan te brengen in de inhoud van de lerarenopleidingen, ook naar uniformiteit in het curriculum?</w:t>
            </w:r>
          </w:p>
          <w:p w:rsidR="00F67DA3" w:rsidP="00104D6D" w:rsidRDefault="00F67DA3" w14:paraId="0900FB0B" w14:textId="77777777">
            <w:pPr>
              <w:rPr>
                <w:szCs w:val="18"/>
              </w:rPr>
            </w:pPr>
          </w:p>
          <w:p w:rsidR="00F67DA3" w:rsidP="00104D6D" w:rsidRDefault="00F67DA3" w14:paraId="05AB90A5" w14:textId="3DE110BD">
            <w:pPr>
              <w:rPr>
                <w:szCs w:val="18"/>
              </w:rPr>
            </w:pPr>
            <w:r w:rsidRPr="00342F83">
              <w:t xml:space="preserve">De inzet van de </w:t>
            </w:r>
            <w:r w:rsidR="00773092">
              <w:t>overheid</w:t>
            </w:r>
            <w:r w:rsidRPr="00342F83" w:rsidR="00773092">
              <w:t xml:space="preserve"> </w:t>
            </w:r>
            <w:r w:rsidRPr="00342F83">
              <w:t xml:space="preserve">binnen het Opleidingsberaad </w:t>
            </w:r>
            <w:r>
              <w:t xml:space="preserve">Leraren </w:t>
            </w:r>
            <w:r w:rsidRPr="00342F83">
              <w:t>is gericht op verhoging van de kwaliteit van de kern van de opleiding van leraren met bijzondere aandacht voor de basisvaardigheden</w:t>
            </w:r>
            <w:r w:rsidR="00773092">
              <w:t>. Dit willen we bereiken</w:t>
            </w:r>
            <w:r w:rsidRPr="00342F83">
              <w:t xml:space="preserve"> door op die onderdelen te komen tot scherpere uniforme eisen. De </w:t>
            </w:r>
            <w:r w:rsidR="00773092">
              <w:t>overheid</w:t>
            </w:r>
            <w:r w:rsidRPr="00342F83" w:rsidR="00773092">
              <w:t xml:space="preserve"> </w:t>
            </w:r>
            <w:r w:rsidRPr="00342F83">
              <w:t>zet tegelijkertijd ook in op het scheppen van meer ruimte in het totale curriculum voor innovatie, het aansluiten op specifieke regionale behoeftes en diversiteit in het aanbod zodat lerarenopleidingen aantrekkelijk zijn voor verschillende type studenten.</w:t>
            </w:r>
          </w:p>
          <w:p w:rsidRPr="000F2477" w:rsidR="00F67DA3" w:rsidP="00104D6D" w:rsidRDefault="00F67DA3" w14:paraId="21D8AD89" w14:textId="77777777">
            <w:pPr>
              <w:rPr>
                <w:szCs w:val="18"/>
              </w:rPr>
            </w:pPr>
          </w:p>
        </w:tc>
        <w:tc>
          <w:tcPr>
            <w:tcW w:w="850" w:type="dxa"/>
          </w:tcPr>
          <w:p w:rsidRPr="000F2477" w:rsidR="00F67DA3" w:rsidP="00104D6D" w:rsidRDefault="00F67DA3" w14:paraId="10861EF7" w14:textId="77777777">
            <w:pPr>
              <w:jc w:val="right"/>
              <w:rPr>
                <w:szCs w:val="18"/>
              </w:rPr>
            </w:pPr>
          </w:p>
        </w:tc>
        <w:tc>
          <w:tcPr>
            <w:tcW w:w="992" w:type="dxa"/>
          </w:tcPr>
          <w:p w:rsidRPr="000F2477" w:rsidR="00F67DA3" w:rsidP="00104D6D" w:rsidRDefault="00F67DA3" w14:paraId="045E9412" w14:textId="77777777">
            <w:pPr>
              <w:jc w:val="right"/>
              <w:rPr>
                <w:szCs w:val="18"/>
              </w:rPr>
            </w:pPr>
            <w:r w:rsidRPr="000F2477">
              <w:rPr>
                <w:szCs w:val="18"/>
              </w:rPr>
              <w:t>4</w:t>
            </w:r>
          </w:p>
        </w:tc>
        <w:tc>
          <w:tcPr>
            <w:tcW w:w="567" w:type="dxa"/>
            <w:tcBorders>
              <w:left w:val="nil"/>
            </w:tcBorders>
          </w:tcPr>
          <w:p w:rsidRPr="000F2477" w:rsidR="00F67DA3" w:rsidP="00104D6D" w:rsidRDefault="00F67DA3" w14:paraId="3B631BB4" w14:textId="77777777">
            <w:pPr>
              <w:jc w:val="right"/>
              <w:rPr>
                <w:szCs w:val="18"/>
              </w:rPr>
            </w:pPr>
            <w:r w:rsidRPr="000F2477">
              <w:rPr>
                <w:szCs w:val="18"/>
              </w:rPr>
              <w:t xml:space="preserve"> </w:t>
            </w:r>
          </w:p>
        </w:tc>
      </w:tr>
      <w:tr w:rsidRPr="000F2477" w:rsidR="00F67DA3" w:rsidTr="00104D6D" w14:paraId="6841EA4D" w14:textId="77777777">
        <w:tc>
          <w:tcPr>
            <w:tcW w:w="567" w:type="dxa"/>
          </w:tcPr>
          <w:p w:rsidRPr="00EE357A" w:rsidR="00F67DA3" w:rsidP="00104D6D" w:rsidRDefault="00F67DA3" w14:paraId="53287CE6" w14:textId="77777777">
            <w:pPr>
              <w:rPr>
                <w:b/>
                <w:bCs/>
                <w:szCs w:val="18"/>
              </w:rPr>
            </w:pPr>
            <w:r w:rsidRPr="00EE357A">
              <w:rPr>
                <w:b/>
                <w:bCs/>
                <w:szCs w:val="18"/>
              </w:rPr>
              <w:t>14</w:t>
            </w:r>
          </w:p>
        </w:tc>
        <w:tc>
          <w:tcPr>
            <w:tcW w:w="6521" w:type="dxa"/>
          </w:tcPr>
          <w:p w:rsidRPr="00EE357A" w:rsidR="00F67DA3" w:rsidP="00104D6D" w:rsidRDefault="00F67DA3" w14:paraId="534C56F3" w14:textId="77777777">
            <w:pPr>
              <w:rPr>
                <w:szCs w:val="18"/>
              </w:rPr>
            </w:pPr>
            <w:r w:rsidRPr="00EE357A">
              <w:rPr>
                <w:b/>
                <w:bCs/>
                <w:szCs w:val="18"/>
              </w:rPr>
              <w:t>Op welke manier wordt meegenomen dat er binnen lerarenopleidingen meer aandacht moet worden besteed voor het begeleiden van</w:t>
            </w:r>
            <w:r w:rsidRPr="00EE357A">
              <w:rPr>
                <w:szCs w:val="18"/>
              </w:rPr>
              <w:t xml:space="preserve"> </w:t>
            </w:r>
            <w:r w:rsidRPr="00EE357A">
              <w:rPr>
                <w:b/>
                <w:bCs/>
                <w:szCs w:val="18"/>
              </w:rPr>
              <w:t>leerlingen met extra ondersteuningsbehoeften?</w:t>
            </w:r>
          </w:p>
          <w:p w:rsidRPr="00EE357A" w:rsidR="00F67DA3" w:rsidP="00104D6D" w:rsidRDefault="00FD3182" w14:paraId="32B0887D" w14:textId="77777777">
            <w:pPr>
              <w:rPr>
                <w:szCs w:val="18"/>
              </w:rPr>
            </w:pPr>
            <w:r>
              <w:rPr>
                <w:szCs w:val="18"/>
              </w:rPr>
              <w:t xml:space="preserve"> </w:t>
            </w:r>
          </w:p>
          <w:p w:rsidR="00F67DA3" w:rsidP="00104D6D" w:rsidRDefault="005975E5" w14:paraId="1A84FAE8" w14:textId="58F54590">
            <w:pPr>
              <w:rPr>
                <w:szCs w:val="18"/>
              </w:rPr>
            </w:pPr>
            <w:r>
              <w:rPr>
                <w:szCs w:val="18"/>
              </w:rPr>
              <w:t>Kortgeleden is h</w:t>
            </w:r>
            <w:r w:rsidRPr="00EE357A" w:rsidR="00F67DA3">
              <w:rPr>
                <w:szCs w:val="18"/>
              </w:rPr>
              <w:t>et</w:t>
            </w:r>
            <w:r>
              <w:rPr>
                <w:szCs w:val="18"/>
              </w:rPr>
              <w:t xml:space="preserve"> door Researchned uitgevoerde</w:t>
            </w:r>
            <w:r w:rsidRPr="00EE357A" w:rsidR="00F67DA3">
              <w:rPr>
                <w:szCs w:val="18"/>
              </w:rPr>
              <w:t xml:space="preserve"> onderzoek</w:t>
            </w:r>
            <w:r w:rsidR="00FD3182">
              <w:rPr>
                <w:szCs w:val="18"/>
              </w:rPr>
              <w:t xml:space="preserve"> ‘</w:t>
            </w:r>
            <w:r w:rsidRPr="00FD3182" w:rsidR="00FD3182">
              <w:rPr>
                <w:szCs w:val="18"/>
              </w:rPr>
              <w:t>Behoeften bij leraren en docenten aan ondersteuning en professionalisering bij passend en meer inclusief onderwijs</w:t>
            </w:r>
            <w:r w:rsidR="00FD3182">
              <w:rPr>
                <w:szCs w:val="18"/>
              </w:rPr>
              <w:t>’</w:t>
            </w:r>
            <w:r>
              <w:rPr>
                <w:szCs w:val="18"/>
              </w:rPr>
              <w:t xml:space="preserve"> </w:t>
            </w:r>
            <w:r w:rsidRPr="00EE357A" w:rsidR="00F67DA3">
              <w:rPr>
                <w:szCs w:val="18"/>
              </w:rPr>
              <w:t xml:space="preserve">afgerond. </w:t>
            </w:r>
            <w:r w:rsidR="00117751">
              <w:rPr>
                <w:szCs w:val="18"/>
              </w:rPr>
              <w:t>Dit</w:t>
            </w:r>
            <w:r w:rsidR="00F67DA3">
              <w:rPr>
                <w:szCs w:val="18"/>
              </w:rPr>
              <w:t xml:space="preserve"> najaar sturen wij uw Kamer </w:t>
            </w:r>
            <w:r w:rsidRPr="00EE357A" w:rsidR="00F67DA3">
              <w:rPr>
                <w:szCs w:val="18"/>
              </w:rPr>
              <w:t>de beleidsreactie op dit onderzoek</w:t>
            </w:r>
            <w:r w:rsidR="00F67DA3">
              <w:rPr>
                <w:szCs w:val="18"/>
              </w:rPr>
              <w:t xml:space="preserve"> tezamen met het onderzoeksrapport. Daar </w:t>
            </w:r>
            <w:r w:rsidRPr="00EE357A" w:rsidR="00F67DA3">
              <w:rPr>
                <w:szCs w:val="18"/>
              </w:rPr>
              <w:t xml:space="preserve">gaan we in op de gewenste verandering in lerarenopleidingen </w:t>
            </w:r>
            <w:r w:rsidRPr="001F2518" w:rsidR="001F2518">
              <w:rPr>
                <w:szCs w:val="18"/>
              </w:rPr>
              <w:t>die ervoor moet zorgen dat leraren beter toegerust zijn in het begeleiden van leerlingen met een ondersteuningsbehoefte.</w:t>
            </w:r>
          </w:p>
          <w:p w:rsidRPr="00EE357A" w:rsidR="00615D4A" w:rsidP="00104D6D" w:rsidRDefault="00615D4A" w14:paraId="3A3E0523" w14:textId="77777777">
            <w:pPr>
              <w:rPr>
                <w:szCs w:val="18"/>
              </w:rPr>
            </w:pPr>
          </w:p>
        </w:tc>
        <w:tc>
          <w:tcPr>
            <w:tcW w:w="850" w:type="dxa"/>
          </w:tcPr>
          <w:p w:rsidRPr="000F2477" w:rsidR="00F67DA3" w:rsidP="00104D6D" w:rsidRDefault="00F67DA3" w14:paraId="7857D76B" w14:textId="77777777">
            <w:pPr>
              <w:jc w:val="right"/>
              <w:rPr>
                <w:szCs w:val="18"/>
              </w:rPr>
            </w:pPr>
          </w:p>
        </w:tc>
        <w:tc>
          <w:tcPr>
            <w:tcW w:w="992" w:type="dxa"/>
          </w:tcPr>
          <w:p w:rsidRPr="000F2477" w:rsidR="00F67DA3" w:rsidP="00104D6D" w:rsidRDefault="00F67DA3" w14:paraId="5CF01D8E" w14:textId="77777777">
            <w:pPr>
              <w:jc w:val="right"/>
              <w:rPr>
                <w:szCs w:val="18"/>
              </w:rPr>
            </w:pPr>
            <w:r w:rsidRPr="000F2477">
              <w:rPr>
                <w:szCs w:val="18"/>
              </w:rPr>
              <w:t>4</w:t>
            </w:r>
          </w:p>
        </w:tc>
        <w:tc>
          <w:tcPr>
            <w:tcW w:w="567" w:type="dxa"/>
            <w:tcBorders>
              <w:left w:val="nil"/>
            </w:tcBorders>
          </w:tcPr>
          <w:p w:rsidRPr="000F2477" w:rsidR="00F67DA3" w:rsidP="00104D6D" w:rsidRDefault="00F67DA3" w14:paraId="02AAA9D4" w14:textId="77777777">
            <w:pPr>
              <w:jc w:val="right"/>
              <w:rPr>
                <w:szCs w:val="18"/>
              </w:rPr>
            </w:pPr>
            <w:r w:rsidRPr="000F2477">
              <w:rPr>
                <w:szCs w:val="18"/>
              </w:rPr>
              <w:t xml:space="preserve"> </w:t>
            </w:r>
          </w:p>
        </w:tc>
      </w:tr>
      <w:tr w:rsidRPr="000F2477" w:rsidR="00F67DA3" w:rsidTr="00104D6D" w14:paraId="25E39038" w14:textId="77777777">
        <w:tc>
          <w:tcPr>
            <w:tcW w:w="567" w:type="dxa"/>
          </w:tcPr>
          <w:p w:rsidRPr="00EE357A" w:rsidR="00F67DA3" w:rsidP="00104D6D" w:rsidRDefault="00F67DA3" w14:paraId="43C68655" w14:textId="77777777">
            <w:pPr>
              <w:rPr>
                <w:b/>
                <w:bCs/>
                <w:szCs w:val="18"/>
              </w:rPr>
            </w:pPr>
            <w:r w:rsidRPr="00EE357A">
              <w:rPr>
                <w:b/>
                <w:bCs/>
                <w:szCs w:val="18"/>
              </w:rPr>
              <w:t>15</w:t>
            </w:r>
          </w:p>
        </w:tc>
        <w:tc>
          <w:tcPr>
            <w:tcW w:w="6521" w:type="dxa"/>
          </w:tcPr>
          <w:p w:rsidRPr="00EE357A" w:rsidR="00F67DA3" w:rsidP="00104D6D" w:rsidRDefault="00F67DA3" w14:paraId="321C4D1C" w14:textId="77777777">
            <w:pPr>
              <w:rPr>
                <w:b/>
                <w:bCs/>
                <w:szCs w:val="18"/>
              </w:rPr>
            </w:pPr>
            <w:r w:rsidRPr="00EE357A">
              <w:rPr>
                <w:b/>
                <w:bCs/>
                <w:szCs w:val="18"/>
              </w:rPr>
              <w:t>In het primair onderwijs kiest elke school zelf hoe werkdrukmiddelen worden ingezet; hoe wordt gecontroleerd dat deze ook daadwerkelijk aan dit doel worden uitgegeven?</w:t>
            </w:r>
          </w:p>
          <w:p w:rsidRPr="00EE357A" w:rsidR="00F67DA3" w:rsidP="00104D6D" w:rsidRDefault="00F67DA3" w14:paraId="02C70A09" w14:textId="77777777">
            <w:pPr>
              <w:rPr>
                <w:b/>
                <w:bCs/>
                <w:szCs w:val="18"/>
              </w:rPr>
            </w:pPr>
          </w:p>
          <w:p w:rsidRPr="00EE357A" w:rsidR="00F67DA3" w:rsidP="00104D6D" w:rsidRDefault="00F67DA3" w14:paraId="28D8AD19" w14:textId="49A72772">
            <w:pPr>
              <w:rPr>
                <w:color w:val="000000" w:themeColor="text1"/>
                <w:szCs w:val="18"/>
              </w:rPr>
            </w:pPr>
            <w:r w:rsidRPr="00EE357A">
              <w:rPr>
                <w:color w:val="000000" w:themeColor="text1"/>
                <w:szCs w:val="18"/>
              </w:rPr>
              <w:t xml:space="preserve">In het primair onderwijs beslissen schoolteams gezamenlijk waar de middelen voor worden gebruikt, met als uitgangspunt dat deze zo direct </w:t>
            </w:r>
            <w:r w:rsidR="00117751">
              <w:rPr>
                <w:color w:val="000000" w:themeColor="text1"/>
                <w:szCs w:val="18"/>
              </w:rPr>
              <w:t xml:space="preserve">mogelijk </w:t>
            </w:r>
            <w:r w:rsidRPr="00EE357A">
              <w:rPr>
                <w:color w:val="000000" w:themeColor="text1"/>
                <w:szCs w:val="18"/>
              </w:rPr>
              <w:t>ten goede komen aan het verminderen van de werkdruk. De verantwoording van de besteding van deze middelen vindt voornamelijk horizontaal plaats. Het schoolteam moet het bestedingsplan voorleggen aan de personeelsgeleding van de medezeggenschapsraad (</w:t>
            </w:r>
            <w:r w:rsidR="00686DE3">
              <w:rPr>
                <w:color w:val="000000" w:themeColor="text1"/>
                <w:szCs w:val="18"/>
              </w:rPr>
              <w:t>p</w:t>
            </w:r>
            <w:r w:rsidRPr="00EE357A">
              <w:rPr>
                <w:color w:val="000000" w:themeColor="text1"/>
                <w:szCs w:val="18"/>
              </w:rPr>
              <w:t xml:space="preserve">MR) voor goedkeuring. </w:t>
            </w:r>
            <w:r>
              <w:rPr>
                <w:color w:val="000000" w:themeColor="text1"/>
                <w:szCs w:val="18"/>
              </w:rPr>
              <w:t>S</w:t>
            </w:r>
            <w:r w:rsidRPr="00EE357A">
              <w:rPr>
                <w:color w:val="000000" w:themeColor="text1"/>
                <w:szCs w:val="18"/>
              </w:rPr>
              <w:t xml:space="preserve">cholen </w:t>
            </w:r>
            <w:r>
              <w:rPr>
                <w:color w:val="000000" w:themeColor="text1"/>
                <w:szCs w:val="18"/>
              </w:rPr>
              <w:t xml:space="preserve">moeten </w:t>
            </w:r>
            <w:r w:rsidRPr="00EE357A">
              <w:rPr>
                <w:color w:val="000000" w:themeColor="text1"/>
                <w:szCs w:val="18"/>
              </w:rPr>
              <w:t>daarnaast enkele vragen beantwoorden over de werkdrukmiddelen</w:t>
            </w:r>
            <w:r>
              <w:rPr>
                <w:color w:val="000000" w:themeColor="text1"/>
                <w:szCs w:val="18"/>
              </w:rPr>
              <w:t xml:space="preserve"> via </w:t>
            </w:r>
            <w:r w:rsidRPr="00EE357A">
              <w:rPr>
                <w:color w:val="000000" w:themeColor="text1"/>
                <w:szCs w:val="18"/>
              </w:rPr>
              <w:t>het</w:t>
            </w:r>
            <w:r>
              <w:rPr>
                <w:color w:val="000000" w:themeColor="text1"/>
                <w:szCs w:val="18"/>
              </w:rPr>
              <w:t xml:space="preserve"> portaal dat scholen gebruiken voor het aanleveren van de jaarcijfers aan DUO (het</w:t>
            </w:r>
            <w:r w:rsidRPr="00EE357A">
              <w:rPr>
                <w:color w:val="000000" w:themeColor="text1"/>
                <w:szCs w:val="18"/>
              </w:rPr>
              <w:t xml:space="preserve"> XBRL-beleidsportaal</w:t>
            </w:r>
            <w:r>
              <w:rPr>
                <w:color w:val="000000" w:themeColor="text1"/>
                <w:szCs w:val="18"/>
              </w:rPr>
              <w:t>)</w:t>
            </w:r>
            <w:r w:rsidRPr="00EE357A">
              <w:rPr>
                <w:color w:val="000000" w:themeColor="text1"/>
                <w:szCs w:val="18"/>
              </w:rPr>
              <w:t xml:space="preserve">. Ten slotte loopt sinds 2020 een meerjarig monitoronderzoek waarmee in kaart wordt </w:t>
            </w:r>
            <w:r w:rsidRPr="00EE357A">
              <w:rPr>
                <w:color w:val="000000" w:themeColor="text1"/>
                <w:szCs w:val="18"/>
              </w:rPr>
              <w:lastRenderedPageBreak/>
              <w:t>gebracht hoe scholen de werkdrukverlagende maatregelen hebben gekozen en wat het effect is van deze maatregelen.</w:t>
            </w:r>
          </w:p>
          <w:p w:rsidRPr="00EE357A" w:rsidR="00F67DA3" w:rsidP="00104D6D" w:rsidRDefault="00F67DA3" w14:paraId="1B7569E9" w14:textId="77777777">
            <w:pPr>
              <w:rPr>
                <w:color w:val="000000" w:themeColor="text1"/>
                <w:szCs w:val="18"/>
              </w:rPr>
            </w:pPr>
          </w:p>
          <w:p w:rsidRPr="00EE357A" w:rsidR="00F67DA3" w:rsidP="00104D6D" w:rsidRDefault="00F67DA3" w14:paraId="026CC140" w14:textId="3891A68A">
            <w:pPr>
              <w:rPr>
                <w:color w:val="000000" w:themeColor="text1"/>
                <w:szCs w:val="18"/>
              </w:rPr>
            </w:pPr>
            <w:r w:rsidRPr="00EE357A">
              <w:rPr>
                <w:color w:val="000000" w:themeColor="text1"/>
                <w:szCs w:val="18"/>
              </w:rPr>
              <w:t>D</w:t>
            </w:r>
            <w:r>
              <w:rPr>
                <w:color w:val="000000" w:themeColor="text1"/>
                <w:szCs w:val="18"/>
              </w:rPr>
              <w:t>e</w:t>
            </w:r>
            <w:r w:rsidRPr="00EE357A">
              <w:rPr>
                <w:color w:val="000000" w:themeColor="text1"/>
                <w:szCs w:val="18"/>
              </w:rPr>
              <w:t xml:space="preserve"> systematiek van werkdrukmiddelen in het voortgezet onderwijs is nog relatief nieuw en wijkt op punten af</w:t>
            </w:r>
            <w:r w:rsidR="00773092">
              <w:rPr>
                <w:color w:val="000000" w:themeColor="text1"/>
                <w:szCs w:val="18"/>
              </w:rPr>
              <w:t xml:space="preserve"> van de systematiek in het po</w:t>
            </w:r>
            <w:r w:rsidRPr="00EE357A">
              <w:rPr>
                <w:color w:val="000000" w:themeColor="text1"/>
                <w:szCs w:val="18"/>
              </w:rPr>
              <w:t>. De ene helft van deze werkdrukmiddelen wordt besteed aan individuele werkdrukverlichting van personeel en de andere helft wordt besteed aan een collectieve aanpak. Het onderwijspersoneel maakt zelf de plannen</w:t>
            </w:r>
            <w:r w:rsidR="005975E5">
              <w:rPr>
                <w:color w:val="000000" w:themeColor="text1"/>
                <w:szCs w:val="18"/>
              </w:rPr>
              <w:t>.</w:t>
            </w:r>
            <w:r w:rsidRPr="00EE357A">
              <w:rPr>
                <w:color w:val="000000" w:themeColor="text1"/>
                <w:szCs w:val="18"/>
              </w:rPr>
              <w:t xml:space="preserve"> </w:t>
            </w:r>
            <w:r w:rsidR="005975E5">
              <w:rPr>
                <w:color w:val="000000" w:themeColor="text1"/>
                <w:szCs w:val="18"/>
              </w:rPr>
              <w:t>D</w:t>
            </w:r>
            <w:r w:rsidRPr="00EE357A">
              <w:rPr>
                <w:color w:val="000000" w:themeColor="text1"/>
                <w:szCs w:val="18"/>
              </w:rPr>
              <w:t>e</w:t>
            </w:r>
            <w:r w:rsidR="005975E5">
              <w:rPr>
                <w:color w:val="000000" w:themeColor="text1"/>
                <w:szCs w:val="18"/>
              </w:rPr>
              <w:t xml:space="preserve"> personeelsgeleding van de medezeggenschapsraad (pMR) </w:t>
            </w:r>
            <w:r w:rsidRPr="00EE357A">
              <w:rPr>
                <w:color w:val="000000" w:themeColor="text1"/>
                <w:szCs w:val="18"/>
              </w:rPr>
              <w:t xml:space="preserve">bekrachtigt </w:t>
            </w:r>
            <w:r w:rsidR="005975E5">
              <w:rPr>
                <w:color w:val="000000" w:themeColor="text1"/>
                <w:szCs w:val="18"/>
              </w:rPr>
              <w:t>deze plannen</w:t>
            </w:r>
            <w:r w:rsidRPr="00EE357A">
              <w:rPr>
                <w:color w:val="000000" w:themeColor="text1"/>
                <w:szCs w:val="18"/>
              </w:rPr>
              <w:t xml:space="preserve">. Het bestuur legt over de besteding van de middelen verantwoording af in het jaarverslag. Ook in het voortgezet onderwijs wordt hierover verantwoording afgelegd via het XBRL-beleidsportaal. Daarnaast is werkdruk </w:t>
            </w:r>
            <w:r w:rsidR="00117751">
              <w:rPr>
                <w:color w:val="000000" w:themeColor="text1"/>
                <w:szCs w:val="18"/>
              </w:rPr>
              <w:t>éé</w:t>
            </w:r>
            <w:r w:rsidRPr="00EE357A">
              <w:rPr>
                <w:color w:val="000000" w:themeColor="text1"/>
                <w:szCs w:val="18"/>
              </w:rPr>
              <w:t xml:space="preserve">n van de maatschappelijke thema’s in het jaarverslag. </w:t>
            </w:r>
            <w:r>
              <w:rPr>
                <w:color w:val="000000" w:themeColor="text1"/>
                <w:szCs w:val="18"/>
              </w:rPr>
              <w:t>In</w:t>
            </w:r>
            <w:r w:rsidRPr="00EE357A">
              <w:rPr>
                <w:color w:val="000000" w:themeColor="text1"/>
                <w:szCs w:val="18"/>
              </w:rPr>
              <w:t xml:space="preserve"> het po is </w:t>
            </w:r>
            <w:r>
              <w:rPr>
                <w:color w:val="000000" w:themeColor="text1"/>
                <w:szCs w:val="18"/>
              </w:rPr>
              <w:t xml:space="preserve">net </w:t>
            </w:r>
            <w:r w:rsidRPr="00EE357A">
              <w:rPr>
                <w:color w:val="000000" w:themeColor="text1"/>
                <w:szCs w:val="18"/>
              </w:rPr>
              <w:t>een meerjarig monitoronderzoek opgestart naar de maatregelen en hun impact.</w:t>
            </w:r>
            <w:r w:rsidR="00686DE3">
              <w:rPr>
                <w:color w:val="000000" w:themeColor="text1"/>
                <w:szCs w:val="18"/>
              </w:rPr>
              <w:t xml:space="preserve"> Het eerste rapport wordt naar verwachting aan het einde van 2024 opgeleverd.</w:t>
            </w:r>
          </w:p>
          <w:p w:rsidRPr="00EE357A" w:rsidR="00F67DA3" w:rsidP="00104D6D" w:rsidRDefault="00F67DA3" w14:paraId="213E712B" w14:textId="77777777">
            <w:pPr>
              <w:rPr>
                <w:szCs w:val="18"/>
              </w:rPr>
            </w:pPr>
          </w:p>
        </w:tc>
        <w:tc>
          <w:tcPr>
            <w:tcW w:w="850" w:type="dxa"/>
          </w:tcPr>
          <w:p w:rsidRPr="000F2477" w:rsidR="00F67DA3" w:rsidP="00104D6D" w:rsidRDefault="00F67DA3" w14:paraId="73884BF2" w14:textId="77777777">
            <w:pPr>
              <w:jc w:val="right"/>
              <w:rPr>
                <w:szCs w:val="18"/>
              </w:rPr>
            </w:pPr>
          </w:p>
        </w:tc>
        <w:tc>
          <w:tcPr>
            <w:tcW w:w="992" w:type="dxa"/>
          </w:tcPr>
          <w:p w:rsidRPr="000F2477" w:rsidR="00F67DA3" w:rsidP="00104D6D" w:rsidRDefault="00F67DA3" w14:paraId="4ED68524" w14:textId="77777777">
            <w:pPr>
              <w:jc w:val="right"/>
              <w:rPr>
                <w:szCs w:val="18"/>
              </w:rPr>
            </w:pPr>
            <w:r w:rsidRPr="000F2477">
              <w:rPr>
                <w:szCs w:val="18"/>
              </w:rPr>
              <w:t>4</w:t>
            </w:r>
          </w:p>
        </w:tc>
        <w:tc>
          <w:tcPr>
            <w:tcW w:w="567" w:type="dxa"/>
            <w:tcBorders>
              <w:left w:val="nil"/>
            </w:tcBorders>
          </w:tcPr>
          <w:p w:rsidRPr="000F2477" w:rsidR="00F67DA3" w:rsidP="00104D6D" w:rsidRDefault="00F67DA3" w14:paraId="16BE843B" w14:textId="77777777">
            <w:pPr>
              <w:jc w:val="right"/>
              <w:rPr>
                <w:szCs w:val="18"/>
              </w:rPr>
            </w:pPr>
            <w:r w:rsidRPr="000F2477">
              <w:rPr>
                <w:szCs w:val="18"/>
              </w:rPr>
              <w:t xml:space="preserve"> </w:t>
            </w:r>
          </w:p>
        </w:tc>
      </w:tr>
      <w:tr w:rsidRPr="000F2477" w:rsidR="00F67DA3" w:rsidTr="00104D6D" w14:paraId="20A62644" w14:textId="77777777">
        <w:tc>
          <w:tcPr>
            <w:tcW w:w="567" w:type="dxa"/>
          </w:tcPr>
          <w:p w:rsidRPr="00556A01" w:rsidR="00F67DA3" w:rsidP="00104D6D" w:rsidRDefault="00F67DA3" w14:paraId="26208472" w14:textId="77777777">
            <w:pPr>
              <w:rPr>
                <w:b/>
                <w:bCs/>
                <w:szCs w:val="18"/>
              </w:rPr>
            </w:pPr>
            <w:r w:rsidRPr="00556A01">
              <w:rPr>
                <w:b/>
                <w:bCs/>
                <w:szCs w:val="18"/>
              </w:rPr>
              <w:t>16</w:t>
            </w:r>
          </w:p>
        </w:tc>
        <w:tc>
          <w:tcPr>
            <w:tcW w:w="6521" w:type="dxa"/>
          </w:tcPr>
          <w:p w:rsidRPr="00556A01" w:rsidR="00F67DA3" w:rsidP="00104D6D" w:rsidRDefault="00F67DA3" w14:paraId="4885C38F" w14:textId="77777777">
            <w:pPr>
              <w:rPr>
                <w:b/>
                <w:bCs/>
                <w:szCs w:val="18"/>
              </w:rPr>
            </w:pPr>
            <w:r w:rsidRPr="00556A01">
              <w:rPr>
                <w:b/>
                <w:bCs/>
                <w:szCs w:val="18"/>
              </w:rPr>
              <w:t>Wat heeft u gedaan met de adviezen van de Onderwijsraad over het wetsvoorstel strategisch personeelsbeleid?</w:t>
            </w:r>
          </w:p>
          <w:p w:rsidRPr="000F2477" w:rsidR="00F67DA3" w:rsidP="00104D6D" w:rsidRDefault="00F67DA3" w14:paraId="4EAC1CFD" w14:textId="77777777">
            <w:pPr>
              <w:rPr>
                <w:szCs w:val="18"/>
              </w:rPr>
            </w:pPr>
          </w:p>
          <w:p w:rsidRPr="000F2477" w:rsidR="00F67DA3" w:rsidP="00104D6D" w:rsidRDefault="00F67DA3" w14:paraId="3BE10029" w14:textId="24E8C0E1">
            <w:pPr>
              <w:rPr>
                <w:szCs w:val="18"/>
              </w:rPr>
            </w:pPr>
            <w:r w:rsidRPr="000F2477">
              <w:rPr>
                <w:szCs w:val="18"/>
              </w:rPr>
              <w:t xml:space="preserve">Eind mei heeft de Onderwijsraad een advies uitgebracht over het wetsvoorstel strategisch personeelsbeleid. Momenteel bestuderen we het advies en bekijken we hoe het wetsvoorstel op basis van het advies zal worden aangepast. Het streven is om het wetsvoorstel </w:t>
            </w:r>
            <w:r w:rsidR="00552884">
              <w:rPr>
                <w:szCs w:val="18"/>
              </w:rPr>
              <w:t>voor de zomer van</w:t>
            </w:r>
            <w:r w:rsidR="007058CA">
              <w:rPr>
                <w:szCs w:val="18"/>
              </w:rPr>
              <w:t xml:space="preserve"> 2025</w:t>
            </w:r>
            <w:r w:rsidRPr="000F2477">
              <w:rPr>
                <w:szCs w:val="18"/>
              </w:rPr>
              <w:t xml:space="preserve"> aan de Raad van State te sturen. </w:t>
            </w:r>
          </w:p>
          <w:p w:rsidRPr="000F2477" w:rsidR="00F67DA3" w:rsidP="00104D6D" w:rsidRDefault="00F67DA3" w14:paraId="41CFEE1A" w14:textId="77777777">
            <w:pPr>
              <w:rPr>
                <w:szCs w:val="18"/>
              </w:rPr>
            </w:pPr>
          </w:p>
        </w:tc>
        <w:tc>
          <w:tcPr>
            <w:tcW w:w="850" w:type="dxa"/>
          </w:tcPr>
          <w:p w:rsidRPr="000F2477" w:rsidR="00F67DA3" w:rsidP="00104D6D" w:rsidRDefault="00F67DA3" w14:paraId="60EE20AD" w14:textId="77777777">
            <w:pPr>
              <w:jc w:val="right"/>
              <w:rPr>
                <w:szCs w:val="18"/>
              </w:rPr>
            </w:pPr>
          </w:p>
        </w:tc>
        <w:tc>
          <w:tcPr>
            <w:tcW w:w="992" w:type="dxa"/>
          </w:tcPr>
          <w:p w:rsidRPr="000F2477" w:rsidR="00F67DA3" w:rsidP="00104D6D" w:rsidRDefault="00F67DA3" w14:paraId="2A6886C2" w14:textId="77777777">
            <w:pPr>
              <w:jc w:val="right"/>
              <w:rPr>
                <w:szCs w:val="18"/>
              </w:rPr>
            </w:pPr>
            <w:r w:rsidRPr="000F2477">
              <w:rPr>
                <w:szCs w:val="18"/>
              </w:rPr>
              <w:t>5</w:t>
            </w:r>
          </w:p>
        </w:tc>
        <w:tc>
          <w:tcPr>
            <w:tcW w:w="567" w:type="dxa"/>
            <w:tcBorders>
              <w:left w:val="nil"/>
            </w:tcBorders>
          </w:tcPr>
          <w:p w:rsidRPr="000F2477" w:rsidR="00F67DA3" w:rsidP="00104D6D" w:rsidRDefault="00F67DA3" w14:paraId="07068843" w14:textId="77777777">
            <w:pPr>
              <w:jc w:val="right"/>
              <w:rPr>
                <w:szCs w:val="18"/>
              </w:rPr>
            </w:pPr>
            <w:r w:rsidRPr="000F2477">
              <w:rPr>
                <w:szCs w:val="18"/>
              </w:rPr>
              <w:t xml:space="preserve"> </w:t>
            </w:r>
          </w:p>
        </w:tc>
      </w:tr>
      <w:tr w:rsidRPr="000F2477" w:rsidR="00F67DA3" w:rsidTr="00104D6D" w14:paraId="229A6E66" w14:textId="77777777">
        <w:tc>
          <w:tcPr>
            <w:tcW w:w="567" w:type="dxa"/>
          </w:tcPr>
          <w:p w:rsidRPr="00556A01" w:rsidR="00F67DA3" w:rsidP="00104D6D" w:rsidRDefault="00F67DA3" w14:paraId="2116D3D3" w14:textId="77777777">
            <w:pPr>
              <w:rPr>
                <w:b/>
                <w:bCs/>
                <w:szCs w:val="18"/>
              </w:rPr>
            </w:pPr>
            <w:r w:rsidRPr="00556A01">
              <w:rPr>
                <w:b/>
                <w:bCs/>
                <w:szCs w:val="18"/>
              </w:rPr>
              <w:t>17</w:t>
            </w:r>
          </w:p>
        </w:tc>
        <w:tc>
          <w:tcPr>
            <w:tcW w:w="6521" w:type="dxa"/>
          </w:tcPr>
          <w:p w:rsidRPr="00EE357A" w:rsidR="00F67DA3" w:rsidP="00104D6D" w:rsidRDefault="00F67DA3" w14:paraId="03C90652" w14:textId="77777777">
            <w:pPr>
              <w:rPr>
                <w:b/>
                <w:bCs/>
                <w:szCs w:val="18"/>
              </w:rPr>
            </w:pPr>
            <w:bookmarkStart w:name="_Hlk178921707" w:id="2"/>
            <w:r w:rsidRPr="00EE357A">
              <w:rPr>
                <w:b/>
                <w:bCs/>
                <w:szCs w:val="18"/>
              </w:rPr>
              <w:t>Is er gemonitord wat voor soort professionaliseringstrajecten er zoal werden gevolgd in het kader van de Nationale Aanpak Professionalisering Leraren (NAPL)? Zo ja, kunt u dat overzicht aan de Kamer sturen?</w:t>
            </w:r>
          </w:p>
          <w:p w:rsidRPr="00EE357A" w:rsidR="00F67DA3" w:rsidP="00104D6D" w:rsidRDefault="00F67DA3" w14:paraId="520421E6" w14:textId="77777777">
            <w:pPr>
              <w:rPr>
                <w:szCs w:val="18"/>
              </w:rPr>
            </w:pPr>
          </w:p>
          <w:p w:rsidRPr="00EE357A" w:rsidR="00F67DA3" w:rsidP="00104D6D" w:rsidRDefault="00F67DA3" w14:paraId="0395518B" w14:textId="38CCEBBD">
            <w:pPr>
              <w:rPr>
                <w:szCs w:val="18"/>
              </w:rPr>
            </w:pPr>
            <w:r w:rsidRPr="00EE357A">
              <w:rPr>
                <w:szCs w:val="18"/>
              </w:rPr>
              <w:t>NAPL is op 1 januari 2024 van start gegaan en bevindt zich momenteel in de voorbereiding op de uitvoeringsfase. Leraren, opleiders, werkgevers en inhoudelijke experts ontwikkelen met elkaar een systeem van doorlopende professionele ontwikkeling van leraren in het po, vo en mbo, waarbij de leraar centraal staat. Hiervoor worden de komende jaren landelijke ontwikkelpaden, een systeem van kwaliteitszorg en een digitaal platform van professionaliseringstrajecten gerealiseerd. Door middel van co-creatie gaan onderwijsregio’s aan de slag met een regionaal professionaliseringsaanbod. Onderdeel daarvan is het onderzoeken en matchen van vraag en aanbod in de regio. In de planning is voorzien dat de eerste leraren vanaf 2026 deelnemen aan professionaliseringstrajecten binnen het kader van NAPL</w:t>
            </w:r>
            <w:r>
              <w:rPr>
                <w:szCs w:val="18"/>
              </w:rPr>
              <w:t>.</w:t>
            </w:r>
            <w:r w:rsidRPr="00EE357A">
              <w:rPr>
                <w:szCs w:val="18"/>
              </w:rPr>
              <w:t xml:space="preserve"> </w:t>
            </w:r>
            <w:r>
              <w:rPr>
                <w:szCs w:val="18"/>
              </w:rPr>
              <w:t>I</w:t>
            </w:r>
            <w:r w:rsidRPr="00EE357A">
              <w:rPr>
                <w:szCs w:val="18"/>
              </w:rPr>
              <w:t xml:space="preserve">n de periode tot en met 2033 gaat het in totaal om 60.000 leraren. Als onderdeel van het programma zal deelname van leraren aan professionaliseringstrajecten in het kader van NAPL worden gemonitord. </w:t>
            </w:r>
            <w:bookmarkStart w:name="_Hlk178921728" w:id="3"/>
            <w:r w:rsidRPr="00EE357A">
              <w:rPr>
                <w:szCs w:val="18"/>
              </w:rPr>
              <w:t xml:space="preserve">NAPL </w:t>
            </w:r>
            <w:r w:rsidR="00773092">
              <w:rPr>
                <w:szCs w:val="18"/>
              </w:rPr>
              <w:t>maakt het</w:t>
            </w:r>
            <w:r w:rsidRPr="00EE357A">
              <w:rPr>
                <w:szCs w:val="18"/>
              </w:rPr>
              <w:t xml:space="preserve"> lerarenberoep aantrekkelijker en</w:t>
            </w:r>
            <w:r w:rsidR="00773092">
              <w:rPr>
                <w:szCs w:val="18"/>
              </w:rPr>
              <w:t xml:space="preserve"> borgt en versterkt</w:t>
            </w:r>
            <w:r w:rsidRPr="00EE357A">
              <w:rPr>
                <w:szCs w:val="18"/>
              </w:rPr>
              <w:t xml:space="preserve"> de continuïteit op de onderwijsarbeidsmarkt en daarmee de kwaliteit van het onderwijs. Daarmee wordt o.a. aangesloten op het advies van de Onderwijsraad over strategisch personeelsbeleid. In de </w:t>
            </w:r>
            <w:r w:rsidRPr="00EE357A">
              <w:rPr>
                <w:szCs w:val="18"/>
              </w:rPr>
              <w:lastRenderedPageBreak/>
              <w:t>voortgangsrapportage Lerarenstrategie van december 2024 informeren wij u over de voortgang van NAPL.</w:t>
            </w:r>
          </w:p>
          <w:bookmarkEnd w:id="2"/>
          <w:bookmarkEnd w:id="3"/>
          <w:p w:rsidRPr="00EE357A" w:rsidR="00F67DA3" w:rsidP="00104D6D" w:rsidRDefault="00F67DA3" w14:paraId="126604EF" w14:textId="77777777">
            <w:pPr>
              <w:rPr>
                <w:szCs w:val="18"/>
              </w:rPr>
            </w:pPr>
          </w:p>
        </w:tc>
        <w:tc>
          <w:tcPr>
            <w:tcW w:w="850" w:type="dxa"/>
          </w:tcPr>
          <w:p w:rsidRPr="000F2477" w:rsidR="00F67DA3" w:rsidP="00104D6D" w:rsidRDefault="00F67DA3" w14:paraId="6ED80A94" w14:textId="77777777">
            <w:pPr>
              <w:jc w:val="right"/>
              <w:rPr>
                <w:szCs w:val="18"/>
              </w:rPr>
            </w:pPr>
          </w:p>
        </w:tc>
        <w:tc>
          <w:tcPr>
            <w:tcW w:w="992" w:type="dxa"/>
          </w:tcPr>
          <w:p w:rsidRPr="000F2477" w:rsidR="00F67DA3" w:rsidP="00104D6D" w:rsidRDefault="00F67DA3" w14:paraId="711AD416" w14:textId="77777777">
            <w:pPr>
              <w:jc w:val="right"/>
              <w:rPr>
                <w:szCs w:val="18"/>
              </w:rPr>
            </w:pPr>
            <w:r w:rsidRPr="000F2477">
              <w:rPr>
                <w:szCs w:val="18"/>
              </w:rPr>
              <w:t>5</w:t>
            </w:r>
          </w:p>
        </w:tc>
        <w:tc>
          <w:tcPr>
            <w:tcW w:w="567" w:type="dxa"/>
            <w:tcBorders>
              <w:left w:val="nil"/>
            </w:tcBorders>
          </w:tcPr>
          <w:p w:rsidRPr="000F2477" w:rsidR="00F67DA3" w:rsidP="00104D6D" w:rsidRDefault="00F67DA3" w14:paraId="2D4747CE" w14:textId="77777777">
            <w:pPr>
              <w:jc w:val="right"/>
              <w:rPr>
                <w:szCs w:val="18"/>
              </w:rPr>
            </w:pPr>
            <w:r w:rsidRPr="000F2477">
              <w:rPr>
                <w:szCs w:val="18"/>
              </w:rPr>
              <w:t xml:space="preserve"> </w:t>
            </w:r>
          </w:p>
        </w:tc>
      </w:tr>
      <w:tr w:rsidRPr="000F2477" w:rsidR="00F67DA3" w:rsidTr="00104D6D" w14:paraId="675DEB05" w14:textId="77777777">
        <w:tc>
          <w:tcPr>
            <w:tcW w:w="567" w:type="dxa"/>
          </w:tcPr>
          <w:p w:rsidRPr="00556A01" w:rsidR="00F67DA3" w:rsidP="00104D6D" w:rsidRDefault="00F67DA3" w14:paraId="1989FA40" w14:textId="77777777">
            <w:pPr>
              <w:rPr>
                <w:b/>
                <w:bCs/>
                <w:szCs w:val="18"/>
              </w:rPr>
            </w:pPr>
            <w:r w:rsidRPr="00556A01">
              <w:rPr>
                <w:b/>
                <w:bCs/>
                <w:szCs w:val="18"/>
              </w:rPr>
              <w:t>18</w:t>
            </w:r>
          </w:p>
        </w:tc>
        <w:tc>
          <w:tcPr>
            <w:tcW w:w="6521" w:type="dxa"/>
          </w:tcPr>
          <w:p w:rsidRPr="00EE357A" w:rsidR="00F67DA3" w:rsidP="00104D6D" w:rsidRDefault="00F67DA3" w14:paraId="5D522FC2" w14:textId="77777777">
            <w:pPr>
              <w:rPr>
                <w:b/>
                <w:bCs/>
                <w:szCs w:val="18"/>
              </w:rPr>
            </w:pPr>
            <w:r w:rsidRPr="00EE357A">
              <w:rPr>
                <w:b/>
                <w:bCs/>
                <w:szCs w:val="18"/>
              </w:rPr>
              <w:t>Gaat het beroepsbeeld leraar samen met de bekwaamheidseisen als</w:t>
            </w:r>
            <w:r w:rsidRPr="00EE357A">
              <w:rPr>
                <w:szCs w:val="18"/>
              </w:rPr>
              <w:t xml:space="preserve"> </w:t>
            </w:r>
            <w:r w:rsidRPr="00EE357A">
              <w:rPr>
                <w:b/>
                <w:bCs/>
                <w:szCs w:val="18"/>
              </w:rPr>
              <w:t>beroepsstandaard worden opgenomen in de onderwijswetgeving?</w:t>
            </w:r>
          </w:p>
          <w:p w:rsidRPr="00EE357A" w:rsidR="00F67DA3" w:rsidP="00104D6D" w:rsidRDefault="00F67DA3" w14:paraId="34FEFC65" w14:textId="77777777">
            <w:pPr>
              <w:rPr>
                <w:b/>
                <w:bCs/>
                <w:szCs w:val="18"/>
              </w:rPr>
            </w:pPr>
          </w:p>
          <w:p w:rsidRPr="00EE357A" w:rsidR="00F67DA3" w:rsidP="00104D6D" w:rsidRDefault="000F4184" w14:paraId="35257D24" w14:textId="2F45F93B">
            <w:pPr>
              <w:rPr>
                <w:szCs w:val="18"/>
              </w:rPr>
            </w:pPr>
            <w:r>
              <w:rPr>
                <w:szCs w:val="18"/>
              </w:rPr>
              <w:t xml:space="preserve"> De beroepsgroep heeft in het beroepsbeeld leraren een helder beeld neergezet over de kernraken van leraren. In d</w:t>
            </w:r>
            <w:r w:rsidRPr="00EE357A" w:rsidR="00F67DA3">
              <w:rPr>
                <w:szCs w:val="18"/>
              </w:rPr>
              <w:t xml:space="preserve">e nieuwe bekwaamheidseisen waarin wordt vastgelegd wat leraren minimaal moeten weten en kunnen, zullen </w:t>
            </w:r>
            <w:r>
              <w:rPr>
                <w:szCs w:val="18"/>
              </w:rPr>
              <w:t xml:space="preserve">elementen uit het beroepsbeeld worden meegenomen. De herijkte bekwaamheidseisen worden door de beroepsgroep opgesteld en </w:t>
            </w:r>
            <w:r w:rsidRPr="00EE357A" w:rsidR="00F67DA3">
              <w:rPr>
                <w:szCs w:val="18"/>
              </w:rPr>
              <w:t xml:space="preserve">worden opgenomen in de onderwijswetgeving. </w:t>
            </w:r>
          </w:p>
          <w:p w:rsidRPr="00EE357A" w:rsidR="00F67DA3" w:rsidP="00104D6D" w:rsidRDefault="00F67DA3" w14:paraId="7A3EAEBB" w14:textId="77777777">
            <w:pPr>
              <w:rPr>
                <w:szCs w:val="18"/>
              </w:rPr>
            </w:pPr>
          </w:p>
        </w:tc>
        <w:tc>
          <w:tcPr>
            <w:tcW w:w="850" w:type="dxa"/>
          </w:tcPr>
          <w:p w:rsidRPr="000F2477" w:rsidR="00F67DA3" w:rsidP="00104D6D" w:rsidRDefault="00F67DA3" w14:paraId="51C24846" w14:textId="77777777">
            <w:pPr>
              <w:jc w:val="right"/>
              <w:rPr>
                <w:szCs w:val="18"/>
              </w:rPr>
            </w:pPr>
          </w:p>
        </w:tc>
        <w:tc>
          <w:tcPr>
            <w:tcW w:w="992" w:type="dxa"/>
          </w:tcPr>
          <w:p w:rsidRPr="000F2477" w:rsidR="00F67DA3" w:rsidP="00104D6D" w:rsidRDefault="00F67DA3" w14:paraId="255B8783" w14:textId="77777777">
            <w:pPr>
              <w:jc w:val="right"/>
              <w:rPr>
                <w:szCs w:val="18"/>
              </w:rPr>
            </w:pPr>
            <w:r w:rsidRPr="000F2477">
              <w:rPr>
                <w:szCs w:val="18"/>
              </w:rPr>
              <w:t>6</w:t>
            </w:r>
          </w:p>
        </w:tc>
        <w:tc>
          <w:tcPr>
            <w:tcW w:w="567" w:type="dxa"/>
            <w:tcBorders>
              <w:left w:val="nil"/>
            </w:tcBorders>
          </w:tcPr>
          <w:p w:rsidRPr="000F2477" w:rsidR="00F67DA3" w:rsidP="00104D6D" w:rsidRDefault="00F67DA3" w14:paraId="436A7D83" w14:textId="77777777">
            <w:pPr>
              <w:jc w:val="right"/>
              <w:rPr>
                <w:szCs w:val="18"/>
              </w:rPr>
            </w:pPr>
            <w:r w:rsidRPr="000F2477">
              <w:rPr>
                <w:szCs w:val="18"/>
              </w:rPr>
              <w:t xml:space="preserve"> </w:t>
            </w:r>
          </w:p>
        </w:tc>
      </w:tr>
      <w:tr w:rsidRPr="000F2477" w:rsidR="00F67DA3" w:rsidTr="00104D6D" w14:paraId="5B60784C" w14:textId="77777777">
        <w:tc>
          <w:tcPr>
            <w:tcW w:w="567" w:type="dxa"/>
          </w:tcPr>
          <w:p w:rsidRPr="00EE357A" w:rsidR="00F67DA3" w:rsidP="00104D6D" w:rsidRDefault="00F67DA3" w14:paraId="190E1641" w14:textId="77777777">
            <w:pPr>
              <w:rPr>
                <w:b/>
                <w:bCs/>
                <w:szCs w:val="18"/>
              </w:rPr>
            </w:pPr>
            <w:r w:rsidRPr="00EE357A">
              <w:rPr>
                <w:b/>
                <w:bCs/>
                <w:szCs w:val="18"/>
              </w:rPr>
              <w:t>19</w:t>
            </w:r>
          </w:p>
        </w:tc>
        <w:tc>
          <w:tcPr>
            <w:tcW w:w="6521" w:type="dxa"/>
          </w:tcPr>
          <w:p w:rsidRPr="00EE357A" w:rsidR="00F67DA3" w:rsidP="00104D6D" w:rsidRDefault="00F67DA3" w14:paraId="4C78839E" w14:textId="77777777">
            <w:pPr>
              <w:rPr>
                <w:b/>
                <w:bCs/>
                <w:szCs w:val="18"/>
              </w:rPr>
            </w:pPr>
            <w:r w:rsidRPr="00EE357A">
              <w:rPr>
                <w:b/>
                <w:bCs/>
                <w:szCs w:val="18"/>
              </w:rPr>
              <w:t>In hoeverre vereist de vorming van een beroepsgroepsorganisatie leraren dat leraren tevens in een gelijkwaardiger positie komen ten opzichte van de werkgevers- en andere organisaties in het onderwijs die volledig worden bekostigd uit publieke middelen, zodat ook lerarenorganisaties niet langer helemaal moeten draaien op eigen bijdragen en vrijwilligerswerk?</w:t>
            </w:r>
          </w:p>
          <w:p w:rsidRPr="00EE357A" w:rsidR="00F67DA3" w:rsidP="00104D6D" w:rsidRDefault="00F67DA3" w14:paraId="465E3398" w14:textId="77777777">
            <w:pPr>
              <w:rPr>
                <w:b/>
                <w:bCs/>
                <w:szCs w:val="18"/>
              </w:rPr>
            </w:pPr>
          </w:p>
          <w:p w:rsidRPr="00135BDC" w:rsidR="00135BDC" w:rsidP="00DB5D01" w:rsidRDefault="00773092" w14:paraId="5197E8AB" w14:textId="7CBA05A5">
            <w:pPr>
              <w:spacing w:line="252" w:lineRule="auto"/>
              <w:rPr>
                <w:szCs w:val="18"/>
              </w:rPr>
            </w:pPr>
            <w:r>
              <w:rPr>
                <w:szCs w:val="18"/>
              </w:rPr>
              <w:t>Het is ook onze</w:t>
            </w:r>
            <w:r w:rsidRPr="00EE357A" w:rsidR="00F67DA3">
              <w:rPr>
                <w:szCs w:val="18"/>
              </w:rPr>
              <w:t xml:space="preserve"> wens dat er een representatieve beroepsgroep is die zich constructief, kritisch en professioneel bezighoudt met het inhoudelijke gesprek over het beroep van de leraar. OCW is blij met de denkstappen die de lerarenorganisaties (AOb, CNV, FvOv, Platform VVVO, BVMBO) samen </w:t>
            </w:r>
            <w:r w:rsidR="00AC3519">
              <w:rPr>
                <w:szCs w:val="18"/>
              </w:rPr>
              <w:t>willen zetten</w:t>
            </w:r>
            <w:r w:rsidR="000356DE">
              <w:rPr>
                <w:rStyle w:val="cf01"/>
              </w:rPr>
              <w:t xml:space="preserve">. </w:t>
            </w:r>
            <w:r w:rsidRPr="00615D4A" w:rsidR="00135BDC">
              <w:rPr>
                <w:rStyle w:val="cf01"/>
                <w:rFonts w:ascii="Verdana" w:hAnsi="Verdana"/>
              </w:rPr>
              <w:t>OCW beziet de mogelijkheden om de lerarenorganisaties te ondersteunen in de ontwikkeling tot een stevige beroepsorganisatie. Deze ambitie ligt in het gesprek over het herstelplan op tafel</w:t>
            </w:r>
            <w:r w:rsidR="0000010F">
              <w:rPr>
                <w:rStyle w:val="cf01"/>
                <w:rFonts w:ascii="Verdana" w:hAnsi="Verdana"/>
              </w:rPr>
              <w:t>.</w:t>
            </w:r>
          </w:p>
          <w:p w:rsidRPr="00EE357A" w:rsidR="00F67DA3" w:rsidP="00BB4091" w:rsidRDefault="00F67DA3" w14:paraId="16F4369C" w14:textId="77777777">
            <w:pPr>
              <w:rPr>
                <w:szCs w:val="18"/>
              </w:rPr>
            </w:pPr>
          </w:p>
        </w:tc>
        <w:tc>
          <w:tcPr>
            <w:tcW w:w="850" w:type="dxa"/>
          </w:tcPr>
          <w:p w:rsidRPr="000F2477" w:rsidR="00F67DA3" w:rsidP="00104D6D" w:rsidRDefault="00F67DA3" w14:paraId="31DFC495" w14:textId="77777777">
            <w:pPr>
              <w:jc w:val="right"/>
              <w:rPr>
                <w:szCs w:val="18"/>
              </w:rPr>
            </w:pPr>
          </w:p>
        </w:tc>
        <w:tc>
          <w:tcPr>
            <w:tcW w:w="992" w:type="dxa"/>
          </w:tcPr>
          <w:p w:rsidRPr="000F2477" w:rsidR="00F67DA3" w:rsidP="00104D6D" w:rsidRDefault="00F67DA3" w14:paraId="70854DA9" w14:textId="77777777">
            <w:pPr>
              <w:jc w:val="right"/>
              <w:rPr>
                <w:szCs w:val="18"/>
              </w:rPr>
            </w:pPr>
            <w:r w:rsidRPr="000F2477">
              <w:rPr>
                <w:szCs w:val="18"/>
              </w:rPr>
              <w:t>6</w:t>
            </w:r>
          </w:p>
        </w:tc>
        <w:tc>
          <w:tcPr>
            <w:tcW w:w="567" w:type="dxa"/>
            <w:tcBorders>
              <w:left w:val="nil"/>
            </w:tcBorders>
          </w:tcPr>
          <w:p w:rsidRPr="000F2477" w:rsidR="00F67DA3" w:rsidP="00104D6D" w:rsidRDefault="00F67DA3" w14:paraId="45013BD0" w14:textId="77777777">
            <w:pPr>
              <w:jc w:val="right"/>
              <w:rPr>
                <w:szCs w:val="18"/>
              </w:rPr>
            </w:pPr>
            <w:r w:rsidRPr="000F2477">
              <w:rPr>
                <w:szCs w:val="18"/>
              </w:rPr>
              <w:t xml:space="preserve">7 </w:t>
            </w:r>
          </w:p>
        </w:tc>
      </w:tr>
      <w:tr w:rsidRPr="000F2477" w:rsidR="00F67DA3" w:rsidTr="00104D6D" w14:paraId="16A6DBB1" w14:textId="77777777">
        <w:tc>
          <w:tcPr>
            <w:tcW w:w="567" w:type="dxa"/>
          </w:tcPr>
          <w:p w:rsidRPr="00556A01" w:rsidR="00F67DA3" w:rsidP="00104D6D" w:rsidRDefault="00F67DA3" w14:paraId="1EF3DE5E" w14:textId="77777777">
            <w:pPr>
              <w:rPr>
                <w:b/>
                <w:bCs/>
                <w:szCs w:val="18"/>
              </w:rPr>
            </w:pPr>
            <w:r w:rsidRPr="00556A01">
              <w:rPr>
                <w:b/>
                <w:bCs/>
                <w:szCs w:val="18"/>
              </w:rPr>
              <w:t>20</w:t>
            </w:r>
          </w:p>
        </w:tc>
        <w:tc>
          <w:tcPr>
            <w:tcW w:w="6521" w:type="dxa"/>
          </w:tcPr>
          <w:p w:rsidRPr="00EE357A" w:rsidR="00F67DA3" w:rsidP="00104D6D" w:rsidRDefault="00F67DA3" w14:paraId="0CA67F10" w14:textId="77777777">
            <w:pPr>
              <w:rPr>
                <w:b/>
                <w:bCs/>
                <w:szCs w:val="18"/>
              </w:rPr>
            </w:pPr>
            <w:r w:rsidRPr="00EE357A">
              <w:rPr>
                <w:b/>
                <w:bCs/>
                <w:szCs w:val="18"/>
              </w:rPr>
              <w:t>Welke rol kan en moet het Schoolleidersregister Primair Onderwijs spelen bij uw streven naar meer samenhang in de professionaliseringsprogramma's voor schoolleiders en het verzamelen van wetenschappelijke kennis over leiderschap in het onderwijs?</w:t>
            </w:r>
          </w:p>
          <w:p w:rsidRPr="00EE357A" w:rsidR="00F67DA3" w:rsidP="00104D6D" w:rsidRDefault="00F67DA3" w14:paraId="6A654427" w14:textId="77777777">
            <w:pPr>
              <w:rPr>
                <w:szCs w:val="18"/>
              </w:rPr>
            </w:pPr>
          </w:p>
          <w:p w:rsidRPr="00EE357A" w:rsidR="00F67DA3" w:rsidP="00104D6D" w:rsidRDefault="00F67DA3" w14:paraId="49F486FA" w14:textId="1485D6D9">
            <w:pPr>
              <w:rPr>
                <w:szCs w:val="18"/>
              </w:rPr>
            </w:pPr>
            <w:r w:rsidRPr="00EE357A">
              <w:rPr>
                <w:szCs w:val="18"/>
              </w:rPr>
              <w:t xml:space="preserve">Het Schoolleidersregister Primair Onderwijs regelt, beheert en controleert de (her)registratie van schoolleiders po. Daarnaast toetst en accrediteert zij schoolleidersopleidingen en het professionaliseringsaanbod. </w:t>
            </w:r>
            <w:r>
              <w:rPr>
                <w:szCs w:val="18"/>
              </w:rPr>
              <w:t>Het</w:t>
            </w:r>
            <w:r w:rsidRPr="00EE357A">
              <w:rPr>
                <w:szCs w:val="18"/>
              </w:rPr>
              <w:t xml:space="preserve"> Schoolleidersregister PO </w:t>
            </w:r>
            <w:r>
              <w:rPr>
                <w:szCs w:val="18"/>
              </w:rPr>
              <w:t>dient</w:t>
            </w:r>
            <w:r w:rsidRPr="00EE357A">
              <w:rPr>
                <w:szCs w:val="18"/>
              </w:rPr>
              <w:t xml:space="preserve"> als vraagbaak en kennisplatform voor besturen en schoolleiders </w:t>
            </w:r>
            <w:r w:rsidR="00773092">
              <w:rPr>
                <w:szCs w:val="18"/>
              </w:rPr>
              <w:t xml:space="preserve">voor </w:t>
            </w:r>
            <w:r w:rsidRPr="00EE357A">
              <w:rPr>
                <w:szCs w:val="18"/>
              </w:rPr>
              <w:t>de professionalisering van schoolleiders</w:t>
            </w:r>
            <w:r>
              <w:rPr>
                <w:szCs w:val="18"/>
              </w:rPr>
              <w:t xml:space="preserve">, en </w:t>
            </w:r>
            <w:r w:rsidRPr="00EE357A">
              <w:rPr>
                <w:szCs w:val="18"/>
              </w:rPr>
              <w:t>bestaat</w:t>
            </w:r>
            <w:r>
              <w:rPr>
                <w:szCs w:val="18"/>
              </w:rPr>
              <w:t xml:space="preserve"> grotendeels</w:t>
            </w:r>
            <w:r w:rsidRPr="00EE357A">
              <w:rPr>
                <w:szCs w:val="18"/>
              </w:rPr>
              <w:t xml:space="preserve"> uit (voormalig) schoolleiders. Er worden jaarlijkse trend- en ontwikkelingsrapportages </w:t>
            </w:r>
            <w:r w:rsidR="00773092">
              <w:rPr>
                <w:szCs w:val="18"/>
              </w:rPr>
              <w:t>over</w:t>
            </w:r>
            <w:r w:rsidRPr="00EE357A" w:rsidR="00773092">
              <w:rPr>
                <w:szCs w:val="18"/>
              </w:rPr>
              <w:t xml:space="preserve"> </w:t>
            </w:r>
            <w:r w:rsidRPr="00EE357A">
              <w:rPr>
                <w:szCs w:val="18"/>
              </w:rPr>
              <w:t xml:space="preserve">het schoolleiderschap gepubliceerd. In het streven naar meer samenhang van het professionaliseringsaanbod en het verzamelen van wetenschappelijke kennis over schoolleiderschap heeft het Schoolleidersregister Primair Onderwijs momenteel een belangrijke rol en dit zal naar verwachting </w:t>
            </w:r>
            <w:r w:rsidR="00773092">
              <w:rPr>
                <w:szCs w:val="18"/>
              </w:rPr>
              <w:t>zo blijven</w:t>
            </w:r>
            <w:r w:rsidRPr="00EE357A">
              <w:rPr>
                <w:szCs w:val="18"/>
              </w:rPr>
              <w:t xml:space="preserve">.        </w:t>
            </w:r>
          </w:p>
          <w:p w:rsidRPr="00EE357A" w:rsidR="00F67DA3" w:rsidP="00104D6D" w:rsidRDefault="00F67DA3" w14:paraId="44EAF37F" w14:textId="77777777">
            <w:pPr>
              <w:rPr>
                <w:szCs w:val="18"/>
              </w:rPr>
            </w:pPr>
          </w:p>
        </w:tc>
        <w:tc>
          <w:tcPr>
            <w:tcW w:w="850" w:type="dxa"/>
          </w:tcPr>
          <w:p w:rsidRPr="000F2477" w:rsidR="00F67DA3" w:rsidP="00104D6D" w:rsidRDefault="00F67DA3" w14:paraId="048C1E57" w14:textId="77777777">
            <w:pPr>
              <w:jc w:val="right"/>
              <w:rPr>
                <w:szCs w:val="18"/>
              </w:rPr>
            </w:pPr>
          </w:p>
        </w:tc>
        <w:tc>
          <w:tcPr>
            <w:tcW w:w="992" w:type="dxa"/>
          </w:tcPr>
          <w:p w:rsidRPr="000F2477" w:rsidR="00F67DA3" w:rsidP="00104D6D" w:rsidRDefault="00F67DA3" w14:paraId="0E74A2DC" w14:textId="77777777">
            <w:pPr>
              <w:jc w:val="right"/>
              <w:rPr>
                <w:szCs w:val="18"/>
              </w:rPr>
            </w:pPr>
            <w:r w:rsidRPr="000F2477">
              <w:rPr>
                <w:szCs w:val="18"/>
              </w:rPr>
              <w:t>7</w:t>
            </w:r>
          </w:p>
        </w:tc>
        <w:tc>
          <w:tcPr>
            <w:tcW w:w="567" w:type="dxa"/>
            <w:tcBorders>
              <w:left w:val="nil"/>
            </w:tcBorders>
          </w:tcPr>
          <w:p w:rsidRPr="000F2477" w:rsidR="00F67DA3" w:rsidP="00104D6D" w:rsidRDefault="00F67DA3" w14:paraId="2B988EB1" w14:textId="77777777">
            <w:pPr>
              <w:jc w:val="right"/>
              <w:rPr>
                <w:szCs w:val="18"/>
              </w:rPr>
            </w:pPr>
            <w:r w:rsidRPr="000F2477">
              <w:rPr>
                <w:szCs w:val="18"/>
              </w:rPr>
              <w:t xml:space="preserve"> </w:t>
            </w:r>
          </w:p>
        </w:tc>
      </w:tr>
      <w:tr w:rsidRPr="000F2477" w:rsidR="00F67DA3" w:rsidTr="00104D6D" w14:paraId="2040F070" w14:textId="77777777">
        <w:tc>
          <w:tcPr>
            <w:tcW w:w="567" w:type="dxa"/>
          </w:tcPr>
          <w:p w:rsidRPr="00556A01" w:rsidR="00F67DA3" w:rsidP="00104D6D" w:rsidRDefault="00F67DA3" w14:paraId="1A46E268" w14:textId="77777777">
            <w:pPr>
              <w:rPr>
                <w:b/>
                <w:bCs/>
                <w:szCs w:val="18"/>
              </w:rPr>
            </w:pPr>
            <w:r w:rsidRPr="00556A01">
              <w:rPr>
                <w:b/>
                <w:bCs/>
                <w:szCs w:val="18"/>
              </w:rPr>
              <w:lastRenderedPageBreak/>
              <w:t>21</w:t>
            </w:r>
          </w:p>
        </w:tc>
        <w:tc>
          <w:tcPr>
            <w:tcW w:w="6521" w:type="dxa"/>
          </w:tcPr>
          <w:p w:rsidRPr="00556A01" w:rsidR="00F67DA3" w:rsidP="00104D6D" w:rsidRDefault="00F67DA3" w14:paraId="2C685FBD" w14:textId="77777777">
            <w:pPr>
              <w:rPr>
                <w:b/>
                <w:bCs/>
                <w:szCs w:val="18"/>
              </w:rPr>
            </w:pPr>
            <w:r w:rsidRPr="00556A01">
              <w:rPr>
                <w:b/>
                <w:bCs/>
                <w:szCs w:val="18"/>
              </w:rPr>
              <w:t>Wat betekent het dat het budget voor de lerarenbeurs "toereikend" is? Werden in het geheel geen aanvragen afgewezen? Als toch aanvragen werden afgewezen, op welke gronden geschiedde dit dan?</w:t>
            </w:r>
          </w:p>
          <w:p w:rsidRPr="000F2477" w:rsidR="00F67DA3" w:rsidP="00104D6D" w:rsidRDefault="00F67DA3" w14:paraId="3B2D92BA" w14:textId="77777777">
            <w:pPr>
              <w:rPr>
                <w:szCs w:val="18"/>
              </w:rPr>
            </w:pPr>
          </w:p>
          <w:p w:rsidRPr="000F2477" w:rsidR="00F67DA3" w:rsidP="00104D6D" w:rsidRDefault="00F67DA3" w14:paraId="5E62C4D5" w14:textId="77777777">
            <w:pPr>
              <w:rPr>
                <w:szCs w:val="18"/>
              </w:rPr>
            </w:pPr>
            <w:r w:rsidRPr="000F2477">
              <w:rPr>
                <w:szCs w:val="18"/>
              </w:rPr>
              <w:t>Voor schooljaar 2024-2025 was er voldoende budget om alle op tijd en volledig ingediende en daarmee rechtsgeldige aanvragen toe te kennen. De aanvragen die werden afgewezen waren voornamelijk personen die hun recht op de subsidie Lerarenbeurs al hadden verbruikt, of een aanvraag niet tijdig (volledig) h</w:t>
            </w:r>
            <w:r>
              <w:rPr>
                <w:szCs w:val="18"/>
              </w:rPr>
              <w:t>add</w:t>
            </w:r>
            <w:r w:rsidRPr="000F2477">
              <w:rPr>
                <w:szCs w:val="18"/>
              </w:rPr>
              <w:t xml:space="preserve">en ingediend. </w:t>
            </w:r>
          </w:p>
          <w:p w:rsidRPr="000F2477" w:rsidR="00F67DA3" w:rsidP="00104D6D" w:rsidRDefault="00F67DA3" w14:paraId="0E26025D" w14:textId="77777777">
            <w:pPr>
              <w:rPr>
                <w:szCs w:val="18"/>
              </w:rPr>
            </w:pPr>
          </w:p>
        </w:tc>
        <w:tc>
          <w:tcPr>
            <w:tcW w:w="850" w:type="dxa"/>
          </w:tcPr>
          <w:p w:rsidRPr="000F2477" w:rsidR="00F67DA3" w:rsidP="00104D6D" w:rsidRDefault="00F67DA3" w14:paraId="63355B3C" w14:textId="77777777">
            <w:pPr>
              <w:jc w:val="right"/>
              <w:rPr>
                <w:szCs w:val="18"/>
              </w:rPr>
            </w:pPr>
          </w:p>
        </w:tc>
        <w:tc>
          <w:tcPr>
            <w:tcW w:w="992" w:type="dxa"/>
          </w:tcPr>
          <w:p w:rsidRPr="000F2477" w:rsidR="00F67DA3" w:rsidP="00104D6D" w:rsidRDefault="00F67DA3" w14:paraId="10FA0882" w14:textId="77777777">
            <w:pPr>
              <w:jc w:val="right"/>
              <w:rPr>
                <w:szCs w:val="18"/>
              </w:rPr>
            </w:pPr>
            <w:r w:rsidRPr="000F2477">
              <w:rPr>
                <w:szCs w:val="18"/>
              </w:rPr>
              <w:t>7</w:t>
            </w:r>
          </w:p>
        </w:tc>
        <w:tc>
          <w:tcPr>
            <w:tcW w:w="567" w:type="dxa"/>
            <w:tcBorders>
              <w:left w:val="nil"/>
            </w:tcBorders>
          </w:tcPr>
          <w:p w:rsidRPr="000F2477" w:rsidR="00F67DA3" w:rsidP="00104D6D" w:rsidRDefault="00F67DA3" w14:paraId="6325126E" w14:textId="77777777">
            <w:pPr>
              <w:jc w:val="right"/>
              <w:rPr>
                <w:szCs w:val="18"/>
              </w:rPr>
            </w:pPr>
            <w:r w:rsidRPr="000F2477">
              <w:rPr>
                <w:szCs w:val="18"/>
              </w:rPr>
              <w:t xml:space="preserve"> </w:t>
            </w:r>
          </w:p>
        </w:tc>
      </w:tr>
      <w:tr w:rsidRPr="000F2477" w:rsidR="00F67DA3" w:rsidTr="00104D6D" w14:paraId="22EC6579" w14:textId="77777777">
        <w:tc>
          <w:tcPr>
            <w:tcW w:w="567" w:type="dxa"/>
          </w:tcPr>
          <w:p w:rsidRPr="00556A01" w:rsidR="00F67DA3" w:rsidP="00104D6D" w:rsidRDefault="00F67DA3" w14:paraId="7654B06E" w14:textId="77777777">
            <w:pPr>
              <w:rPr>
                <w:b/>
                <w:bCs/>
                <w:szCs w:val="18"/>
              </w:rPr>
            </w:pPr>
            <w:r w:rsidRPr="00556A01">
              <w:rPr>
                <w:b/>
                <w:bCs/>
                <w:szCs w:val="18"/>
              </w:rPr>
              <w:t>22</w:t>
            </w:r>
          </w:p>
        </w:tc>
        <w:tc>
          <w:tcPr>
            <w:tcW w:w="6521" w:type="dxa"/>
          </w:tcPr>
          <w:p w:rsidRPr="00556A01" w:rsidR="00F67DA3" w:rsidP="00104D6D" w:rsidRDefault="00F67DA3" w14:paraId="2A01718F" w14:textId="77777777">
            <w:pPr>
              <w:rPr>
                <w:b/>
                <w:bCs/>
                <w:szCs w:val="18"/>
              </w:rPr>
            </w:pPr>
            <w:r w:rsidRPr="00556A01">
              <w:rPr>
                <w:b/>
                <w:bCs/>
                <w:szCs w:val="18"/>
              </w:rPr>
              <w:t>Is gemonitord wat voor soort opleidingen zoal werden gevolgd in het kader van de lerarenbeurs? Zo ja, kunt u dat overzicht aan de Kamer sturen?</w:t>
            </w:r>
          </w:p>
          <w:p w:rsidRPr="000F2477" w:rsidR="00F67DA3" w:rsidP="00104D6D" w:rsidRDefault="00F67DA3" w14:paraId="146E4FB2" w14:textId="77777777">
            <w:pPr>
              <w:rPr>
                <w:szCs w:val="18"/>
              </w:rPr>
            </w:pPr>
          </w:p>
          <w:p w:rsidRPr="00C31175" w:rsidR="00F67DA3" w:rsidP="00104D6D" w:rsidRDefault="00F67DA3" w14:paraId="66F423D9" w14:textId="5B0F18BD">
            <w:pPr>
              <w:rPr>
                <w:szCs w:val="18"/>
                <w:shd w:val="clear" w:color="auto" w:fill="FFFFFF"/>
              </w:rPr>
            </w:pPr>
            <w:r w:rsidRPr="000F2477">
              <w:rPr>
                <w:szCs w:val="18"/>
                <w:shd w:val="clear" w:color="auto" w:fill="FFFFFF"/>
              </w:rPr>
              <w:t xml:space="preserve">De Lerarenbeurs wordt jaarlijks voor het volgen van verschillende opleidingen aangevraagd. </w:t>
            </w:r>
            <w:r w:rsidRPr="00537259" w:rsidR="00291C09">
              <w:rPr>
                <w:color w:val="2E2E2E"/>
                <w:szCs w:val="18"/>
                <w:shd w:val="clear" w:color="auto" w:fill="FFFFFF"/>
              </w:rPr>
              <w:t xml:space="preserve">In </w:t>
            </w:r>
            <w:r w:rsidR="00291C09">
              <w:rPr>
                <w:color w:val="2E2E2E"/>
                <w:szCs w:val="18"/>
                <w:shd w:val="clear" w:color="auto" w:fill="FFFFFF"/>
              </w:rPr>
              <w:t>de bijlage is een tabel opgenomen waarin ee</w:t>
            </w:r>
            <w:r w:rsidRPr="00537259" w:rsidR="00291C09">
              <w:rPr>
                <w:color w:val="2E2E2E"/>
                <w:szCs w:val="18"/>
                <w:shd w:val="clear" w:color="auto" w:fill="FFFFFF"/>
              </w:rPr>
              <w:t xml:space="preserve">n top </w:t>
            </w:r>
            <w:r w:rsidR="00291C09">
              <w:rPr>
                <w:color w:val="2E2E2E"/>
                <w:szCs w:val="18"/>
                <w:shd w:val="clear" w:color="auto" w:fill="FFFFFF"/>
              </w:rPr>
              <w:t>tien</w:t>
            </w:r>
            <w:r w:rsidRPr="00537259" w:rsidR="00291C09">
              <w:rPr>
                <w:color w:val="2E2E2E"/>
                <w:szCs w:val="18"/>
                <w:shd w:val="clear" w:color="auto" w:fill="FFFFFF"/>
              </w:rPr>
              <w:t xml:space="preserve"> van de meest aangevraagde opleidingen per sector </w:t>
            </w:r>
            <w:r w:rsidR="00291C09">
              <w:rPr>
                <w:color w:val="2E2E2E"/>
                <w:szCs w:val="18"/>
                <w:shd w:val="clear" w:color="auto" w:fill="FFFFFF"/>
              </w:rPr>
              <w:t xml:space="preserve">is </w:t>
            </w:r>
            <w:r w:rsidRPr="00537259" w:rsidR="00291C09">
              <w:rPr>
                <w:color w:val="2E2E2E"/>
                <w:szCs w:val="18"/>
                <w:shd w:val="clear" w:color="auto" w:fill="FFFFFF"/>
              </w:rPr>
              <w:t>weergegeven.</w:t>
            </w:r>
            <w:r w:rsidR="00291C09">
              <w:rPr>
                <w:color w:val="2E2E2E"/>
                <w:szCs w:val="18"/>
                <w:shd w:val="clear" w:color="auto" w:fill="FFFFFF"/>
              </w:rPr>
              <w:t xml:space="preserve"> </w:t>
            </w:r>
            <w:r>
              <w:rPr>
                <w:szCs w:val="18"/>
                <w:shd w:val="clear" w:color="auto" w:fill="FFFFFF"/>
              </w:rPr>
              <w:t xml:space="preserve">Voor onderwijssector </w:t>
            </w:r>
            <w:r w:rsidR="00117751">
              <w:rPr>
                <w:szCs w:val="18"/>
                <w:shd w:val="clear" w:color="auto" w:fill="FFFFFF"/>
              </w:rPr>
              <w:t xml:space="preserve">po </w:t>
            </w:r>
            <w:r>
              <w:rPr>
                <w:szCs w:val="18"/>
                <w:shd w:val="clear" w:color="auto" w:fill="FFFFFF"/>
              </w:rPr>
              <w:t xml:space="preserve">en </w:t>
            </w:r>
            <w:r w:rsidR="00117751">
              <w:rPr>
                <w:szCs w:val="18"/>
                <w:shd w:val="clear" w:color="auto" w:fill="FFFFFF"/>
              </w:rPr>
              <w:t xml:space="preserve">mbo </w:t>
            </w:r>
            <w:r>
              <w:rPr>
                <w:szCs w:val="18"/>
                <w:shd w:val="clear" w:color="auto" w:fill="FFFFFF"/>
              </w:rPr>
              <w:t xml:space="preserve">is de opleiding ‘Educational Needs’ de meest aangevraagde opleiding. Voor het </w:t>
            </w:r>
            <w:r w:rsidR="00117751">
              <w:rPr>
                <w:szCs w:val="18"/>
                <w:shd w:val="clear" w:color="auto" w:fill="FFFFFF"/>
              </w:rPr>
              <w:t xml:space="preserve">vo </w:t>
            </w:r>
            <w:r>
              <w:rPr>
                <w:szCs w:val="18"/>
                <w:shd w:val="clear" w:color="auto" w:fill="FFFFFF"/>
              </w:rPr>
              <w:t>is dat de opleiding tot ‘Leraar wiskunde’ en voor het</w:t>
            </w:r>
            <w:r w:rsidR="00117751">
              <w:rPr>
                <w:szCs w:val="18"/>
                <w:shd w:val="clear" w:color="auto" w:fill="FFFFFF"/>
              </w:rPr>
              <w:t xml:space="preserve"> hbo </w:t>
            </w:r>
            <w:r>
              <w:rPr>
                <w:szCs w:val="18"/>
                <w:shd w:val="clear" w:color="auto" w:fill="FFFFFF"/>
              </w:rPr>
              <w:t xml:space="preserve">de opleiding ‘Leren en Innoveren’. </w:t>
            </w:r>
            <w:r w:rsidRPr="000F2477">
              <w:rPr>
                <w:szCs w:val="18"/>
                <w:shd w:val="clear" w:color="auto" w:fill="FFFFFF"/>
              </w:rPr>
              <w:t xml:space="preserve">Hieruit kan worden opgemaakt dat de Lerarenbeurs een gericht instrument is en bijdraagt aan de deskundigheidsbevordering van leraren. Het wordt als een nuttige </w:t>
            </w:r>
            <w:r w:rsidRPr="00C31175">
              <w:rPr>
                <w:szCs w:val="18"/>
                <w:shd w:val="clear" w:color="auto" w:fill="FFFFFF"/>
              </w:rPr>
              <w:t>investering gezien voor het uitoefenen van het beroep op de lange termijn, en draagt bij aan de (beoogde) verhoging van het kwalificatieniveau.</w:t>
            </w:r>
            <w:r w:rsidRPr="00C31175">
              <w:rPr>
                <w:rStyle w:val="Voetnootmarkering"/>
                <w:szCs w:val="18"/>
                <w:shd w:val="clear" w:color="auto" w:fill="FFFFFF"/>
              </w:rPr>
              <w:footnoteReference w:id="4"/>
            </w:r>
          </w:p>
          <w:p w:rsidR="00291C09" w:rsidP="00104D6D" w:rsidRDefault="00291C09" w14:paraId="3CE93DD3" w14:textId="77777777">
            <w:pPr>
              <w:rPr>
                <w:szCs w:val="18"/>
                <w:shd w:val="clear" w:color="auto" w:fill="FFFFFF"/>
              </w:rPr>
            </w:pPr>
          </w:p>
          <w:p w:rsidR="00A45E96" w:rsidP="00104D6D" w:rsidRDefault="00A45E96" w14:paraId="385ED87F" w14:textId="77777777">
            <w:pPr>
              <w:rPr>
                <w:szCs w:val="18"/>
                <w:shd w:val="clear" w:color="auto" w:fill="FFFFFF"/>
              </w:rPr>
            </w:pPr>
          </w:p>
          <w:p w:rsidR="00A45E96" w:rsidP="00104D6D" w:rsidRDefault="00A45E96" w14:paraId="566DFD95" w14:textId="77777777">
            <w:pPr>
              <w:rPr>
                <w:szCs w:val="18"/>
                <w:shd w:val="clear" w:color="auto" w:fill="FFFFFF"/>
              </w:rPr>
            </w:pPr>
          </w:p>
          <w:p w:rsidR="00A45E96" w:rsidP="00104D6D" w:rsidRDefault="00A45E96" w14:paraId="10906C4D" w14:textId="77777777">
            <w:pPr>
              <w:rPr>
                <w:szCs w:val="18"/>
                <w:shd w:val="clear" w:color="auto" w:fill="FFFFFF"/>
              </w:rPr>
            </w:pPr>
          </w:p>
          <w:p w:rsidR="00A45E96" w:rsidP="00104D6D" w:rsidRDefault="00A45E96" w14:paraId="0FD8E176" w14:textId="77777777">
            <w:pPr>
              <w:rPr>
                <w:szCs w:val="18"/>
                <w:shd w:val="clear" w:color="auto" w:fill="FFFFFF"/>
              </w:rPr>
            </w:pPr>
          </w:p>
          <w:p w:rsidR="00A45E96" w:rsidP="00104D6D" w:rsidRDefault="00A45E96" w14:paraId="0C0272EE" w14:textId="77777777">
            <w:pPr>
              <w:rPr>
                <w:szCs w:val="18"/>
                <w:shd w:val="clear" w:color="auto" w:fill="FFFFFF"/>
              </w:rPr>
            </w:pPr>
          </w:p>
          <w:p w:rsidR="00A45E96" w:rsidP="00104D6D" w:rsidRDefault="00A45E96" w14:paraId="7713DC37" w14:textId="77777777">
            <w:pPr>
              <w:rPr>
                <w:szCs w:val="18"/>
                <w:shd w:val="clear" w:color="auto" w:fill="FFFFFF"/>
              </w:rPr>
            </w:pPr>
          </w:p>
          <w:p w:rsidR="00A45E96" w:rsidP="00104D6D" w:rsidRDefault="00A45E96" w14:paraId="14A0AE70" w14:textId="77777777">
            <w:pPr>
              <w:rPr>
                <w:szCs w:val="18"/>
                <w:shd w:val="clear" w:color="auto" w:fill="FFFFFF"/>
              </w:rPr>
            </w:pPr>
          </w:p>
          <w:p w:rsidR="00A45E96" w:rsidP="00104D6D" w:rsidRDefault="00A45E96" w14:paraId="76DABDB7" w14:textId="77777777">
            <w:pPr>
              <w:rPr>
                <w:szCs w:val="18"/>
                <w:shd w:val="clear" w:color="auto" w:fill="FFFFFF"/>
              </w:rPr>
            </w:pPr>
          </w:p>
          <w:p w:rsidR="00A45E96" w:rsidP="00104D6D" w:rsidRDefault="00A45E96" w14:paraId="041E4296" w14:textId="77777777">
            <w:pPr>
              <w:rPr>
                <w:szCs w:val="18"/>
                <w:shd w:val="clear" w:color="auto" w:fill="FFFFFF"/>
              </w:rPr>
            </w:pPr>
          </w:p>
          <w:p w:rsidR="00A45E96" w:rsidP="00104D6D" w:rsidRDefault="00A45E96" w14:paraId="19E5DA6F" w14:textId="77777777">
            <w:pPr>
              <w:rPr>
                <w:szCs w:val="18"/>
                <w:shd w:val="clear" w:color="auto" w:fill="FFFFFF"/>
              </w:rPr>
            </w:pPr>
          </w:p>
          <w:p w:rsidR="00A45E96" w:rsidP="00104D6D" w:rsidRDefault="00A45E96" w14:paraId="16C7523A" w14:textId="77777777">
            <w:pPr>
              <w:rPr>
                <w:szCs w:val="18"/>
                <w:shd w:val="clear" w:color="auto" w:fill="FFFFFF"/>
              </w:rPr>
            </w:pPr>
          </w:p>
          <w:p w:rsidR="00A45E96" w:rsidP="00104D6D" w:rsidRDefault="00A45E96" w14:paraId="791CEA56" w14:textId="77777777">
            <w:pPr>
              <w:rPr>
                <w:szCs w:val="18"/>
                <w:shd w:val="clear" w:color="auto" w:fill="FFFFFF"/>
              </w:rPr>
            </w:pPr>
          </w:p>
          <w:p w:rsidR="00A45E96" w:rsidP="00104D6D" w:rsidRDefault="00A45E96" w14:paraId="66B506BB" w14:textId="77777777">
            <w:pPr>
              <w:rPr>
                <w:szCs w:val="18"/>
                <w:shd w:val="clear" w:color="auto" w:fill="FFFFFF"/>
              </w:rPr>
            </w:pPr>
          </w:p>
          <w:p w:rsidR="00A45E96" w:rsidP="00104D6D" w:rsidRDefault="00A45E96" w14:paraId="17BD4E6F" w14:textId="77777777">
            <w:pPr>
              <w:rPr>
                <w:szCs w:val="18"/>
                <w:shd w:val="clear" w:color="auto" w:fill="FFFFFF"/>
              </w:rPr>
            </w:pPr>
          </w:p>
          <w:p w:rsidR="00A45E96" w:rsidP="00104D6D" w:rsidRDefault="00A45E96" w14:paraId="4642C52B" w14:textId="77777777">
            <w:pPr>
              <w:rPr>
                <w:szCs w:val="18"/>
                <w:shd w:val="clear" w:color="auto" w:fill="FFFFFF"/>
              </w:rPr>
            </w:pPr>
          </w:p>
          <w:p w:rsidR="00A45E96" w:rsidP="00104D6D" w:rsidRDefault="00A45E96" w14:paraId="254470FF" w14:textId="77777777">
            <w:pPr>
              <w:rPr>
                <w:szCs w:val="18"/>
                <w:shd w:val="clear" w:color="auto" w:fill="FFFFFF"/>
              </w:rPr>
            </w:pPr>
          </w:p>
          <w:p w:rsidR="00291C09" w:rsidP="00291C09" w:rsidRDefault="00291C09" w14:paraId="0BA6ECF4" w14:textId="77777777">
            <w:pPr>
              <w:rPr>
                <w:i/>
                <w:iCs/>
                <w:szCs w:val="18"/>
              </w:rPr>
            </w:pPr>
            <w:r w:rsidRPr="002C1B56">
              <w:rPr>
                <w:i/>
                <w:iCs/>
                <w:szCs w:val="18"/>
              </w:rPr>
              <w:t xml:space="preserve">Tabel 1: </w:t>
            </w:r>
            <w:r w:rsidRPr="00C31175">
              <w:rPr>
                <w:i/>
                <w:iCs/>
                <w:szCs w:val="18"/>
              </w:rPr>
              <w:t>TOP 10 toegekende opleidingen</w:t>
            </w:r>
            <w:r w:rsidRPr="007058C4">
              <w:rPr>
                <w:i/>
                <w:iCs/>
                <w:szCs w:val="18"/>
              </w:rPr>
              <w:t xml:space="preserve"> per sector</w:t>
            </w:r>
          </w:p>
          <w:p w:rsidRPr="007058C4" w:rsidR="00C31175" w:rsidP="00291C09" w:rsidRDefault="00C31175" w14:paraId="18DC0552" w14:textId="77777777">
            <w:pPr>
              <w:rPr>
                <w:i/>
                <w:iCs/>
                <w:szCs w:val="18"/>
              </w:rPr>
            </w:pPr>
          </w:p>
          <w:p w:rsidRPr="00DE6B66" w:rsidR="00291C09" w:rsidP="00104D6D" w:rsidRDefault="00291C09" w14:paraId="07287E98" w14:textId="01074E7D">
            <w:pPr>
              <w:rPr>
                <w:szCs w:val="18"/>
                <w:shd w:val="clear" w:color="auto" w:fill="FFFFFF"/>
              </w:rPr>
            </w:pPr>
            <w:r w:rsidRPr="00537259">
              <w:rPr>
                <w:noProof/>
              </w:rPr>
              <w:lastRenderedPageBreak/>
              <w:drawing>
                <wp:inline distT="0" distB="0" distL="0" distR="0" wp14:anchorId="105AB395" wp14:editId="46B97848">
                  <wp:extent cx="4371975" cy="5851525"/>
                  <wp:effectExtent l="0" t="0" r="0" b="0"/>
                  <wp:docPr id="182353114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6833" cy="5858027"/>
                          </a:xfrm>
                          <a:prstGeom prst="rect">
                            <a:avLst/>
                          </a:prstGeom>
                          <a:noFill/>
                          <a:ln>
                            <a:noFill/>
                          </a:ln>
                        </pic:spPr>
                      </pic:pic>
                    </a:graphicData>
                  </a:graphic>
                </wp:inline>
              </w:drawing>
            </w:r>
          </w:p>
          <w:p w:rsidRPr="000F2477" w:rsidR="00F67DA3" w:rsidP="00104D6D" w:rsidRDefault="00F67DA3" w14:paraId="3F1020E9" w14:textId="77777777">
            <w:pPr>
              <w:rPr>
                <w:szCs w:val="18"/>
              </w:rPr>
            </w:pPr>
          </w:p>
        </w:tc>
        <w:tc>
          <w:tcPr>
            <w:tcW w:w="850" w:type="dxa"/>
          </w:tcPr>
          <w:p w:rsidRPr="000F2477" w:rsidR="00F67DA3" w:rsidP="00104D6D" w:rsidRDefault="00F67DA3" w14:paraId="68CB65C1" w14:textId="77777777">
            <w:pPr>
              <w:jc w:val="right"/>
              <w:rPr>
                <w:szCs w:val="18"/>
              </w:rPr>
            </w:pPr>
          </w:p>
        </w:tc>
        <w:tc>
          <w:tcPr>
            <w:tcW w:w="992" w:type="dxa"/>
          </w:tcPr>
          <w:p w:rsidRPr="000F2477" w:rsidR="00F67DA3" w:rsidP="00104D6D" w:rsidRDefault="00F67DA3" w14:paraId="5E0B9885" w14:textId="77777777">
            <w:pPr>
              <w:jc w:val="right"/>
              <w:rPr>
                <w:szCs w:val="18"/>
              </w:rPr>
            </w:pPr>
            <w:r w:rsidRPr="000F2477">
              <w:rPr>
                <w:szCs w:val="18"/>
              </w:rPr>
              <w:t>7</w:t>
            </w:r>
          </w:p>
        </w:tc>
        <w:tc>
          <w:tcPr>
            <w:tcW w:w="567" w:type="dxa"/>
            <w:tcBorders>
              <w:left w:val="nil"/>
            </w:tcBorders>
          </w:tcPr>
          <w:p w:rsidRPr="000F2477" w:rsidR="00F67DA3" w:rsidP="00104D6D" w:rsidRDefault="00F67DA3" w14:paraId="7DE7065F" w14:textId="77777777">
            <w:pPr>
              <w:jc w:val="right"/>
              <w:rPr>
                <w:szCs w:val="18"/>
              </w:rPr>
            </w:pPr>
            <w:r w:rsidRPr="000F2477">
              <w:rPr>
                <w:szCs w:val="18"/>
              </w:rPr>
              <w:t xml:space="preserve"> </w:t>
            </w:r>
          </w:p>
        </w:tc>
      </w:tr>
      <w:tr w:rsidRPr="000F2477" w:rsidR="00F67DA3" w:rsidTr="00104D6D" w14:paraId="434B148D" w14:textId="77777777">
        <w:tc>
          <w:tcPr>
            <w:tcW w:w="567" w:type="dxa"/>
          </w:tcPr>
          <w:p w:rsidRPr="00556A01" w:rsidR="00F67DA3" w:rsidP="00104D6D" w:rsidRDefault="00F67DA3" w14:paraId="61FD8947" w14:textId="77777777">
            <w:pPr>
              <w:rPr>
                <w:b/>
                <w:bCs/>
                <w:szCs w:val="18"/>
              </w:rPr>
            </w:pPr>
            <w:r w:rsidRPr="00556A01">
              <w:rPr>
                <w:b/>
                <w:bCs/>
                <w:szCs w:val="18"/>
              </w:rPr>
              <w:t>23</w:t>
            </w:r>
          </w:p>
        </w:tc>
        <w:tc>
          <w:tcPr>
            <w:tcW w:w="6521" w:type="dxa"/>
          </w:tcPr>
          <w:p w:rsidRPr="00556A01" w:rsidR="00F67DA3" w:rsidP="00104D6D" w:rsidRDefault="00F67DA3" w14:paraId="56885D15" w14:textId="77777777">
            <w:pPr>
              <w:rPr>
                <w:b/>
                <w:bCs/>
                <w:szCs w:val="18"/>
              </w:rPr>
            </w:pPr>
            <w:r w:rsidRPr="00556A01">
              <w:rPr>
                <w:b/>
                <w:bCs/>
                <w:szCs w:val="18"/>
              </w:rPr>
              <w:t>Zijn er voorbeelden waar de lerarenbeurs er juist voor heeft gezorgd dat leraren minder les gingen geven? Zo ja, welke en in hoeveel (procent) van de gevallen?</w:t>
            </w:r>
          </w:p>
          <w:p w:rsidRPr="000F2477" w:rsidR="00F67DA3" w:rsidP="00104D6D" w:rsidRDefault="00F67DA3" w14:paraId="4867C4DF" w14:textId="77777777">
            <w:pPr>
              <w:rPr>
                <w:szCs w:val="18"/>
              </w:rPr>
            </w:pPr>
          </w:p>
          <w:p w:rsidRPr="000F2477" w:rsidR="00F67DA3" w:rsidP="00104D6D" w:rsidRDefault="00F67DA3" w14:paraId="4FF87B79" w14:textId="118313C5">
            <w:pPr>
              <w:rPr>
                <w:szCs w:val="18"/>
              </w:rPr>
            </w:pPr>
            <w:r w:rsidRPr="000F2477">
              <w:rPr>
                <w:szCs w:val="18"/>
              </w:rPr>
              <w:t>Het is niet mogelijk om aan te</w:t>
            </w:r>
            <w:r w:rsidR="00615D4A">
              <w:rPr>
                <w:szCs w:val="18"/>
              </w:rPr>
              <w:t xml:space="preserve"> </w:t>
            </w:r>
            <w:r w:rsidR="00773092">
              <w:rPr>
                <w:szCs w:val="18"/>
              </w:rPr>
              <w:t>geven</w:t>
            </w:r>
            <w:r w:rsidRPr="000F2477" w:rsidR="00773092">
              <w:rPr>
                <w:szCs w:val="18"/>
              </w:rPr>
              <w:t xml:space="preserve"> </w:t>
            </w:r>
            <w:r w:rsidRPr="000F2477">
              <w:rPr>
                <w:szCs w:val="18"/>
              </w:rPr>
              <w:t>hoeveel procent van de leraren minder les ging geven nadat ze de Lerarenbeurs hadden ontvangen.</w:t>
            </w:r>
            <w:r>
              <w:rPr>
                <w:szCs w:val="18"/>
              </w:rPr>
              <w:t xml:space="preserve"> We hebben hier namelijk geen gegevens over.</w:t>
            </w:r>
          </w:p>
          <w:p w:rsidR="00F67DA3" w:rsidP="00104D6D" w:rsidRDefault="00F67DA3" w14:paraId="629ECDD8" w14:textId="77777777">
            <w:pPr>
              <w:rPr>
                <w:szCs w:val="18"/>
              </w:rPr>
            </w:pPr>
          </w:p>
          <w:p w:rsidR="006A22E1" w:rsidP="00104D6D" w:rsidRDefault="006A22E1" w14:paraId="21153895" w14:textId="77777777">
            <w:pPr>
              <w:rPr>
                <w:szCs w:val="18"/>
              </w:rPr>
            </w:pPr>
          </w:p>
          <w:p w:rsidR="006A22E1" w:rsidP="00104D6D" w:rsidRDefault="006A22E1" w14:paraId="6ED961AA" w14:textId="77777777">
            <w:pPr>
              <w:rPr>
                <w:szCs w:val="18"/>
              </w:rPr>
            </w:pPr>
          </w:p>
          <w:p w:rsidRPr="000F2477" w:rsidR="006A22E1" w:rsidP="00104D6D" w:rsidRDefault="006A22E1" w14:paraId="0AA5B058" w14:textId="77777777">
            <w:pPr>
              <w:rPr>
                <w:szCs w:val="18"/>
              </w:rPr>
            </w:pPr>
          </w:p>
        </w:tc>
        <w:tc>
          <w:tcPr>
            <w:tcW w:w="850" w:type="dxa"/>
          </w:tcPr>
          <w:p w:rsidRPr="000F2477" w:rsidR="00F67DA3" w:rsidP="00104D6D" w:rsidRDefault="00F67DA3" w14:paraId="116ADC37" w14:textId="77777777">
            <w:pPr>
              <w:jc w:val="right"/>
              <w:rPr>
                <w:szCs w:val="18"/>
              </w:rPr>
            </w:pPr>
          </w:p>
        </w:tc>
        <w:tc>
          <w:tcPr>
            <w:tcW w:w="992" w:type="dxa"/>
          </w:tcPr>
          <w:p w:rsidRPr="000F2477" w:rsidR="00F67DA3" w:rsidP="00104D6D" w:rsidRDefault="00F67DA3" w14:paraId="4B8EDEF4" w14:textId="77777777">
            <w:pPr>
              <w:jc w:val="right"/>
              <w:rPr>
                <w:szCs w:val="18"/>
              </w:rPr>
            </w:pPr>
            <w:r w:rsidRPr="000F2477">
              <w:rPr>
                <w:szCs w:val="18"/>
              </w:rPr>
              <w:t>7</w:t>
            </w:r>
          </w:p>
        </w:tc>
        <w:tc>
          <w:tcPr>
            <w:tcW w:w="567" w:type="dxa"/>
            <w:tcBorders>
              <w:left w:val="nil"/>
            </w:tcBorders>
          </w:tcPr>
          <w:p w:rsidRPr="000F2477" w:rsidR="00F67DA3" w:rsidP="00104D6D" w:rsidRDefault="00F67DA3" w14:paraId="430C2097" w14:textId="77777777">
            <w:pPr>
              <w:jc w:val="right"/>
              <w:rPr>
                <w:szCs w:val="18"/>
              </w:rPr>
            </w:pPr>
            <w:r w:rsidRPr="000F2477">
              <w:rPr>
                <w:szCs w:val="18"/>
              </w:rPr>
              <w:t xml:space="preserve"> </w:t>
            </w:r>
          </w:p>
        </w:tc>
      </w:tr>
      <w:tr w:rsidRPr="000F2477" w:rsidR="00F67DA3" w:rsidTr="00104D6D" w14:paraId="60A8F87F" w14:textId="77777777">
        <w:tc>
          <w:tcPr>
            <w:tcW w:w="567" w:type="dxa"/>
          </w:tcPr>
          <w:p w:rsidRPr="00556A01" w:rsidR="00F67DA3" w:rsidP="00104D6D" w:rsidRDefault="00F67DA3" w14:paraId="32603AF1" w14:textId="77777777">
            <w:pPr>
              <w:rPr>
                <w:b/>
                <w:bCs/>
                <w:szCs w:val="18"/>
              </w:rPr>
            </w:pPr>
            <w:r w:rsidRPr="00556A01">
              <w:rPr>
                <w:b/>
                <w:bCs/>
                <w:szCs w:val="18"/>
              </w:rPr>
              <w:lastRenderedPageBreak/>
              <w:t>24</w:t>
            </w:r>
          </w:p>
        </w:tc>
        <w:tc>
          <w:tcPr>
            <w:tcW w:w="6521" w:type="dxa"/>
          </w:tcPr>
          <w:p w:rsidRPr="00556A01" w:rsidR="00F67DA3" w:rsidP="00104D6D" w:rsidRDefault="00F67DA3" w14:paraId="30C20199" w14:textId="77777777">
            <w:pPr>
              <w:rPr>
                <w:b/>
                <w:bCs/>
                <w:szCs w:val="18"/>
              </w:rPr>
            </w:pPr>
            <w:r w:rsidRPr="00556A01">
              <w:rPr>
                <w:b/>
                <w:bCs/>
                <w:szCs w:val="18"/>
              </w:rPr>
              <w:t>Welke keuzes werden door de pilotscholen gemaakt om in de pilot onderwijstijd voortgezet onderwijs de werkdruk te verlagen? Hoe pakten deze keuzes uit?</w:t>
            </w:r>
          </w:p>
          <w:p w:rsidRPr="000F2477" w:rsidR="00F67DA3" w:rsidP="00104D6D" w:rsidRDefault="00F67DA3" w14:paraId="1DC42074" w14:textId="77777777">
            <w:pPr>
              <w:rPr>
                <w:szCs w:val="18"/>
              </w:rPr>
            </w:pPr>
          </w:p>
          <w:p w:rsidRPr="000F2477" w:rsidR="00F67DA3" w:rsidP="00104D6D" w:rsidRDefault="00F67DA3" w14:paraId="081DBBC4" w14:textId="77777777">
            <w:pPr>
              <w:rPr>
                <w:szCs w:val="18"/>
              </w:rPr>
            </w:pPr>
            <w:r w:rsidRPr="000F2477">
              <w:rPr>
                <w:szCs w:val="18"/>
              </w:rPr>
              <w:t>De pilot onderwijstijd in het voortgezet onderwijs is dit schooljaar gestart met de eerste groep van 41 scholen. Een tweede groep van bijna 100 scholen bereidt zich dit schooljaar voor en begint volgend schooljaar met het anders inrichten van onderwijstijd. Tijdens de twee jaar durende pilot vindt er een monitoringsonderzoek plaats. In dit onderzoek wordt onder meer onderzocht in welke mate en op welke wijze de gemaakte keuzes door de deelnemende scholen bijdragen aan verminderde ervaren werkdruk van leraren. De tussenrapportage van het monitoringsonderzoek staat gepland voor het najaar van 2025 en de eindrapportage wordt in het najaar van 2026 verwacht.</w:t>
            </w:r>
          </w:p>
          <w:p w:rsidRPr="000F2477" w:rsidR="00F67DA3" w:rsidP="00104D6D" w:rsidRDefault="00F67DA3" w14:paraId="77B8F576" w14:textId="77777777">
            <w:pPr>
              <w:rPr>
                <w:szCs w:val="18"/>
              </w:rPr>
            </w:pPr>
          </w:p>
        </w:tc>
        <w:tc>
          <w:tcPr>
            <w:tcW w:w="850" w:type="dxa"/>
          </w:tcPr>
          <w:p w:rsidRPr="000F2477" w:rsidR="00F67DA3" w:rsidP="00104D6D" w:rsidRDefault="00F67DA3" w14:paraId="0DADB6F7" w14:textId="77777777">
            <w:pPr>
              <w:jc w:val="right"/>
              <w:rPr>
                <w:szCs w:val="18"/>
              </w:rPr>
            </w:pPr>
          </w:p>
        </w:tc>
        <w:tc>
          <w:tcPr>
            <w:tcW w:w="992" w:type="dxa"/>
          </w:tcPr>
          <w:p w:rsidRPr="000F2477" w:rsidR="00F67DA3" w:rsidP="00104D6D" w:rsidRDefault="00F67DA3" w14:paraId="5C50E863" w14:textId="77777777">
            <w:pPr>
              <w:jc w:val="right"/>
              <w:rPr>
                <w:szCs w:val="18"/>
              </w:rPr>
            </w:pPr>
            <w:r w:rsidRPr="000F2477">
              <w:rPr>
                <w:szCs w:val="18"/>
              </w:rPr>
              <w:t>8</w:t>
            </w:r>
          </w:p>
        </w:tc>
        <w:tc>
          <w:tcPr>
            <w:tcW w:w="567" w:type="dxa"/>
            <w:tcBorders>
              <w:left w:val="nil"/>
            </w:tcBorders>
          </w:tcPr>
          <w:p w:rsidRPr="000F2477" w:rsidR="00F67DA3" w:rsidP="00104D6D" w:rsidRDefault="00F67DA3" w14:paraId="26F002D2" w14:textId="77777777">
            <w:pPr>
              <w:jc w:val="right"/>
              <w:rPr>
                <w:szCs w:val="18"/>
              </w:rPr>
            </w:pPr>
            <w:r w:rsidRPr="000F2477">
              <w:rPr>
                <w:szCs w:val="18"/>
              </w:rPr>
              <w:t xml:space="preserve"> </w:t>
            </w:r>
          </w:p>
        </w:tc>
      </w:tr>
      <w:tr w:rsidRPr="000F2477" w:rsidR="00F67DA3" w:rsidTr="00104D6D" w14:paraId="0E01BBCF" w14:textId="77777777">
        <w:tc>
          <w:tcPr>
            <w:tcW w:w="567" w:type="dxa"/>
          </w:tcPr>
          <w:p w:rsidRPr="00556A01" w:rsidR="00F67DA3" w:rsidP="00104D6D" w:rsidRDefault="00F67DA3" w14:paraId="4D52018B" w14:textId="77777777">
            <w:pPr>
              <w:rPr>
                <w:b/>
                <w:bCs/>
                <w:szCs w:val="18"/>
              </w:rPr>
            </w:pPr>
            <w:r w:rsidRPr="00556A01">
              <w:rPr>
                <w:b/>
                <w:bCs/>
                <w:szCs w:val="18"/>
              </w:rPr>
              <w:t>25</w:t>
            </w:r>
          </w:p>
        </w:tc>
        <w:tc>
          <w:tcPr>
            <w:tcW w:w="6521" w:type="dxa"/>
          </w:tcPr>
          <w:p w:rsidRPr="00556A01" w:rsidR="00F67DA3" w:rsidP="00104D6D" w:rsidRDefault="00F67DA3" w14:paraId="5E12106E" w14:textId="77777777">
            <w:pPr>
              <w:rPr>
                <w:b/>
                <w:bCs/>
                <w:szCs w:val="18"/>
              </w:rPr>
            </w:pPr>
            <w:r w:rsidRPr="00556A01">
              <w:rPr>
                <w:b/>
                <w:bCs/>
                <w:szCs w:val="18"/>
              </w:rPr>
              <w:t>In hoeveel van de gevallen ging de gepoogde werkdrukverlichting over het verkorten van lesuren?</w:t>
            </w:r>
          </w:p>
          <w:p w:rsidRPr="000F2477" w:rsidR="00F67DA3" w:rsidP="00104D6D" w:rsidRDefault="00F67DA3" w14:paraId="760D2B1E" w14:textId="77777777">
            <w:pPr>
              <w:rPr>
                <w:szCs w:val="18"/>
              </w:rPr>
            </w:pPr>
          </w:p>
          <w:p w:rsidRPr="000F2477" w:rsidR="00F67DA3" w:rsidP="00104D6D" w:rsidRDefault="00F67DA3" w14:paraId="723C11F6" w14:textId="5AE30E68">
            <w:pPr>
              <w:rPr>
                <w:szCs w:val="18"/>
              </w:rPr>
            </w:pPr>
            <w:r w:rsidRPr="000F2477">
              <w:rPr>
                <w:szCs w:val="18"/>
              </w:rPr>
              <w:t xml:space="preserve">Voor het antwoord op deze vraag </w:t>
            </w:r>
            <w:r w:rsidR="00117751">
              <w:rPr>
                <w:szCs w:val="18"/>
              </w:rPr>
              <w:t>verwijzen wij</w:t>
            </w:r>
            <w:r w:rsidRPr="000F2477">
              <w:rPr>
                <w:szCs w:val="18"/>
              </w:rPr>
              <w:t xml:space="preserve"> u naar het antwoord op vraag 24. </w:t>
            </w:r>
          </w:p>
          <w:p w:rsidRPr="000F2477" w:rsidR="00F67DA3" w:rsidP="00104D6D" w:rsidRDefault="00F67DA3" w14:paraId="0589F226" w14:textId="77777777">
            <w:pPr>
              <w:rPr>
                <w:szCs w:val="18"/>
              </w:rPr>
            </w:pPr>
          </w:p>
        </w:tc>
        <w:tc>
          <w:tcPr>
            <w:tcW w:w="850" w:type="dxa"/>
          </w:tcPr>
          <w:p w:rsidRPr="000F2477" w:rsidR="00F67DA3" w:rsidP="00104D6D" w:rsidRDefault="00F67DA3" w14:paraId="181B3EF3" w14:textId="77777777">
            <w:pPr>
              <w:jc w:val="right"/>
              <w:rPr>
                <w:szCs w:val="18"/>
              </w:rPr>
            </w:pPr>
          </w:p>
        </w:tc>
        <w:tc>
          <w:tcPr>
            <w:tcW w:w="992" w:type="dxa"/>
          </w:tcPr>
          <w:p w:rsidRPr="000F2477" w:rsidR="00F67DA3" w:rsidP="00104D6D" w:rsidRDefault="00F67DA3" w14:paraId="684AAB05" w14:textId="77777777">
            <w:pPr>
              <w:jc w:val="right"/>
              <w:rPr>
                <w:szCs w:val="18"/>
              </w:rPr>
            </w:pPr>
            <w:r w:rsidRPr="000F2477">
              <w:rPr>
                <w:szCs w:val="18"/>
              </w:rPr>
              <w:t>8</w:t>
            </w:r>
          </w:p>
        </w:tc>
        <w:tc>
          <w:tcPr>
            <w:tcW w:w="567" w:type="dxa"/>
            <w:tcBorders>
              <w:left w:val="nil"/>
            </w:tcBorders>
          </w:tcPr>
          <w:p w:rsidRPr="000F2477" w:rsidR="00F67DA3" w:rsidP="00104D6D" w:rsidRDefault="00F67DA3" w14:paraId="138FC83E" w14:textId="77777777">
            <w:pPr>
              <w:jc w:val="right"/>
              <w:rPr>
                <w:szCs w:val="18"/>
              </w:rPr>
            </w:pPr>
            <w:r w:rsidRPr="000F2477">
              <w:rPr>
                <w:szCs w:val="18"/>
              </w:rPr>
              <w:t xml:space="preserve"> </w:t>
            </w:r>
          </w:p>
        </w:tc>
      </w:tr>
      <w:tr w:rsidRPr="000F2477" w:rsidR="00F67DA3" w:rsidTr="00104D6D" w14:paraId="30087C31" w14:textId="77777777">
        <w:tc>
          <w:tcPr>
            <w:tcW w:w="567" w:type="dxa"/>
          </w:tcPr>
          <w:p w:rsidRPr="00556A01" w:rsidR="00F67DA3" w:rsidP="00104D6D" w:rsidRDefault="00F67DA3" w14:paraId="738E9A09" w14:textId="77777777">
            <w:pPr>
              <w:rPr>
                <w:b/>
                <w:bCs/>
                <w:szCs w:val="18"/>
              </w:rPr>
            </w:pPr>
            <w:r w:rsidRPr="00556A01">
              <w:rPr>
                <w:b/>
                <w:bCs/>
                <w:szCs w:val="18"/>
              </w:rPr>
              <w:t>26</w:t>
            </w:r>
          </w:p>
        </w:tc>
        <w:tc>
          <w:tcPr>
            <w:tcW w:w="6521" w:type="dxa"/>
          </w:tcPr>
          <w:p w:rsidRPr="00556A01" w:rsidR="00F67DA3" w:rsidP="00104D6D" w:rsidRDefault="00F67DA3" w14:paraId="40B8410F" w14:textId="77777777">
            <w:pPr>
              <w:rPr>
                <w:b/>
                <w:bCs/>
                <w:szCs w:val="18"/>
              </w:rPr>
            </w:pPr>
            <w:r w:rsidRPr="00556A01">
              <w:rPr>
                <w:b/>
                <w:bCs/>
                <w:szCs w:val="18"/>
              </w:rPr>
              <w:t>In hoeveel van de gevallen ging de gepoogde werkdrukverlichting ten koste van effectieve onderwijstijd?</w:t>
            </w:r>
          </w:p>
          <w:p w:rsidRPr="000F2477" w:rsidR="00F67DA3" w:rsidP="00104D6D" w:rsidRDefault="00F67DA3" w14:paraId="77A4A49A" w14:textId="77777777">
            <w:pPr>
              <w:rPr>
                <w:szCs w:val="18"/>
              </w:rPr>
            </w:pPr>
          </w:p>
          <w:p w:rsidRPr="000F2477" w:rsidR="00F67DA3" w:rsidP="00104D6D" w:rsidRDefault="00F67DA3" w14:paraId="024BA514" w14:textId="53AC8445">
            <w:pPr>
              <w:rPr>
                <w:szCs w:val="18"/>
              </w:rPr>
            </w:pPr>
            <w:r w:rsidRPr="000F2477">
              <w:rPr>
                <w:szCs w:val="18"/>
              </w:rPr>
              <w:t>Voor het antwoord op deze vraag verwij</w:t>
            </w:r>
            <w:r w:rsidR="00117751">
              <w:rPr>
                <w:szCs w:val="18"/>
              </w:rPr>
              <w:t>zen wij</w:t>
            </w:r>
            <w:r w:rsidRPr="000F2477">
              <w:rPr>
                <w:szCs w:val="18"/>
              </w:rPr>
              <w:t xml:space="preserve"> u naar het antwoord op vraag 24. </w:t>
            </w:r>
          </w:p>
          <w:p w:rsidRPr="000F2477" w:rsidR="00F67DA3" w:rsidP="00104D6D" w:rsidRDefault="00F67DA3" w14:paraId="2B08B0EE" w14:textId="77777777">
            <w:pPr>
              <w:rPr>
                <w:szCs w:val="18"/>
              </w:rPr>
            </w:pPr>
          </w:p>
        </w:tc>
        <w:tc>
          <w:tcPr>
            <w:tcW w:w="850" w:type="dxa"/>
          </w:tcPr>
          <w:p w:rsidRPr="000F2477" w:rsidR="00F67DA3" w:rsidP="00104D6D" w:rsidRDefault="00F67DA3" w14:paraId="07786AF1" w14:textId="77777777">
            <w:pPr>
              <w:jc w:val="right"/>
              <w:rPr>
                <w:szCs w:val="18"/>
              </w:rPr>
            </w:pPr>
          </w:p>
        </w:tc>
        <w:tc>
          <w:tcPr>
            <w:tcW w:w="992" w:type="dxa"/>
          </w:tcPr>
          <w:p w:rsidRPr="000F2477" w:rsidR="00F67DA3" w:rsidP="00104D6D" w:rsidRDefault="00F67DA3" w14:paraId="31AB46D0" w14:textId="77777777">
            <w:pPr>
              <w:jc w:val="right"/>
              <w:rPr>
                <w:szCs w:val="18"/>
              </w:rPr>
            </w:pPr>
            <w:r w:rsidRPr="000F2477">
              <w:rPr>
                <w:szCs w:val="18"/>
              </w:rPr>
              <w:t>8</w:t>
            </w:r>
          </w:p>
        </w:tc>
        <w:tc>
          <w:tcPr>
            <w:tcW w:w="567" w:type="dxa"/>
            <w:tcBorders>
              <w:left w:val="nil"/>
            </w:tcBorders>
          </w:tcPr>
          <w:p w:rsidRPr="000F2477" w:rsidR="00F67DA3" w:rsidP="00104D6D" w:rsidRDefault="00F67DA3" w14:paraId="12C87A4C" w14:textId="77777777">
            <w:pPr>
              <w:jc w:val="right"/>
              <w:rPr>
                <w:szCs w:val="18"/>
              </w:rPr>
            </w:pPr>
            <w:r w:rsidRPr="000F2477">
              <w:rPr>
                <w:szCs w:val="18"/>
              </w:rPr>
              <w:t xml:space="preserve"> </w:t>
            </w:r>
          </w:p>
        </w:tc>
      </w:tr>
      <w:tr w:rsidRPr="000F2477" w:rsidR="00F67DA3" w:rsidTr="00104D6D" w14:paraId="5B67A48E" w14:textId="77777777">
        <w:tc>
          <w:tcPr>
            <w:tcW w:w="567" w:type="dxa"/>
          </w:tcPr>
          <w:p w:rsidRPr="00556A01" w:rsidR="00F67DA3" w:rsidP="00104D6D" w:rsidRDefault="00F67DA3" w14:paraId="509141AF" w14:textId="77777777">
            <w:pPr>
              <w:rPr>
                <w:b/>
                <w:bCs/>
                <w:szCs w:val="18"/>
              </w:rPr>
            </w:pPr>
            <w:r w:rsidRPr="00556A01">
              <w:rPr>
                <w:b/>
                <w:bCs/>
                <w:szCs w:val="18"/>
              </w:rPr>
              <w:t>27</w:t>
            </w:r>
          </w:p>
        </w:tc>
        <w:tc>
          <w:tcPr>
            <w:tcW w:w="6521" w:type="dxa"/>
          </w:tcPr>
          <w:p w:rsidRPr="00556A01" w:rsidR="00F67DA3" w:rsidP="00104D6D" w:rsidRDefault="00F67DA3" w14:paraId="6F91C744" w14:textId="77777777">
            <w:pPr>
              <w:rPr>
                <w:b/>
                <w:bCs/>
                <w:szCs w:val="18"/>
              </w:rPr>
            </w:pPr>
            <w:r w:rsidRPr="00556A01">
              <w:rPr>
                <w:b/>
                <w:bCs/>
                <w:szCs w:val="18"/>
              </w:rPr>
              <w:t>Ontvangt de Kamer eind 2024 een tijdlijn en werkwijze over de evaluatie van de effectiviteit van de onderwijsregio’s in het terugdringen van het lerarentekort?</w:t>
            </w:r>
          </w:p>
          <w:p w:rsidRPr="000F2477" w:rsidR="00F67DA3" w:rsidP="00104D6D" w:rsidRDefault="00F67DA3" w14:paraId="46965CBC" w14:textId="77777777">
            <w:pPr>
              <w:rPr>
                <w:szCs w:val="18"/>
              </w:rPr>
            </w:pPr>
          </w:p>
          <w:p w:rsidRPr="000F2477" w:rsidR="00F67DA3" w:rsidP="00104D6D" w:rsidRDefault="00F67DA3" w14:paraId="11707AD5" w14:textId="1D3E07B8">
            <w:pPr>
              <w:rPr>
                <w:szCs w:val="18"/>
              </w:rPr>
            </w:pPr>
            <w:r w:rsidRPr="000F2477">
              <w:rPr>
                <w:szCs w:val="18"/>
              </w:rPr>
              <w:t>In reactie op de motie</w:t>
            </w:r>
            <w:r w:rsidRPr="000F2477">
              <w:rPr>
                <w:rStyle w:val="Voetnootmarkering"/>
                <w:szCs w:val="18"/>
              </w:rPr>
              <w:footnoteReference w:id="5"/>
            </w:r>
            <w:r w:rsidRPr="000F2477">
              <w:rPr>
                <w:szCs w:val="18"/>
              </w:rPr>
              <w:t xml:space="preserve"> en toezegging</w:t>
            </w:r>
            <w:r w:rsidRPr="000F2477">
              <w:rPr>
                <w:rStyle w:val="Voetnootmarkering"/>
                <w:szCs w:val="18"/>
              </w:rPr>
              <w:footnoteReference w:id="6"/>
            </w:r>
            <w:r w:rsidRPr="000F2477">
              <w:rPr>
                <w:szCs w:val="18"/>
              </w:rPr>
              <w:t xml:space="preserve"> over evaluatie en monitoring van onderwijsregio</w:t>
            </w:r>
            <w:r w:rsidR="00615D4A">
              <w:rPr>
                <w:szCs w:val="18"/>
              </w:rPr>
              <w:t>’</w:t>
            </w:r>
            <w:r w:rsidRPr="000F2477">
              <w:rPr>
                <w:szCs w:val="18"/>
              </w:rPr>
              <w:t xml:space="preserve">s </w:t>
            </w:r>
            <w:r w:rsidR="00773092">
              <w:rPr>
                <w:szCs w:val="18"/>
              </w:rPr>
              <w:t>wordt</w:t>
            </w:r>
            <w:r w:rsidR="00615D4A">
              <w:rPr>
                <w:szCs w:val="18"/>
              </w:rPr>
              <w:t xml:space="preserve"> </w:t>
            </w:r>
            <w:r w:rsidRPr="000F2477">
              <w:rPr>
                <w:szCs w:val="18"/>
              </w:rPr>
              <w:t xml:space="preserve">de effectiviteit en doelmatigheid van de onderwijsregio’s in kaart gebracht. </w:t>
            </w:r>
            <w:r>
              <w:rPr>
                <w:szCs w:val="18"/>
              </w:rPr>
              <w:t>Uw</w:t>
            </w:r>
            <w:r w:rsidRPr="000F2477">
              <w:rPr>
                <w:szCs w:val="18"/>
              </w:rPr>
              <w:t xml:space="preserve"> Kamer wordt </w:t>
            </w:r>
            <w:r w:rsidR="00557B1F">
              <w:rPr>
                <w:szCs w:val="18"/>
              </w:rPr>
              <w:t>voor het kerstreces 2024</w:t>
            </w:r>
            <w:r w:rsidRPr="000F2477">
              <w:rPr>
                <w:szCs w:val="18"/>
              </w:rPr>
              <w:t xml:space="preserve"> geïnformeerd over de voortgang van de motie en toezegging.</w:t>
            </w:r>
          </w:p>
          <w:p w:rsidRPr="000F2477" w:rsidR="00F67DA3" w:rsidP="00104D6D" w:rsidRDefault="00F67DA3" w14:paraId="2324EB63" w14:textId="77777777">
            <w:pPr>
              <w:rPr>
                <w:szCs w:val="18"/>
              </w:rPr>
            </w:pPr>
          </w:p>
        </w:tc>
        <w:tc>
          <w:tcPr>
            <w:tcW w:w="850" w:type="dxa"/>
          </w:tcPr>
          <w:p w:rsidRPr="000F2477" w:rsidR="00F67DA3" w:rsidP="00104D6D" w:rsidRDefault="00F67DA3" w14:paraId="5A66FCAC" w14:textId="77777777">
            <w:pPr>
              <w:jc w:val="right"/>
              <w:rPr>
                <w:szCs w:val="18"/>
              </w:rPr>
            </w:pPr>
          </w:p>
        </w:tc>
        <w:tc>
          <w:tcPr>
            <w:tcW w:w="992" w:type="dxa"/>
          </w:tcPr>
          <w:p w:rsidRPr="000F2477" w:rsidR="00F67DA3" w:rsidP="00104D6D" w:rsidRDefault="00F67DA3" w14:paraId="3BF825CE" w14:textId="77777777">
            <w:pPr>
              <w:jc w:val="right"/>
              <w:rPr>
                <w:szCs w:val="18"/>
              </w:rPr>
            </w:pPr>
            <w:r w:rsidRPr="000F2477">
              <w:rPr>
                <w:szCs w:val="18"/>
              </w:rPr>
              <w:t>9</w:t>
            </w:r>
          </w:p>
        </w:tc>
        <w:tc>
          <w:tcPr>
            <w:tcW w:w="567" w:type="dxa"/>
            <w:tcBorders>
              <w:left w:val="nil"/>
            </w:tcBorders>
          </w:tcPr>
          <w:p w:rsidRPr="000F2477" w:rsidR="00F67DA3" w:rsidP="00104D6D" w:rsidRDefault="00F67DA3" w14:paraId="39CF2914" w14:textId="77777777">
            <w:pPr>
              <w:jc w:val="right"/>
              <w:rPr>
                <w:szCs w:val="18"/>
              </w:rPr>
            </w:pPr>
            <w:r w:rsidRPr="000F2477">
              <w:rPr>
                <w:szCs w:val="18"/>
              </w:rPr>
              <w:t xml:space="preserve"> </w:t>
            </w:r>
          </w:p>
        </w:tc>
      </w:tr>
      <w:tr w:rsidRPr="000F2477" w:rsidR="00F67DA3" w:rsidTr="00104D6D" w14:paraId="1D395359" w14:textId="77777777">
        <w:tc>
          <w:tcPr>
            <w:tcW w:w="567" w:type="dxa"/>
          </w:tcPr>
          <w:p w:rsidRPr="00556A01" w:rsidR="00F67DA3" w:rsidP="00104D6D" w:rsidRDefault="00F67DA3" w14:paraId="3220AF95" w14:textId="77777777">
            <w:pPr>
              <w:rPr>
                <w:b/>
                <w:bCs/>
                <w:szCs w:val="18"/>
              </w:rPr>
            </w:pPr>
            <w:r w:rsidRPr="00556A01">
              <w:rPr>
                <w:b/>
                <w:bCs/>
                <w:szCs w:val="18"/>
              </w:rPr>
              <w:t>28</w:t>
            </w:r>
          </w:p>
        </w:tc>
        <w:tc>
          <w:tcPr>
            <w:tcW w:w="6521" w:type="dxa"/>
          </w:tcPr>
          <w:p w:rsidRPr="00556A01" w:rsidR="00F67DA3" w:rsidP="00104D6D" w:rsidRDefault="00F67DA3" w14:paraId="2AFCB25C" w14:textId="77777777">
            <w:pPr>
              <w:rPr>
                <w:b/>
                <w:bCs/>
                <w:szCs w:val="18"/>
              </w:rPr>
            </w:pPr>
            <w:r w:rsidRPr="00556A01">
              <w:rPr>
                <w:b/>
                <w:bCs/>
                <w:szCs w:val="18"/>
              </w:rPr>
              <w:t>Op welke wijze borgt u de instandhouding van bestaande effectieve samenwerkingen tussen hogescholen en het funderend onderwijs rondom Samen Opleiden, die meerdere geografische regio’s overlappen of bovenregionaal worden vormgegeven?</w:t>
            </w:r>
          </w:p>
          <w:p w:rsidR="00F67DA3" w:rsidP="00104D6D" w:rsidRDefault="00F67DA3" w14:paraId="3B5334FC" w14:textId="77777777">
            <w:pPr>
              <w:rPr>
                <w:szCs w:val="18"/>
              </w:rPr>
            </w:pPr>
          </w:p>
          <w:p w:rsidR="00F67DA3" w:rsidP="00104D6D" w:rsidRDefault="00F67DA3" w14:paraId="02247EEB" w14:textId="77777777">
            <w:pPr>
              <w:rPr>
                <w:szCs w:val="18"/>
              </w:rPr>
            </w:pPr>
            <w:r>
              <w:rPr>
                <w:szCs w:val="18"/>
              </w:rPr>
              <w:t xml:space="preserve">Via de subsidieregeling Landelijk dekkend netwerk onderwijsregio's kunnen schoolbesturen, lerarenopleidingen en de beroepsgroep samen een aanvraag doen voor hun regionale aanpak van de tekorten. </w:t>
            </w:r>
          </w:p>
          <w:p w:rsidR="00F67DA3" w:rsidP="00104D6D" w:rsidRDefault="00F67DA3" w14:paraId="4D25A8E7" w14:textId="77777777">
            <w:pPr>
              <w:rPr>
                <w:szCs w:val="18"/>
              </w:rPr>
            </w:pPr>
          </w:p>
          <w:p w:rsidRPr="00DE6B66" w:rsidR="00F67DA3" w:rsidP="00104D6D" w:rsidRDefault="00F67DA3" w14:paraId="38CD9437" w14:textId="4E7230CB">
            <w:pPr>
              <w:rPr>
                <w:strike/>
                <w:szCs w:val="18"/>
              </w:rPr>
            </w:pPr>
            <w:r>
              <w:rPr>
                <w:szCs w:val="18"/>
              </w:rPr>
              <w:lastRenderedPageBreak/>
              <w:t xml:space="preserve">Onderwijsregio’s zetten zich in om 100% van de studenten en zij-instromers op te leiden binnen opleidingsscholen binnen de onderwijsregio die werken conform het Kwaliteitskader Samen Opleiden. De financiering van Samen Opleiden is </w:t>
            </w:r>
            <w:r w:rsidR="00571206">
              <w:rPr>
                <w:szCs w:val="18"/>
              </w:rPr>
              <w:t xml:space="preserve">voortgezet </w:t>
            </w:r>
            <w:r>
              <w:rPr>
                <w:szCs w:val="18"/>
              </w:rPr>
              <w:t xml:space="preserve">via de onderwijsregio’s. Een aanzienlijk deel van de middelen voor een onderwijsregio is gebaseerd op het aantal studenten Samen Opleiden binnen een onderwijsregio. </w:t>
            </w:r>
            <w:r w:rsidR="00B01D53">
              <w:rPr>
                <w:szCs w:val="18"/>
              </w:rPr>
              <w:t>Met deze middelen</w:t>
            </w:r>
            <w:r w:rsidR="00571206">
              <w:rPr>
                <w:szCs w:val="18"/>
              </w:rPr>
              <w:t xml:space="preserve"> kan de onderwijsregio</w:t>
            </w:r>
            <w:r>
              <w:rPr>
                <w:szCs w:val="18"/>
              </w:rPr>
              <w:t xml:space="preserve"> </w:t>
            </w:r>
            <w:r w:rsidR="00571206">
              <w:rPr>
                <w:szCs w:val="18"/>
              </w:rPr>
              <w:t xml:space="preserve">doorgaan met </w:t>
            </w:r>
            <w:r>
              <w:rPr>
                <w:szCs w:val="18"/>
              </w:rPr>
              <w:t>de systematiek van Samen Opleiden voor de betreffende studenten</w:t>
            </w:r>
            <w:r w:rsidR="00571206">
              <w:rPr>
                <w:szCs w:val="18"/>
              </w:rPr>
              <w:t>. De</w:t>
            </w:r>
            <w:r>
              <w:rPr>
                <w:szCs w:val="18"/>
              </w:rPr>
              <w:t xml:space="preserve"> effectieve samenwerking tussen lerarenopleidingen en het funderend onderwijs en het mbo </w:t>
            </w:r>
            <w:r w:rsidR="00571206">
              <w:rPr>
                <w:szCs w:val="18"/>
              </w:rPr>
              <w:t xml:space="preserve">is </w:t>
            </w:r>
            <w:r w:rsidR="00B01D53">
              <w:rPr>
                <w:szCs w:val="18"/>
              </w:rPr>
              <w:t>daar een</w:t>
            </w:r>
            <w:r w:rsidR="00571206">
              <w:rPr>
                <w:szCs w:val="18"/>
              </w:rPr>
              <w:t xml:space="preserve"> </w:t>
            </w:r>
            <w:r>
              <w:rPr>
                <w:szCs w:val="18"/>
              </w:rPr>
              <w:t xml:space="preserve">onderdeel van. </w:t>
            </w:r>
            <w:r w:rsidR="00571206">
              <w:rPr>
                <w:szCs w:val="18"/>
              </w:rPr>
              <w:t>Onderwijsregio’s maken afspraken over de doorontwikkeling</w:t>
            </w:r>
            <w:r>
              <w:rPr>
                <w:szCs w:val="18"/>
              </w:rPr>
              <w:t xml:space="preserve"> van Samen Opleiden binnen de onderwijsregio’s met behoud van kwaliteit. De Realisatie-Eenheid ondersteunt de onderwijsregio’s bij de continuering van Samen Opleiden binnen de context van de </w:t>
            </w:r>
            <w:r w:rsidR="00C31175">
              <w:rPr>
                <w:szCs w:val="18"/>
              </w:rPr>
              <w:t>o</w:t>
            </w:r>
            <w:r>
              <w:rPr>
                <w:szCs w:val="18"/>
              </w:rPr>
              <w:t xml:space="preserve">nderwijsregio’s. </w:t>
            </w:r>
          </w:p>
          <w:p w:rsidRPr="000F2477" w:rsidR="00F67DA3" w:rsidP="00104D6D" w:rsidRDefault="00F67DA3" w14:paraId="41BBDAD8" w14:textId="77777777">
            <w:pPr>
              <w:rPr>
                <w:szCs w:val="18"/>
              </w:rPr>
            </w:pPr>
          </w:p>
        </w:tc>
        <w:tc>
          <w:tcPr>
            <w:tcW w:w="850" w:type="dxa"/>
          </w:tcPr>
          <w:p w:rsidRPr="000F2477" w:rsidR="00F67DA3" w:rsidP="00104D6D" w:rsidRDefault="00F67DA3" w14:paraId="5EC77AA4" w14:textId="77777777">
            <w:pPr>
              <w:jc w:val="right"/>
              <w:rPr>
                <w:szCs w:val="18"/>
              </w:rPr>
            </w:pPr>
          </w:p>
        </w:tc>
        <w:tc>
          <w:tcPr>
            <w:tcW w:w="992" w:type="dxa"/>
          </w:tcPr>
          <w:p w:rsidRPr="000F2477" w:rsidR="00F67DA3" w:rsidP="00104D6D" w:rsidRDefault="00F67DA3" w14:paraId="25B8CE2E" w14:textId="77777777">
            <w:pPr>
              <w:jc w:val="right"/>
              <w:rPr>
                <w:szCs w:val="18"/>
              </w:rPr>
            </w:pPr>
            <w:r w:rsidRPr="000F2477">
              <w:rPr>
                <w:szCs w:val="18"/>
              </w:rPr>
              <w:t>9</w:t>
            </w:r>
          </w:p>
        </w:tc>
        <w:tc>
          <w:tcPr>
            <w:tcW w:w="567" w:type="dxa"/>
            <w:tcBorders>
              <w:left w:val="nil"/>
            </w:tcBorders>
          </w:tcPr>
          <w:p w:rsidRPr="000F2477" w:rsidR="00F67DA3" w:rsidP="00104D6D" w:rsidRDefault="00F67DA3" w14:paraId="3DCA8411" w14:textId="77777777">
            <w:pPr>
              <w:jc w:val="right"/>
              <w:rPr>
                <w:szCs w:val="18"/>
              </w:rPr>
            </w:pPr>
            <w:r w:rsidRPr="000F2477">
              <w:rPr>
                <w:szCs w:val="18"/>
              </w:rPr>
              <w:t xml:space="preserve"> </w:t>
            </w:r>
          </w:p>
        </w:tc>
      </w:tr>
      <w:tr w:rsidRPr="000F2477" w:rsidR="00F67DA3" w:rsidTr="00104D6D" w14:paraId="5B95410E" w14:textId="77777777">
        <w:tc>
          <w:tcPr>
            <w:tcW w:w="567" w:type="dxa"/>
          </w:tcPr>
          <w:p w:rsidRPr="00556A01" w:rsidR="00F67DA3" w:rsidP="00104D6D" w:rsidRDefault="00F67DA3" w14:paraId="3B3F48A3" w14:textId="77777777">
            <w:pPr>
              <w:rPr>
                <w:b/>
                <w:bCs/>
                <w:szCs w:val="18"/>
              </w:rPr>
            </w:pPr>
            <w:r w:rsidRPr="00556A01">
              <w:rPr>
                <w:b/>
                <w:bCs/>
                <w:szCs w:val="18"/>
              </w:rPr>
              <w:t>29</w:t>
            </w:r>
          </w:p>
        </w:tc>
        <w:tc>
          <w:tcPr>
            <w:tcW w:w="6521" w:type="dxa"/>
          </w:tcPr>
          <w:p w:rsidRPr="000F2477" w:rsidR="00F67DA3" w:rsidP="00104D6D" w:rsidRDefault="00F67DA3" w14:paraId="05D25DC0" w14:textId="77777777">
            <w:pPr>
              <w:rPr>
                <w:szCs w:val="18"/>
              </w:rPr>
            </w:pPr>
            <w:r w:rsidRPr="00556A01">
              <w:rPr>
                <w:b/>
                <w:bCs/>
                <w:szCs w:val="18"/>
              </w:rPr>
              <w:t>In hoeverre heeft u inmiddels resultaten geboekt met de uitvoering van de motie van de leden Pijpelink en Soepboer over het professioneel statuut nieuw leven inblazen en zoeken naar aanvullende mogelijkheden om de autonomie van individuele leraren te vergroten</w:t>
            </w:r>
            <w:r w:rsidRPr="00556A01">
              <w:rPr>
                <w:rStyle w:val="Voetnootmarkering"/>
                <w:b/>
                <w:bCs/>
                <w:szCs w:val="18"/>
              </w:rPr>
              <w:footnoteReference w:id="7"/>
            </w:r>
            <w:r w:rsidRPr="00556A01">
              <w:rPr>
                <w:b/>
                <w:bCs/>
                <w:szCs w:val="18"/>
              </w:rPr>
              <w:t>?</w:t>
            </w:r>
          </w:p>
          <w:p w:rsidRPr="000F2477" w:rsidR="00F67DA3" w:rsidP="00104D6D" w:rsidRDefault="00F67DA3" w14:paraId="72633BA1" w14:textId="77777777">
            <w:pPr>
              <w:rPr>
                <w:szCs w:val="18"/>
              </w:rPr>
            </w:pPr>
          </w:p>
          <w:p w:rsidRPr="000F2477" w:rsidR="00F67DA3" w:rsidP="00104D6D" w:rsidRDefault="00F67DA3" w14:paraId="63F3881F" w14:textId="4C2F99B3">
            <w:pPr>
              <w:rPr>
                <w:szCs w:val="18"/>
              </w:rPr>
            </w:pPr>
            <w:r w:rsidRPr="000F2477">
              <w:rPr>
                <w:szCs w:val="18"/>
              </w:rPr>
              <w:t>Naar aanleiding van de motie van de leden Pijpelink</w:t>
            </w:r>
            <w:r w:rsidR="00773092">
              <w:rPr>
                <w:szCs w:val="18"/>
              </w:rPr>
              <w:t xml:space="preserve"> (GroenLinks-PvdA) </w:t>
            </w:r>
            <w:r w:rsidRPr="000F2477">
              <w:rPr>
                <w:szCs w:val="18"/>
              </w:rPr>
              <w:t>en Soepboer</w:t>
            </w:r>
            <w:r w:rsidR="00773092">
              <w:rPr>
                <w:szCs w:val="18"/>
              </w:rPr>
              <w:t xml:space="preserve"> (NSC)</w:t>
            </w:r>
            <w:r w:rsidRPr="000F2477">
              <w:rPr>
                <w:szCs w:val="18"/>
              </w:rPr>
              <w:t xml:space="preserve"> is een onderzoek gestart</w:t>
            </w:r>
            <w:r>
              <w:rPr>
                <w:rStyle w:val="Voetnootmarkering"/>
                <w:szCs w:val="18"/>
              </w:rPr>
              <w:footnoteReference w:id="8"/>
            </w:r>
            <w:r w:rsidRPr="000F2477">
              <w:rPr>
                <w:szCs w:val="18"/>
              </w:rPr>
              <w:t xml:space="preserve"> naar de ervaringen met het professioneel statuut op de verschillende scholen. De uitvoering van dit onderzoek is nog in volle gang</w:t>
            </w:r>
            <w:r w:rsidR="00773092">
              <w:rPr>
                <w:szCs w:val="18"/>
              </w:rPr>
              <w:t>.</w:t>
            </w:r>
            <w:r w:rsidRPr="000F2477">
              <w:rPr>
                <w:szCs w:val="18"/>
              </w:rPr>
              <w:t xml:space="preserve"> Het onderzoek wordt naar verwachting aan het eind van het jaar opgeleverd. </w:t>
            </w:r>
            <w:r w:rsidR="00030E6D">
              <w:rPr>
                <w:szCs w:val="18"/>
              </w:rPr>
              <w:t>Uw</w:t>
            </w:r>
            <w:r w:rsidRPr="000F2477">
              <w:rPr>
                <w:szCs w:val="18"/>
              </w:rPr>
              <w:t xml:space="preserve"> Kamer zal over de uitkomsten en de beleidsreactie worden geïnformeerd via de eerstvolgende lerarenbrief.</w:t>
            </w:r>
          </w:p>
          <w:p w:rsidRPr="000F2477" w:rsidR="00F67DA3" w:rsidP="00104D6D" w:rsidRDefault="00F67DA3" w14:paraId="10B9F830" w14:textId="77777777">
            <w:pPr>
              <w:rPr>
                <w:szCs w:val="18"/>
              </w:rPr>
            </w:pPr>
          </w:p>
        </w:tc>
        <w:tc>
          <w:tcPr>
            <w:tcW w:w="850" w:type="dxa"/>
          </w:tcPr>
          <w:p w:rsidRPr="000F2477" w:rsidR="00F67DA3" w:rsidP="00104D6D" w:rsidRDefault="00F67DA3" w14:paraId="497304A1" w14:textId="77777777">
            <w:pPr>
              <w:jc w:val="right"/>
              <w:rPr>
                <w:szCs w:val="18"/>
              </w:rPr>
            </w:pPr>
          </w:p>
        </w:tc>
        <w:tc>
          <w:tcPr>
            <w:tcW w:w="992" w:type="dxa"/>
          </w:tcPr>
          <w:p w:rsidRPr="000F2477" w:rsidR="00F67DA3" w:rsidP="00104D6D" w:rsidRDefault="00F67DA3" w14:paraId="5C85815C" w14:textId="77777777">
            <w:pPr>
              <w:jc w:val="right"/>
              <w:rPr>
                <w:szCs w:val="18"/>
              </w:rPr>
            </w:pPr>
            <w:r w:rsidRPr="000F2477">
              <w:rPr>
                <w:szCs w:val="18"/>
              </w:rPr>
              <w:t>9</w:t>
            </w:r>
          </w:p>
        </w:tc>
        <w:tc>
          <w:tcPr>
            <w:tcW w:w="567" w:type="dxa"/>
            <w:tcBorders>
              <w:left w:val="nil"/>
            </w:tcBorders>
          </w:tcPr>
          <w:p w:rsidRPr="000F2477" w:rsidR="00F67DA3" w:rsidP="00104D6D" w:rsidRDefault="00F67DA3" w14:paraId="08C07D58" w14:textId="77777777">
            <w:pPr>
              <w:jc w:val="right"/>
              <w:rPr>
                <w:szCs w:val="18"/>
              </w:rPr>
            </w:pPr>
            <w:r w:rsidRPr="000F2477">
              <w:rPr>
                <w:szCs w:val="18"/>
              </w:rPr>
              <w:t xml:space="preserve">13 </w:t>
            </w:r>
          </w:p>
        </w:tc>
      </w:tr>
      <w:tr w:rsidRPr="000F2477" w:rsidR="00F67DA3" w:rsidTr="00104D6D" w14:paraId="47E5907C" w14:textId="77777777">
        <w:tc>
          <w:tcPr>
            <w:tcW w:w="567" w:type="dxa"/>
          </w:tcPr>
          <w:p w:rsidRPr="00525DC5" w:rsidR="00F67DA3" w:rsidP="00104D6D" w:rsidRDefault="00F67DA3" w14:paraId="07ED96BF" w14:textId="77777777">
            <w:pPr>
              <w:rPr>
                <w:b/>
                <w:bCs/>
              </w:rPr>
            </w:pPr>
            <w:r w:rsidRPr="00525DC5">
              <w:rPr>
                <w:b/>
                <w:bCs/>
              </w:rPr>
              <w:t>30</w:t>
            </w:r>
          </w:p>
        </w:tc>
        <w:tc>
          <w:tcPr>
            <w:tcW w:w="6521" w:type="dxa"/>
          </w:tcPr>
          <w:p w:rsidRPr="00525DC5" w:rsidR="00F67DA3" w:rsidP="00104D6D" w:rsidRDefault="00F67DA3" w14:paraId="40BCDD00" w14:textId="77777777">
            <w:pPr>
              <w:rPr>
                <w:b/>
                <w:bCs/>
              </w:rPr>
            </w:pPr>
            <w:r w:rsidRPr="00525DC5">
              <w:rPr>
                <w:b/>
                <w:bCs/>
              </w:rPr>
              <w:t>Hoe verklaart u dat recentelijk Rechtbank Midden-Nederland bepaalde dat u € 250 miljoen extra naar scholen moet overmaken in verband met te weinig betaalde personeelskosten in 2022? Was de rechtmatigheid van deze claim niet al in 2021 te voorzien geweest toen het kabinet besloot over de OCW-begroting 2022? In hoeverre beperkt zo'n bekostigingsachterstand de mogelijkheden voor scholen om een strategisch personeelsbeleid waar te maken?</w:t>
            </w:r>
          </w:p>
          <w:p w:rsidR="00F67DA3" w:rsidP="00104D6D" w:rsidRDefault="00F67DA3" w14:paraId="28772B02" w14:textId="77777777"/>
          <w:p w:rsidRPr="00110116" w:rsidR="00602303" w:rsidP="00104D6D" w:rsidRDefault="00602303" w14:paraId="7145E9C9" w14:textId="0636A1D2">
            <w:pPr>
              <w:rPr>
                <w:rFonts w:ascii="Calibri" w:hAnsi="Calibri"/>
                <w:sz w:val="22"/>
                <w:szCs w:val="22"/>
              </w:rPr>
            </w:pPr>
            <w:r>
              <w:t>Op 31 juli jl. heb ik over deze rechtszaak een brief naar de Tweede Kamer gestuurd, waarin ik aangeef hoger beroep in te stellen bij de Afdeling bestuursrechtspraak van de Raad van State.</w:t>
            </w:r>
            <w:r w:rsidR="00110116">
              <w:rPr>
                <w:rStyle w:val="Voetnootmarkering"/>
              </w:rPr>
              <w:footnoteReference w:id="9"/>
            </w:r>
            <w:r>
              <w:t xml:space="preserve"> Er is met deze rechtszaak geen sprake van een bekostigingsachterstand en daarmee geen beperking van mogelijkheden voor het waarmaken van strategisch personeelsbeleid door een bekostigingsachterstand</w:t>
            </w:r>
            <w:r w:rsidR="00C31175">
              <w:t>.</w:t>
            </w:r>
          </w:p>
          <w:p w:rsidRPr="000F2477" w:rsidR="00F67DA3" w:rsidP="00773092" w:rsidRDefault="00F67DA3" w14:paraId="357BB8C4" w14:textId="088E6335"/>
        </w:tc>
        <w:tc>
          <w:tcPr>
            <w:tcW w:w="850" w:type="dxa"/>
          </w:tcPr>
          <w:p w:rsidRPr="000F2477" w:rsidR="00F67DA3" w:rsidP="00104D6D" w:rsidRDefault="00F67DA3" w14:paraId="666C080C" w14:textId="77777777">
            <w:pPr>
              <w:jc w:val="right"/>
              <w:rPr>
                <w:szCs w:val="18"/>
              </w:rPr>
            </w:pPr>
          </w:p>
        </w:tc>
        <w:tc>
          <w:tcPr>
            <w:tcW w:w="992" w:type="dxa"/>
          </w:tcPr>
          <w:p w:rsidRPr="000F2477" w:rsidR="00F67DA3" w:rsidP="00104D6D" w:rsidRDefault="00F67DA3" w14:paraId="597DB430" w14:textId="77777777">
            <w:pPr>
              <w:jc w:val="right"/>
              <w:rPr>
                <w:szCs w:val="18"/>
              </w:rPr>
            </w:pPr>
            <w:r w:rsidRPr="000F2477">
              <w:rPr>
                <w:szCs w:val="18"/>
              </w:rPr>
              <w:t>11</w:t>
            </w:r>
          </w:p>
        </w:tc>
        <w:tc>
          <w:tcPr>
            <w:tcW w:w="567" w:type="dxa"/>
            <w:tcBorders>
              <w:left w:val="nil"/>
            </w:tcBorders>
          </w:tcPr>
          <w:p w:rsidRPr="000F2477" w:rsidR="00F67DA3" w:rsidP="00104D6D" w:rsidRDefault="00F67DA3" w14:paraId="46766AA2" w14:textId="77777777">
            <w:pPr>
              <w:jc w:val="right"/>
              <w:rPr>
                <w:szCs w:val="18"/>
              </w:rPr>
            </w:pPr>
            <w:r w:rsidRPr="000F2477">
              <w:rPr>
                <w:szCs w:val="18"/>
              </w:rPr>
              <w:t xml:space="preserve"> </w:t>
            </w:r>
          </w:p>
        </w:tc>
      </w:tr>
      <w:tr w:rsidRPr="000F2477" w:rsidR="00F67DA3" w:rsidTr="00104D6D" w14:paraId="2C78AEA6" w14:textId="77777777">
        <w:tc>
          <w:tcPr>
            <w:tcW w:w="567" w:type="dxa"/>
          </w:tcPr>
          <w:p w:rsidRPr="00556A01" w:rsidR="00F67DA3" w:rsidP="00104D6D" w:rsidRDefault="00F67DA3" w14:paraId="4CE4B166" w14:textId="77777777">
            <w:pPr>
              <w:rPr>
                <w:b/>
                <w:bCs/>
                <w:szCs w:val="18"/>
              </w:rPr>
            </w:pPr>
            <w:r w:rsidRPr="00556A01">
              <w:rPr>
                <w:b/>
                <w:bCs/>
                <w:szCs w:val="18"/>
              </w:rPr>
              <w:lastRenderedPageBreak/>
              <w:t>31</w:t>
            </w:r>
          </w:p>
        </w:tc>
        <w:tc>
          <w:tcPr>
            <w:tcW w:w="6521" w:type="dxa"/>
          </w:tcPr>
          <w:p w:rsidRPr="00556A01" w:rsidR="00F67DA3" w:rsidP="00104D6D" w:rsidRDefault="00F67DA3" w14:paraId="7C767369" w14:textId="77777777">
            <w:pPr>
              <w:rPr>
                <w:b/>
                <w:bCs/>
                <w:szCs w:val="18"/>
              </w:rPr>
            </w:pPr>
            <w:r w:rsidRPr="00556A01">
              <w:rPr>
                <w:b/>
                <w:bCs/>
                <w:szCs w:val="18"/>
              </w:rPr>
              <w:t>Uit onderzoek blijkt dat het experiment bijzondere nadere vooropleidingseisen pabo door studenten als belastend wordt ervaren; is dit niet vanzelfsprekend, omdat studenten binnen het eerste jaar alsnog aan de toelatingseisen moeten voldoen?</w:t>
            </w:r>
          </w:p>
          <w:p w:rsidR="00F67DA3" w:rsidP="00104D6D" w:rsidRDefault="00F67DA3" w14:paraId="67368FC8" w14:textId="77777777">
            <w:pPr>
              <w:rPr>
                <w:szCs w:val="18"/>
              </w:rPr>
            </w:pPr>
          </w:p>
          <w:p w:rsidR="00F67DA3" w:rsidP="00104D6D" w:rsidRDefault="00F67DA3" w14:paraId="3336E99D" w14:textId="77777777">
            <w:pPr>
              <w:spacing w:line="276" w:lineRule="auto"/>
              <w:rPr>
                <w:szCs w:val="18"/>
              </w:rPr>
            </w:pPr>
            <w:r w:rsidRPr="00730D6E">
              <w:rPr>
                <w:szCs w:val="18"/>
              </w:rPr>
              <w:t>Per 1 september 2022 is een experiment gestart waarin aspirant</w:t>
            </w:r>
            <w:r>
              <w:rPr>
                <w:szCs w:val="18"/>
              </w:rPr>
              <w:t>-</w:t>
            </w:r>
            <w:r w:rsidRPr="00730D6E">
              <w:rPr>
                <w:szCs w:val="18"/>
              </w:rPr>
              <w:t>studenten nog steeds voor hun start aan de pabo de voor hen geldende toetsen moeten maken</w:t>
            </w:r>
            <w:r>
              <w:rPr>
                <w:szCs w:val="18"/>
              </w:rPr>
              <w:t>.</w:t>
            </w:r>
            <w:r w:rsidRPr="00730D6E">
              <w:rPr>
                <w:szCs w:val="18"/>
              </w:rPr>
              <w:t xml:space="preserve"> </w:t>
            </w:r>
            <w:r>
              <w:rPr>
                <w:szCs w:val="18"/>
              </w:rPr>
              <w:t>Nieuw is dat a</w:t>
            </w:r>
            <w:r w:rsidRPr="00730D6E">
              <w:rPr>
                <w:szCs w:val="18"/>
              </w:rPr>
              <w:t>spirant</w:t>
            </w:r>
            <w:r>
              <w:rPr>
                <w:szCs w:val="18"/>
              </w:rPr>
              <w:t>-</w:t>
            </w:r>
            <w:r w:rsidRPr="00730D6E">
              <w:rPr>
                <w:szCs w:val="18"/>
              </w:rPr>
              <w:t>studenten die nog niet (geheel) aan de kennisvereisten voldoen, toch</w:t>
            </w:r>
            <w:r>
              <w:rPr>
                <w:szCs w:val="18"/>
              </w:rPr>
              <w:t xml:space="preserve"> voorwaardelijk kunnen</w:t>
            </w:r>
            <w:r w:rsidRPr="00730D6E">
              <w:rPr>
                <w:szCs w:val="18"/>
              </w:rPr>
              <w:t xml:space="preserve"> starten aan de pabo. Met deze maatregel wil het kabinet de toegankelijkheid van de pabo vergroten</w:t>
            </w:r>
            <w:r>
              <w:rPr>
                <w:szCs w:val="18"/>
              </w:rPr>
              <w:t xml:space="preserve"> en daarmee</w:t>
            </w:r>
            <w:r w:rsidRPr="00730D6E">
              <w:rPr>
                <w:szCs w:val="18"/>
              </w:rPr>
              <w:t xml:space="preserve"> bijdragen aan de aanpak van het lerarentekort met behoud van kwaliteit van leraren. </w:t>
            </w:r>
          </w:p>
          <w:p w:rsidR="00F67DA3" w:rsidP="00104D6D" w:rsidRDefault="00F67DA3" w14:paraId="5CACEC79" w14:textId="77777777">
            <w:pPr>
              <w:spacing w:line="276" w:lineRule="auto"/>
              <w:rPr>
                <w:szCs w:val="18"/>
              </w:rPr>
            </w:pPr>
          </w:p>
          <w:p w:rsidR="00F67DA3" w:rsidP="00104D6D" w:rsidRDefault="00F67DA3" w14:paraId="11E650D1" w14:textId="0DC6CE17">
            <w:pPr>
              <w:spacing w:line="276" w:lineRule="auto"/>
              <w:rPr>
                <w:szCs w:val="18"/>
              </w:rPr>
            </w:pPr>
            <w:r w:rsidRPr="00730D6E">
              <w:rPr>
                <w:szCs w:val="18"/>
              </w:rPr>
              <w:t>Studenten moeten uiterlijk aan het einde van het eerste jaar van inschrijving op de pabo alsnog aan</w:t>
            </w:r>
            <w:r>
              <w:rPr>
                <w:szCs w:val="18"/>
              </w:rPr>
              <w:t xml:space="preserve"> de eisen</w:t>
            </w:r>
            <w:r w:rsidRPr="00730D6E">
              <w:rPr>
                <w:szCs w:val="18"/>
              </w:rPr>
              <w:t xml:space="preserve"> voldoen. </w:t>
            </w:r>
            <w:r>
              <w:rPr>
                <w:szCs w:val="18"/>
              </w:rPr>
              <w:t>Ze</w:t>
            </w:r>
            <w:r w:rsidRPr="00730D6E">
              <w:rPr>
                <w:szCs w:val="18"/>
              </w:rPr>
              <w:t xml:space="preserve"> kunnen ter voorbereiding op deze toetsen gebruik maken van landelijke ondersteuning</w:t>
            </w:r>
            <w:r>
              <w:rPr>
                <w:szCs w:val="18"/>
              </w:rPr>
              <w:t xml:space="preserve"> en/of</w:t>
            </w:r>
            <w:r w:rsidRPr="00730D6E">
              <w:rPr>
                <w:szCs w:val="18"/>
              </w:rPr>
              <w:t xml:space="preserve"> gerichte ondersteuning die door de pabo’s aan wordt geboden. De voorbereiding op de toetsen, mogelijk in combinatie met de extra spanning rondom de voorwaardelijke toelat</w:t>
            </w:r>
            <w:r w:rsidR="00117751">
              <w:rPr>
                <w:szCs w:val="18"/>
              </w:rPr>
              <w:t>ing</w:t>
            </w:r>
            <w:r w:rsidRPr="00730D6E">
              <w:rPr>
                <w:szCs w:val="18"/>
              </w:rPr>
              <w:t xml:space="preserve"> tot de opleiding, leidt logischerwijs tot een hogere belasting in het eerste studiejaar. </w:t>
            </w:r>
            <w:r w:rsidR="00773092">
              <w:rPr>
                <w:szCs w:val="18"/>
              </w:rPr>
              <w:t>Daar staat tegenover dat</w:t>
            </w:r>
            <w:r w:rsidR="00483CD7">
              <w:rPr>
                <w:szCs w:val="18"/>
              </w:rPr>
              <w:t xml:space="preserve"> studenten die nog niet aan de toelatingseisen hebben voldaan, toch kunnen starten met de opleiding en langer de tijd krijgen om zich op de toetsen voor te bereiden.</w:t>
            </w:r>
            <w:r w:rsidR="00C31175">
              <w:rPr>
                <w:szCs w:val="18"/>
              </w:rPr>
              <w:t xml:space="preserve"> </w:t>
            </w:r>
          </w:p>
          <w:p w:rsidRPr="000F2477" w:rsidR="00F67DA3" w:rsidP="00D913FF" w:rsidRDefault="00F67DA3" w14:paraId="4BFBC839" w14:textId="77777777">
            <w:pPr>
              <w:spacing w:line="276" w:lineRule="auto"/>
              <w:rPr>
                <w:szCs w:val="18"/>
              </w:rPr>
            </w:pPr>
          </w:p>
        </w:tc>
        <w:tc>
          <w:tcPr>
            <w:tcW w:w="850" w:type="dxa"/>
          </w:tcPr>
          <w:p w:rsidRPr="000F2477" w:rsidR="00F67DA3" w:rsidP="00104D6D" w:rsidRDefault="00F67DA3" w14:paraId="153D1FE1" w14:textId="77777777">
            <w:pPr>
              <w:jc w:val="right"/>
              <w:rPr>
                <w:szCs w:val="18"/>
              </w:rPr>
            </w:pPr>
          </w:p>
        </w:tc>
        <w:tc>
          <w:tcPr>
            <w:tcW w:w="992" w:type="dxa"/>
          </w:tcPr>
          <w:p w:rsidRPr="000F2477" w:rsidR="00F67DA3" w:rsidP="00104D6D" w:rsidRDefault="00F67DA3" w14:paraId="64FCC72A" w14:textId="77777777">
            <w:pPr>
              <w:jc w:val="right"/>
              <w:rPr>
                <w:szCs w:val="18"/>
              </w:rPr>
            </w:pPr>
            <w:r w:rsidRPr="000F2477">
              <w:rPr>
                <w:szCs w:val="18"/>
              </w:rPr>
              <w:t>13</w:t>
            </w:r>
          </w:p>
        </w:tc>
        <w:tc>
          <w:tcPr>
            <w:tcW w:w="567" w:type="dxa"/>
            <w:tcBorders>
              <w:left w:val="nil"/>
            </w:tcBorders>
          </w:tcPr>
          <w:p w:rsidRPr="000F2477" w:rsidR="00F67DA3" w:rsidP="00104D6D" w:rsidRDefault="00F67DA3" w14:paraId="50717A96" w14:textId="77777777">
            <w:pPr>
              <w:jc w:val="right"/>
              <w:rPr>
                <w:szCs w:val="18"/>
              </w:rPr>
            </w:pPr>
            <w:r w:rsidRPr="000F2477">
              <w:rPr>
                <w:szCs w:val="18"/>
              </w:rPr>
              <w:t xml:space="preserve"> </w:t>
            </w:r>
          </w:p>
        </w:tc>
      </w:tr>
      <w:tr w:rsidRPr="000F2477" w:rsidR="00F67DA3" w:rsidTr="00104D6D" w14:paraId="73C05BAF" w14:textId="77777777">
        <w:tc>
          <w:tcPr>
            <w:tcW w:w="567" w:type="dxa"/>
          </w:tcPr>
          <w:p w:rsidRPr="00556A01" w:rsidR="00F67DA3" w:rsidP="00104D6D" w:rsidRDefault="00F67DA3" w14:paraId="2CD0EE32" w14:textId="77777777">
            <w:pPr>
              <w:rPr>
                <w:b/>
                <w:bCs/>
                <w:szCs w:val="18"/>
              </w:rPr>
            </w:pPr>
            <w:r w:rsidRPr="00556A01">
              <w:rPr>
                <w:b/>
                <w:bCs/>
                <w:szCs w:val="18"/>
              </w:rPr>
              <w:t>32</w:t>
            </w:r>
          </w:p>
        </w:tc>
        <w:tc>
          <w:tcPr>
            <w:tcW w:w="6521" w:type="dxa"/>
          </w:tcPr>
          <w:p w:rsidRPr="00556A01" w:rsidR="00F67DA3" w:rsidP="00104D6D" w:rsidRDefault="00F67DA3" w14:paraId="664ED079" w14:textId="77777777">
            <w:pPr>
              <w:rPr>
                <w:b/>
                <w:bCs/>
                <w:szCs w:val="18"/>
              </w:rPr>
            </w:pPr>
            <w:r w:rsidRPr="00556A01">
              <w:rPr>
                <w:b/>
                <w:bCs/>
                <w:szCs w:val="18"/>
              </w:rPr>
              <w:t>Wat zijn de vervolgstappen, nu SEO Economisch Onderzoek en Oberon concluderen dat de inzet van andere professionals een positieve bijdrage levert in het voorkomen van personeelstekorten en de gevolgen hiervan vermindert?</w:t>
            </w:r>
          </w:p>
          <w:p w:rsidRPr="000F2477" w:rsidR="00F67DA3" w:rsidP="00104D6D" w:rsidRDefault="00F67DA3" w14:paraId="78A0A9C4" w14:textId="77777777">
            <w:pPr>
              <w:rPr>
                <w:szCs w:val="18"/>
              </w:rPr>
            </w:pPr>
          </w:p>
          <w:p w:rsidRPr="000F2477" w:rsidR="00F67DA3" w:rsidP="00104D6D" w:rsidRDefault="00773092" w14:paraId="469DAF0D" w14:textId="4618FB4F">
            <w:pPr>
              <w:rPr>
                <w:szCs w:val="18"/>
              </w:rPr>
            </w:pPr>
            <w:r>
              <w:rPr>
                <w:szCs w:val="18"/>
              </w:rPr>
              <w:t xml:space="preserve">Het onderzoek levert waardevolle informatie op. </w:t>
            </w:r>
            <w:r w:rsidRPr="000F2477">
              <w:rPr>
                <w:szCs w:val="18"/>
              </w:rPr>
              <w:t>De komende tijd verken</w:t>
            </w:r>
            <w:r>
              <w:rPr>
                <w:szCs w:val="18"/>
              </w:rPr>
              <w:t>nen wij</w:t>
            </w:r>
            <w:r w:rsidRPr="000F2477">
              <w:rPr>
                <w:szCs w:val="18"/>
              </w:rPr>
              <w:t xml:space="preserve"> op basis van de uitkomsten van dit onderzoek, in overleg met de inspectie en het veld, mogelijke vervolgstappen. </w:t>
            </w:r>
            <w:r w:rsidR="00F67DA3">
              <w:rPr>
                <w:szCs w:val="18"/>
              </w:rPr>
              <w:t>Mede</w:t>
            </w:r>
            <w:r w:rsidRPr="000F2477" w:rsidR="00F67DA3">
              <w:rPr>
                <w:szCs w:val="18"/>
              </w:rPr>
              <w:t xml:space="preserve"> op basis van de conclusies van SEO en Oberon</w:t>
            </w:r>
            <w:r w:rsidR="00F67DA3">
              <w:rPr>
                <w:szCs w:val="18"/>
              </w:rPr>
              <w:t xml:space="preserve"> is</w:t>
            </w:r>
            <w:r w:rsidRPr="000F2477" w:rsidR="00F67DA3">
              <w:rPr>
                <w:szCs w:val="18"/>
              </w:rPr>
              <w:t xml:space="preserve"> </w:t>
            </w:r>
            <w:r>
              <w:rPr>
                <w:szCs w:val="18"/>
              </w:rPr>
              <w:t xml:space="preserve">ook </w:t>
            </w:r>
            <w:r w:rsidRPr="000F2477" w:rsidR="00F67DA3">
              <w:rPr>
                <w:szCs w:val="18"/>
              </w:rPr>
              <w:t xml:space="preserve">de </w:t>
            </w:r>
            <w:r w:rsidR="00615D4A">
              <w:rPr>
                <w:szCs w:val="18"/>
              </w:rPr>
              <w:t>s</w:t>
            </w:r>
            <w:r w:rsidRPr="000F2477" w:rsidR="00F67DA3">
              <w:rPr>
                <w:szCs w:val="18"/>
              </w:rPr>
              <w:t>ubsidieregeling</w:t>
            </w:r>
            <w:r w:rsidRPr="000F2477" w:rsidR="00F67DA3">
              <w:rPr>
                <w:rStyle w:val="Voetnootmarkering"/>
                <w:szCs w:val="18"/>
              </w:rPr>
              <w:footnoteReference w:id="10"/>
            </w:r>
            <w:r w:rsidRPr="000F2477" w:rsidR="00F67DA3">
              <w:rPr>
                <w:szCs w:val="18"/>
              </w:rPr>
              <w:t xml:space="preserve"> voor uitvoering van de convenanten met de G5 verlengd. Daardoor kunnen de vijf gemeenten waar de problematiek van de personeelstekorten het grootst is doorgaan met hun geïntensiveerde aanpak</w:t>
            </w:r>
            <w:r>
              <w:rPr>
                <w:szCs w:val="18"/>
              </w:rPr>
              <w:t xml:space="preserve"> op dit tekort; </w:t>
            </w:r>
            <w:r w:rsidRPr="000F2477" w:rsidR="00F67DA3">
              <w:rPr>
                <w:szCs w:val="18"/>
              </w:rPr>
              <w:t>de inzet van andere professionals voor de klas</w:t>
            </w:r>
            <w:r>
              <w:rPr>
                <w:szCs w:val="18"/>
              </w:rPr>
              <w:t xml:space="preserve"> kan een onderdeel van deze aanpak zijn.</w:t>
            </w:r>
            <w:r w:rsidRPr="000F2477" w:rsidR="00F67DA3">
              <w:rPr>
                <w:szCs w:val="18"/>
              </w:rPr>
              <w:t xml:space="preserve"> </w:t>
            </w:r>
          </w:p>
          <w:p w:rsidRPr="000F2477" w:rsidR="00F67DA3" w:rsidP="00104D6D" w:rsidRDefault="00F67DA3" w14:paraId="2A516076" w14:textId="77777777">
            <w:pPr>
              <w:rPr>
                <w:szCs w:val="18"/>
              </w:rPr>
            </w:pPr>
          </w:p>
        </w:tc>
        <w:tc>
          <w:tcPr>
            <w:tcW w:w="850" w:type="dxa"/>
          </w:tcPr>
          <w:p w:rsidRPr="000F2477" w:rsidR="00F67DA3" w:rsidP="00104D6D" w:rsidRDefault="00F67DA3" w14:paraId="0EEE6770" w14:textId="77777777">
            <w:pPr>
              <w:jc w:val="right"/>
              <w:rPr>
                <w:szCs w:val="18"/>
              </w:rPr>
            </w:pPr>
          </w:p>
        </w:tc>
        <w:tc>
          <w:tcPr>
            <w:tcW w:w="992" w:type="dxa"/>
          </w:tcPr>
          <w:p w:rsidRPr="000F2477" w:rsidR="00F67DA3" w:rsidP="00104D6D" w:rsidRDefault="00F67DA3" w14:paraId="6B02DB9F" w14:textId="77777777">
            <w:pPr>
              <w:jc w:val="right"/>
              <w:rPr>
                <w:szCs w:val="18"/>
              </w:rPr>
            </w:pPr>
            <w:r w:rsidRPr="000F2477">
              <w:rPr>
                <w:szCs w:val="18"/>
              </w:rPr>
              <w:t>15</w:t>
            </w:r>
          </w:p>
        </w:tc>
        <w:tc>
          <w:tcPr>
            <w:tcW w:w="567" w:type="dxa"/>
            <w:tcBorders>
              <w:left w:val="nil"/>
            </w:tcBorders>
          </w:tcPr>
          <w:p w:rsidRPr="000F2477" w:rsidR="00F67DA3" w:rsidP="00104D6D" w:rsidRDefault="00F67DA3" w14:paraId="67B05BD8" w14:textId="77777777">
            <w:pPr>
              <w:jc w:val="right"/>
              <w:rPr>
                <w:szCs w:val="18"/>
              </w:rPr>
            </w:pPr>
            <w:r w:rsidRPr="000F2477">
              <w:rPr>
                <w:szCs w:val="18"/>
              </w:rPr>
              <w:t xml:space="preserve"> </w:t>
            </w:r>
          </w:p>
        </w:tc>
      </w:tr>
      <w:tr w:rsidRPr="000F2477" w:rsidR="00F67DA3" w:rsidTr="00104D6D" w14:paraId="2FA5A969" w14:textId="77777777">
        <w:tc>
          <w:tcPr>
            <w:tcW w:w="567" w:type="dxa"/>
          </w:tcPr>
          <w:p w:rsidRPr="00525DC5" w:rsidR="00F67DA3" w:rsidP="00104D6D" w:rsidRDefault="00F67DA3" w14:paraId="358A5032" w14:textId="77777777">
            <w:pPr>
              <w:rPr>
                <w:b/>
                <w:bCs/>
              </w:rPr>
            </w:pPr>
            <w:r w:rsidRPr="00525DC5">
              <w:rPr>
                <w:b/>
                <w:bCs/>
              </w:rPr>
              <w:t>33</w:t>
            </w:r>
          </w:p>
        </w:tc>
        <w:tc>
          <w:tcPr>
            <w:tcW w:w="6521" w:type="dxa"/>
          </w:tcPr>
          <w:p w:rsidRPr="00525DC5" w:rsidR="00F67DA3" w:rsidP="00104D6D" w:rsidRDefault="00F67DA3" w14:paraId="16335F50" w14:textId="77777777">
            <w:pPr>
              <w:rPr>
                <w:b/>
                <w:bCs/>
              </w:rPr>
            </w:pPr>
            <w:r w:rsidRPr="00525DC5">
              <w:rPr>
                <w:b/>
                <w:bCs/>
              </w:rPr>
              <w:t>In hoeverre kan verbeterde informatievoorziening en de inzet van rolmodellen, zoals toegepast in de convenanten lerarentekort primair onderwijs in de G5, breder worden toegepast?</w:t>
            </w:r>
          </w:p>
          <w:p w:rsidRPr="00F46CC5" w:rsidR="00F67DA3" w:rsidP="00104D6D" w:rsidRDefault="00F67DA3" w14:paraId="4BDC4F09" w14:textId="77777777"/>
          <w:p w:rsidRPr="00F46CC5" w:rsidR="00F67DA3" w:rsidP="00104D6D" w:rsidRDefault="00F67DA3" w14:paraId="5DD0F757" w14:textId="1F54BE32">
            <w:pPr>
              <w:rPr>
                <w:rFonts w:ascii="Calibri" w:hAnsi="Calibri"/>
                <w:i/>
                <w:iCs/>
                <w:sz w:val="22"/>
                <w:szCs w:val="22"/>
              </w:rPr>
            </w:pPr>
            <w:r w:rsidRPr="00F46CC5">
              <w:t xml:space="preserve">De G5 maken deel uit van het landelijke netwerk onderwijsregio’s, het platform waarbinnen onderwijsregio’s van elkaar leren en samenwerken op het gebied van het werven, matchen, opleiden, professionaliseren, begeleiden en behouden van (toekomstig) </w:t>
            </w:r>
            <w:r w:rsidRPr="00F46CC5">
              <w:lastRenderedPageBreak/>
              <w:t xml:space="preserve">onderwijspersoneel. De versterkte begeleiding en coaching voor zij-instromers heeft in alle vijf steden tot minder uitval geleid. De kennis en positieve ervaring die binnen de G5 is opgedaan </w:t>
            </w:r>
            <w:r w:rsidR="00773092">
              <w:t>wordt</w:t>
            </w:r>
            <w:r w:rsidRPr="00F46CC5" w:rsidR="00773092">
              <w:t xml:space="preserve"> </w:t>
            </w:r>
            <w:r w:rsidRPr="00F46CC5">
              <w:t xml:space="preserve">binnen het netwerk van onderwijsregio’s gedeeld en besproken zodat andere onderwijsregio’s kunnen toepassen wat werkt. </w:t>
            </w:r>
          </w:p>
          <w:p w:rsidRPr="00F46CC5" w:rsidR="00F67DA3" w:rsidP="00104D6D" w:rsidRDefault="00F67DA3" w14:paraId="34ADB41A" w14:textId="77777777"/>
        </w:tc>
        <w:tc>
          <w:tcPr>
            <w:tcW w:w="850" w:type="dxa"/>
          </w:tcPr>
          <w:p w:rsidRPr="000F2477" w:rsidR="00F67DA3" w:rsidP="00104D6D" w:rsidRDefault="00F67DA3" w14:paraId="06E307B7" w14:textId="77777777">
            <w:pPr>
              <w:jc w:val="right"/>
              <w:rPr>
                <w:szCs w:val="18"/>
              </w:rPr>
            </w:pPr>
          </w:p>
        </w:tc>
        <w:tc>
          <w:tcPr>
            <w:tcW w:w="992" w:type="dxa"/>
          </w:tcPr>
          <w:p w:rsidRPr="000F2477" w:rsidR="00F67DA3" w:rsidP="00104D6D" w:rsidRDefault="00F67DA3" w14:paraId="4EABA8C8" w14:textId="77777777">
            <w:pPr>
              <w:jc w:val="right"/>
              <w:rPr>
                <w:szCs w:val="18"/>
              </w:rPr>
            </w:pPr>
            <w:r w:rsidRPr="000F2477">
              <w:rPr>
                <w:szCs w:val="18"/>
              </w:rPr>
              <w:t>16</w:t>
            </w:r>
          </w:p>
        </w:tc>
        <w:tc>
          <w:tcPr>
            <w:tcW w:w="567" w:type="dxa"/>
            <w:tcBorders>
              <w:left w:val="nil"/>
            </w:tcBorders>
          </w:tcPr>
          <w:p w:rsidRPr="000F2477" w:rsidR="00F67DA3" w:rsidP="00104D6D" w:rsidRDefault="00F67DA3" w14:paraId="2A76EE6E" w14:textId="77777777">
            <w:pPr>
              <w:jc w:val="right"/>
              <w:rPr>
                <w:szCs w:val="18"/>
              </w:rPr>
            </w:pPr>
            <w:r w:rsidRPr="000F2477">
              <w:rPr>
                <w:szCs w:val="18"/>
              </w:rPr>
              <w:t xml:space="preserve"> </w:t>
            </w:r>
          </w:p>
        </w:tc>
      </w:tr>
      <w:tr w:rsidRPr="000F2477" w:rsidR="00F67DA3" w:rsidTr="00104D6D" w14:paraId="3A8B82CD" w14:textId="77777777">
        <w:tc>
          <w:tcPr>
            <w:tcW w:w="567" w:type="dxa"/>
          </w:tcPr>
          <w:p w:rsidRPr="00525DC5" w:rsidR="00F67DA3" w:rsidP="00104D6D" w:rsidRDefault="00F67DA3" w14:paraId="0160E482" w14:textId="77777777">
            <w:pPr>
              <w:rPr>
                <w:b/>
                <w:bCs/>
              </w:rPr>
            </w:pPr>
            <w:r w:rsidRPr="00525DC5">
              <w:rPr>
                <w:b/>
                <w:bCs/>
              </w:rPr>
              <w:t>34</w:t>
            </w:r>
          </w:p>
        </w:tc>
        <w:tc>
          <w:tcPr>
            <w:tcW w:w="6521" w:type="dxa"/>
          </w:tcPr>
          <w:p w:rsidRPr="00525DC5" w:rsidR="00F67DA3" w:rsidP="00104D6D" w:rsidRDefault="00F67DA3" w14:paraId="7D2B0E03" w14:textId="77777777">
            <w:pPr>
              <w:rPr>
                <w:b/>
                <w:bCs/>
              </w:rPr>
            </w:pPr>
            <w:r w:rsidRPr="00525DC5">
              <w:rPr>
                <w:b/>
                <w:bCs/>
              </w:rPr>
              <w:t>Kan nader worden toegelicht of financiële prikkels, die Amsterdam heeft ingezet om het beroep aantrekkelijker te maken, niet leiden tot oneerlijke concurrentie tussen Amsterdam en overige gemeenten?</w:t>
            </w:r>
          </w:p>
          <w:p w:rsidRPr="000F2477" w:rsidR="00F67DA3" w:rsidP="00104D6D" w:rsidRDefault="00F67DA3" w14:paraId="77C59188" w14:textId="77777777"/>
          <w:p w:rsidR="00F67DA3" w:rsidP="008C2D06" w:rsidRDefault="00F67DA3" w14:paraId="3A1E35F3" w14:textId="77777777">
            <w:r w:rsidRPr="000F2477">
              <w:t xml:space="preserve">Het lerarentekort is het grootst in de G5 en daarom wordt het tekort hier </w:t>
            </w:r>
            <w:r w:rsidR="008C2D06">
              <w:t xml:space="preserve">via de afgesloten convenanten </w:t>
            </w:r>
            <w:r w:rsidRPr="000F2477">
              <w:t>geïntensiveerd aangepakt. Amsterdam doet dit onder meer met een salaristoelage voor leraren, omdat de kosten van levensonderhoud (bijvoorbeeld huur) in Amsterdam hoger zijn dan in omliggende gemeenten.</w:t>
            </w:r>
            <w:r>
              <w:t xml:space="preserve"> </w:t>
            </w:r>
            <w:r w:rsidR="000000DC">
              <w:t xml:space="preserve">In die zin heeft Amsterdam een slechtere concurrentiepositie. Het doel van de toelage is </w:t>
            </w:r>
            <w:r w:rsidR="008C2D06">
              <w:t xml:space="preserve">ten eerste </w:t>
            </w:r>
            <w:r w:rsidR="000000DC">
              <w:t>om de situatie meer gelijk te trekken en zo</w:t>
            </w:r>
            <w:r>
              <w:t xml:space="preserve"> leraren te behouden voor het onderwijs in Amsterdam</w:t>
            </w:r>
            <w:r w:rsidR="008C2D06">
              <w:t xml:space="preserve"> in he</w:t>
            </w:r>
            <w:r w:rsidR="005E22B0">
              <w:t>t</w:t>
            </w:r>
            <w:r w:rsidR="008C2D06">
              <w:t xml:space="preserve"> algemeen</w:t>
            </w:r>
            <w:r w:rsidRPr="000F2477">
              <w:t>.</w:t>
            </w:r>
            <w:r w:rsidR="008C2D06">
              <w:t xml:space="preserve"> Het tweede resultaat dat met de toelage wordt beoogd, is dat de verschillen tussen tekorten aan leraren op scholen in de stad (die groter zijn op scholen met een hoger schoolgewicht) verkleind worden, door een hogere toelage toe te kennen aan leraren die werken op scholen met een hoger schoolgewicht. Beide doelen zijn vastgelegd in het convenant en het is de verantwoordelijkheid van Amsterdam om met de deze maatregel (en andere maatregelen, zoals het verbeteren van begeleiding van zij-instromers) de tekorten terug te dringen en zo een goede invulling te geven aan het convenant.</w:t>
            </w:r>
          </w:p>
          <w:p w:rsidRPr="000F2477" w:rsidR="00671F94" w:rsidP="008C2D06" w:rsidRDefault="00671F94" w14:paraId="003DC3C4" w14:textId="7063CA82"/>
        </w:tc>
        <w:tc>
          <w:tcPr>
            <w:tcW w:w="850" w:type="dxa"/>
          </w:tcPr>
          <w:p w:rsidRPr="000F2477" w:rsidR="00F67DA3" w:rsidP="00104D6D" w:rsidRDefault="00F67DA3" w14:paraId="5C8BF55E" w14:textId="77777777">
            <w:pPr>
              <w:jc w:val="right"/>
              <w:rPr>
                <w:szCs w:val="18"/>
              </w:rPr>
            </w:pPr>
          </w:p>
        </w:tc>
        <w:tc>
          <w:tcPr>
            <w:tcW w:w="992" w:type="dxa"/>
          </w:tcPr>
          <w:p w:rsidRPr="000F2477" w:rsidR="00F67DA3" w:rsidP="00104D6D" w:rsidRDefault="00F67DA3" w14:paraId="0050F5B7" w14:textId="77777777">
            <w:pPr>
              <w:jc w:val="right"/>
              <w:rPr>
                <w:szCs w:val="18"/>
              </w:rPr>
            </w:pPr>
            <w:r w:rsidRPr="000F2477">
              <w:rPr>
                <w:szCs w:val="18"/>
              </w:rPr>
              <w:t>17</w:t>
            </w:r>
          </w:p>
        </w:tc>
        <w:tc>
          <w:tcPr>
            <w:tcW w:w="567" w:type="dxa"/>
            <w:tcBorders>
              <w:left w:val="nil"/>
            </w:tcBorders>
          </w:tcPr>
          <w:p w:rsidRPr="000F2477" w:rsidR="00F67DA3" w:rsidP="00104D6D" w:rsidRDefault="00F67DA3" w14:paraId="3CEF11D2" w14:textId="77777777">
            <w:pPr>
              <w:jc w:val="right"/>
              <w:rPr>
                <w:szCs w:val="18"/>
              </w:rPr>
            </w:pPr>
            <w:r w:rsidRPr="000F2477">
              <w:rPr>
                <w:szCs w:val="18"/>
              </w:rPr>
              <w:t xml:space="preserve"> </w:t>
            </w:r>
          </w:p>
        </w:tc>
      </w:tr>
      <w:tr w:rsidRPr="000F2477" w:rsidR="00F67DA3" w:rsidTr="00104D6D" w14:paraId="534B780C" w14:textId="77777777">
        <w:tc>
          <w:tcPr>
            <w:tcW w:w="567" w:type="dxa"/>
          </w:tcPr>
          <w:p w:rsidRPr="00556A01" w:rsidR="00F67DA3" w:rsidP="00104D6D" w:rsidRDefault="00F67DA3" w14:paraId="1525CEB6" w14:textId="77777777">
            <w:pPr>
              <w:rPr>
                <w:b/>
                <w:bCs/>
                <w:szCs w:val="18"/>
              </w:rPr>
            </w:pPr>
            <w:r w:rsidRPr="00556A01">
              <w:rPr>
                <w:b/>
                <w:bCs/>
                <w:szCs w:val="18"/>
              </w:rPr>
              <w:t>35</w:t>
            </w:r>
          </w:p>
        </w:tc>
        <w:tc>
          <w:tcPr>
            <w:tcW w:w="6521" w:type="dxa"/>
          </w:tcPr>
          <w:p w:rsidRPr="00556A01" w:rsidR="00F67DA3" w:rsidP="00104D6D" w:rsidRDefault="00F67DA3" w14:paraId="6677E698" w14:textId="77777777">
            <w:pPr>
              <w:rPr>
                <w:b/>
                <w:bCs/>
                <w:szCs w:val="18"/>
              </w:rPr>
            </w:pPr>
            <w:r w:rsidRPr="00556A01">
              <w:rPr>
                <w:b/>
                <w:bCs/>
                <w:szCs w:val="18"/>
              </w:rPr>
              <w:t>Hoe bepalen pabo's dat deze extra werkdruk komt door het experiment toelatingseisen pabo?</w:t>
            </w:r>
          </w:p>
          <w:p w:rsidR="00F67DA3" w:rsidP="00104D6D" w:rsidRDefault="00F67DA3" w14:paraId="20D64431" w14:textId="77777777">
            <w:pPr>
              <w:rPr>
                <w:szCs w:val="18"/>
              </w:rPr>
            </w:pPr>
          </w:p>
          <w:p w:rsidRPr="00730D6E" w:rsidR="00F67DA3" w:rsidP="00104D6D" w:rsidRDefault="00F67DA3" w14:paraId="5702BFA6" w14:textId="77777777">
            <w:pPr>
              <w:spacing w:line="276" w:lineRule="auto"/>
              <w:rPr>
                <w:szCs w:val="18"/>
              </w:rPr>
            </w:pPr>
            <w:r w:rsidRPr="00730D6E">
              <w:rPr>
                <w:szCs w:val="18"/>
              </w:rPr>
              <w:t xml:space="preserve">Bij het in kaart brengen van de extra werkdruk voor de opleidingen door het experiment is gekeken naar de extra activiteiten die door de pabo’s zijn uitgevoerd. Hierbij is aandacht besteed aan de voorlichting richting (aspirant-)studenten, de belasting van de studentadministratie, de interne coördinatie binnen de hogescholen, de organisatie van de afname van de toetsen en de inhoudelijke ondersteuning van studenten ter voorbereiding op de toetsen. </w:t>
            </w:r>
          </w:p>
          <w:p w:rsidR="00F67DA3" w:rsidP="00104D6D" w:rsidRDefault="00F67DA3" w14:paraId="1F7F37D2" w14:textId="77777777">
            <w:pPr>
              <w:spacing w:line="276" w:lineRule="auto"/>
              <w:rPr>
                <w:szCs w:val="18"/>
              </w:rPr>
            </w:pPr>
          </w:p>
          <w:p w:rsidRPr="000F2477" w:rsidR="00F67DA3" w:rsidP="007058CA" w:rsidRDefault="00F67DA3" w14:paraId="3AAD0100" w14:textId="77777777">
            <w:pPr>
              <w:spacing w:line="276" w:lineRule="auto"/>
              <w:rPr>
                <w:szCs w:val="18"/>
              </w:rPr>
            </w:pPr>
          </w:p>
        </w:tc>
        <w:tc>
          <w:tcPr>
            <w:tcW w:w="850" w:type="dxa"/>
          </w:tcPr>
          <w:p w:rsidRPr="000F2477" w:rsidR="00F67DA3" w:rsidP="00104D6D" w:rsidRDefault="00F67DA3" w14:paraId="1A0C3D96" w14:textId="77777777">
            <w:pPr>
              <w:jc w:val="right"/>
              <w:rPr>
                <w:szCs w:val="18"/>
              </w:rPr>
            </w:pPr>
            <w:r w:rsidRPr="000F2477">
              <w:rPr>
                <w:szCs w:val="18"/>
              </w:rPr>
              <w:t>2024D26979</w:t>
            </w:r>
          </w:p>
        </w:tc>
        <w:tc>
          <w:tcPr>
            <w:tcW w:w="992" w:type="dxa"/>
          </w:tcPr>
          <w:p w:rsidRPr="000F2477" w:rsidR="00F67DA3" w:rsidP="00104D6D" w:rsidRDefault="00F67DA3" w14:paraId="62A35C23" w14:textId="77777777">
            <w:pPr>
              <w:jc w:val="right"/>
              <w:rPr>
                <w:szCs w:val="18"/>
              </w:rPr>
            </w:pPr>
            <w:r w:rsidRPr="000F2477">
              <w:rPr>
                <w:szCs w:val="18"/>
              </w:rPr>
              <w:t>6</w:t>
            </w:r>
          </w:p>
        </w:tc>
        <w:tc>
          <w:tcPr>
            <w:tcW w:w="567" w:type="dxa"/>
            <w:tcBorders>
              <w:left w:val="nil"/>
            </w:tcBorders>
          </w:tcPr>
          <w:p w:rsidRPr="000F2477" w:rsidR="00F67DA3" w:rsidP="00104D6D" w:rsidRDefault="00F67DA3" w14:paraId="301290D8" w14:textId="77777777">
            <w:pPr>
              <w:jc w:val="right"/>
              <w:rPr>
                <w:szCs w:val="18"/>
              </w:rPr>
            </w:pPr>
            <w:r w:rsidRPr="000F2477">
              <w:rPr>
                <w:szCs w:val="18"/>
              </w:rPr>
              <w:t xml:space="preserve"> </w:t>
            </w:r>
          </w:p>
        </w:tc>
      </w:tr>
      <w:tr w:rsidRPr="000F2477" w:rsidR="00F67DA3" w:rsidTr="00104D6D" w14:paraId="2B86BC2E" w14:textId="77777777">
        <w:tc>
          <w:tcPr>
            <w:tcW w:w="567" w:type="dxa"/>
          </w:tcPr>
          <w:p w:rsidRPr="00556A01" w:rsidR="00F67DA3" w:rsidP="00104D6D" w:rsidRDefault="00F67DA3" w14:paraId="11494C70" w14:textId="77777777">
            <w:pPr>
              <w:rPr>
                <w:b/>
                <w:bCs/>
                <w:szCs w:val="18"/>
              </w:rPr>
            </w:pPr>
            <w:r w:rsidRPr="00556A01">
              <w:rPr>
                <w:b/>
                <w:bCs/>
                <w:szCs w:val="18"/>
              </w:rPr>
              <w:t>36</w:t>
            </w:r>
          </w:p>
        </w:tc>
        <w:tc>
          <w:tcPr>
            <w:tcW w:w="6521" w:type="dxa"/>
          </w:tcPr>
          <w:p w:rsidRPr="00556A01" w:rsidR="00F67DA3" w:rsidP="00104D6D" w:rsidRDefault="00F67DA3" w14:paraId="440623A1" w14:textId="77777777">
            <w:pPr>
              <w:rPr>
                <w:b/>
                <w:bCs/>
                <w:szCs w:val="18"/>
              </w:rPr>
            </w:pPr>
            <w:r w:rsidRPr="00556A01">
              <w:rPr>
                <w:b/>
                <w:bCs/>
                <w:szCs w:val="18"/>
              </w:rPr>
              <w:t>Hoe bepalen de pabo's de hoeveelheid uren die zij kwijt zijn aan het experiment toelatingseisen pabo?</w:t>
            </w:r>
          </w:p>
          <w:p w:rsidR="00F67DA3" w:rsidP="00104D6D" w:rsidRDefault="00F67DA3" w14:paraId="3A91A125" w14:textId="77777777">
            <w:pPr>
              <w:rPr>
                <w:szCs w:val="18"/>
              </w:rPr>
            </w:pPr>
          </w:p>
          <w:p w:rsidRPr="00730D6E" w:rsidR="00F67DA3" w:rsidP="00104D6D" w:rsidRDefault="00F67DA3" w14:paraId="7FDFD11E" w14:textId="77777777">
            <w:pPr>
              <w:spacing w:line="276" w:lineRule="auto"/>
              <w:rPr>
                <w:szCs w:val="18"/>
              </w:rPr>
            </w:pPr>
            <w:r w:rsidRPr="00730D6E">
              <w:rPr>
                <w:szCs w:val="18"/>
              </w:rPr>
              <w:t>De deelnemende pabo’s leveren elk jaar voor 1 maart een verslag van de voortgang van het experiment op aan het ministerie van OCW. Dat verslag bevat onder andere de belasting van instellingen. In de tussenevaluatie is deze informatie verzameld en geanalyseerd.</w:t>
            </w:r>
          </w:p>
          <w:p w:rsidRPr="00730D6E" w:rsidR="00F67DA3" w:rsidP="00104D6D" w:rsidRDefault="00F67DA3" w14:paraId="48667372" w14:textId="77777777">
            <w:pPr>
              <w:spacing w:line="276" w:lineRule="auto"/>
              <w:rPr>
                <w:szCs w:val="18"/>
              </w:rPr>
            </w:pPr>
            <w:r w:rsidRPr="00730D6E">
              <w:rPr>
                <w:szCs w:val="18"/>
              </w:rPr>
              <w:t xml:space="preserve">Gemiddeld wordt een totaal van 540 uren genoemd. Dit aantal wordt als volgt uitgesplitst: </w:t>
            </w:r>
          </w:p>
          <w:p w:rsidRPr="00730D6E" w:rsidR="00F67DA3" w:rsidP="00104D6D" w:rsidRDefault="00F67DA3" w14:paraId="1D67A685" w14:textId="77777777">
            <w:pPr>
              <w:spacing w:line="276" w:lineRule="auto"/>
              <w:rPr>
                <w:szCs w:val="18"/>
              </w:rPr>
            </w:pPr>
            <w:r w:rsidRPr="00730D6E">
              <w:rPr>
                <w:szCs w:val="18"/>
              </w:rPr>
              <w:t xml:space="preserve">-             Docenturen 210 uren </w:t>
            </w:r>
          </w:p>
          <w:p w:rsidRPr="00730D6E" w:rsidR="00F67DA3" w:rsidP="00104D6D" w:rsidRDefault="00F67DA3" w14:paraId="2C6C0872" w14:textId="77777777">
            <w:pPr>
              <w:spacing w:line="276" w:lineRule="auto"/>
              <w:rPr>
                <w:szCs w:val="18"/>
              </w:rPr>
            </w:pPr>
            <w:r w:rsidRPr="00730D6E">
              <w:rPr>
                <w:szCs w:val="18"/>
              </w:rPr>
              <w:t xml:space="preserve">-             Administratieve last en interne afstemming 290 uren </w:t>
            </w:r>
          </w:p>
          <w:p w:rsidR="00F67DA3" w:rsidP="00104D6D" w:rsidRDefault="00F67DA3" w14:paraId="478CC5DF" w14:textId="77777777">
            <w:pPr>
              <w:spacing w:line="276" w:lineRule="auto"/>
              <w:rPr>
                <w:szCs w:val="18"/>
              </w:rPr>
            </w:pPr>
            <w:r w:rsidRPr="00730D6E">
              <w:rPr>
                <w:szCs w:val="18"/>
              </w:rPr>
              <w:lastRenderedPageBreak/>
              <w:t xml:space="preserve">-             Communicatie 40 uren </w:t>
            </w:r>
          </w:p>
          <w:p w:rsidRPr="00730D6E" w:rsidR="00F67DA3" w:rsidP="00104D6D" w:rsidRDefault="00F67DA3" w14:paraId="7E8FC849" w14:textId="77777777">
            <w:pPr>
              <w:spacing w:line="276" w:lineRule="auto"/>
              <w:rPr>
                <w:szCs w:val="18"/>
              </w:rPr>
            </w:pPr>
          </w:p>
          <w:p w:rsidRPr="00730D6E" w:rsidR="00F67DA3" w:rsidP="00104D6D" w:rsidRDefault="00F67DA3" w14:paraId="6D039546" w14:textId="472CE152">
            <w:pPr>
              <w:spacing w:line="276" w:lineRule="auto"/>
              <w:rPr>
                <w:szCs w:val="18"/>
              </w:rPr>
            </w:pPr>
            <w:r w:rsidRPr="00730D6E">
              <w:rPr>
                <w:szCs w:val="18"/>
              </w:rPr>
              <w:t xml:space="preserve">Het aantal uren dat pabo’s aangeven aan het experiment te besteden loopt hierbij uiteen. </w:t>
            </w:r>
            <w:r>
              <w:rPr>
                <w:szCs w:val="18"/>
              </w:rPr>
              <w:t>E</w:t>
            </w:r>
            <w:r w:rsidRPr="00730D6E">
              <w:rPr>
                <w:szCs w:val="18"/>
              </w:rPr>
              <w:t xml:space="preserve">nerzijds </w:t>
            </w:r>
            <w:r>
              <w:rPr>
                <w:szCs w:val="18"/>
              </w:rPr>
              <w:t xml:space="preserve">door verschillen </w:t>
            </w:r>
            <w:r w:rsidRPr="00730D6E">
              <w:rPr>
                <w:szCs w:val="18"/>
              </w:rPr>
              <w:t>waarop de pabo’s studenten tijdens het eerste jaar van inschrijving gericht ondersteunen</w:t>
            </w:r>
            <w:r>
              <w:rPr>
                <w:szCs w:val="18"/>
              </w:rPr>
              <w:t xml:space="preserve"> </w:t>
            </w:r>
            <w:r w:rsidR="00773092">
              <w:rPr>
                <w:szCs w:val="18"/>
              </w:rPr>
              <w:t xml:space="preserve">bij de voorbereiding </w:t>
            </w:r>
            <w:r>
              <w:rPr>
                <w:szCs w:val="18"/>
              </w:rPr>
              <w:t>op de toetsen</w:t>
            </w:r>
            <w:r w:rsidRPr="00730D6E">
              <w:rPr>
                <w:szCs w:val="18"/>
              </w:rPr>
              <w:t xml:space="preserve">. </w:t>
            </w:r>
            <w:r>
              <w:rPr>
                <w:szCs w:val="18"/>
              </w:rPr>
              <w:t>A</w:t>
            </w:r>
            <w:r w:rsidRPr="00730D6E">
              <w:rPr>
                <w:szCs w:val="18"/>
              </w:rPr>
              <w:t>nderzijds met verschillen in de mate waarin pabo’s bepaalde uren al dan niet mee hebben geteld</w:t>
            </w:r>
            <w:r>
              <w:rPr>
                <w:szCs w:val="18"/>
              </w:rPr>
              <w:t xml:space="preserve"> bij de informatieverzameling</w:t>
            </w:r>
            <w:r w:rsidRPr="00730D6E">
              <w:rPr>
                <w:szCs w:val="18"/>
              </w:rPr>
              <w:t>. Pabo’s geven aan dat het lastig is om hier een concrete inschatting te maken. Overeind blijft dat deze uren, in combinatie met de interviews</w:t>
            </w:r>
            <w:r w:rsidR="00FD3182">
              <w:rPr>
                <w:szCs w:val="18"/>
              </w:rPr>
              <w:t xml:space="preserve"> van </w:t>
            </w:r>
            <w:r w:rsidR="00483CD7">
              <w:rPr>
                <w:szCs w:val="18"/>
              </w:rPr>
              <w:t>medewerkers van pabo’s die het experiment uitvoeren</w:t>
            </w:r>
            <w:r w:rsidRPr="00730D6E">
              <w:rPr>
                <w:szCs w:val="18"/>
              </w:rPr>
              <w:t xml:space="preserve">, een beeld geven van de extra werkdruk die het experiment, zeker in de aanloopfase en het eerste jaar van implementatie, heeft opgeleverd.  </w:t>
            </w:r>
          </w:p>
          <w:p w:rsidR="00F67DA3" w:rsidP="00104D6D" w:rsidRDefault="00F67DA3" w14:paraId="3D8288E7" w14:textId="77777777">
            <w:pPr>
              <w:spacing w:line="276" w:lineRule="auto"/>
              <w:rPr>
                <w:szCs w:val="18"/>
              </w:rPr>
            </w:pPr>
          </w:p>
          <w:p w:rsidRPr="00730D6E" w:rsidR="00F67DA3" w:rsidP="00104D6D" w:rsidRDefault="00F67DA3" w14:paraId="53CAE41A" w14:textId="77777777">
            <w:pPr>
              <w:spacing w:line="276" w:lineRule="auto"/>
              <w:rPr>
                <w:szCs w:val="18"/>
              </w:rPr>
            </w:pPr>
            <w:r w:rsidRPr="00730D6E">
              <w:rPr>
                <w:szCs w:val="18"/>
              </w:rPr>
              <w:t>Voor</w:t>
            </w:r>
            <w:r>
              <w:rPr>
                <w:szCs w:val="18"/>
              </w:rPr>
              <w:t>ge</w:t>
            </w:r>
            <w:r w:rsidRPr="00730D6E">
              <w:rPr>
                <w:szCs w:val="18"/>
              </w:rPr>
              <w:t xml:space="preserve">noemde verschillen vormen aanleiding voor de pabo’s om hier het onderlinge gesprek over te voeren. Hierbij wordt nagegaan op welke verschillende manieren de ondersteuning vorm wordt gegeven en of het mogelijk is studenten deel te laten nemen aan de landelijke, digitale ondersteuning ter voorbereiding op de toetsing. </w:t>
            </w:r>
          </w:p>
          <w:p w:rsidRPr="000F2477" w:rsidR="00F67DA3" w:rsidP="00104D6D" w:rsidRDefault="00F67DA3" w14:paraId="299D9FA6" w14:textId="77777777">
            <w:pPr>
              <w:rPr>
                <w:szCs w:val="18"/>
              </w:rPr>
            </w:pPr>
          </w:p>
        </w:tc>
        <w:tc>
          <w:tcPr>
            <w:tcW w:w="850" w:type="dxa"/>
          </w:tcPr>
          <w:p w:rsidRPr="000F2477" w:rsidR="00F67DA3" w:rsidP="00104D6D" w:rsidRDefault="00F67DA3" w14:paraId="1F0273DB" w14:textId="77777777">
            <w:pPr>
              <w:jc w:val="right"/>
              <w:rPr>
                <w:szCs w:val="18"/>
              </w:rPr>
            </w:pPr>
            <w:r w:rsidRPr="000F2477">
              <w:rPr>
                <w:szCs w:val="18"/>
              </w:rPr>
              <w:lastRenderedPageBreak/>
              <w:t>2024D26979</w:t>
            </w:r>
          </w:p>
        </w:tc>
        <w:tc>
          <w:tcPr>
            <w:tcW w:w="992" w:type="dxa"/>
          </w:tcPr>
          <w:p w:rsidRPr="000F2477" w:rsidR="00F67DA3" w:rsidP="00104D6D" w:rsidRDefault="00F67DA3" w14:paraId="3C235626" w14:textId="77777777">
            <w:pPr>
              <w:jc w:val="right"/>
              <w:rPr>
                <w:szCs w:val="18"/>
              </w:rPr>
            </w:pPr>
            <w:r w:rsidRPr="000F2477">
              <w:rPr>
                <w:szCs w:val="18"/>
              </w:rPr>
              <w:t>6</w:t>
            </w:r>
          </w:p>
        </w:tc>
        <w:tc>
          <w:tcPr>
            <w:tcW w:w="567" w:type="dxa"/>
            <w:tcBorders>
              <w:left w:val="nil"/>
            </w:tcBorders>
          </w:tcPr>
          <w:p w:rsidRPr="000F2477" w:rsidR="00F67DA3" w:rsidP="00104D6D" w:rsidRDefault="00F67DA3" w14:paraId="32ACD57C" w14:textId="77777777">
            <w:pPr>
              <w:jc w:val="right"/>
              <w:rPr>
                <w:szCs w:val="18"/>
              </w:rPr>
            </w:pPr>
            <w:r w:rsidRPr="000F2477">
              <w:rPr>
                <w:szCs w:val="18"/>
              </w:rPr>
              <w:t xml:space="preserve"> </w:t>
            </w:r>
          </w:p>
        </w:tc>
      </w:tr>
      <w:tr w:rsidRPr="000F2477" w:rsidR="00F67DA3" w:rsidTr="00104D6D" w14:paraId="28A25998" w14:textId="77777777">
        <w:tc>
          <w:tcPr>
            <w:tcW w:w="567" w:type="dxa"/>
          </w:tcPr>
          <w:p w:rsidRPr="00556A01" w:rsidR="00F67DA3" w:rsidP="00104D6D" w:rsidRDefault="00F67DA3" w14:paraId="6AEE0B26" w14:textId="77777777">
            <w:pPr>
              <w:rPr>
                <w:b/>
                <w:bCs/>
                <w:szCs w:val="18"/>
              </w:rPr>
            </w:pPr>
            <w:r w:rsidRPr="00556A01">
              <w:rPr>
                <w:b/>
                <w:bCs/>
                <w:szCs w:val="18"/>
              </w:rPr>
              <w:t>37</w:t>
            </w:r>
          </w:p>
        </w:tc>
        <w:tc>
          <w:tcPr>
            <w:tcW w:w="6521" w:type="dxa"/>
          </w:tcPr>
          <w:p w:rsidRPr="00556A01" w:rsidR="00F67DA3" w:rsidP="00104D6D" w:rsidRDefault="00F67DA3" w14:paraId="492E93DC" w14:textId="77777777">
            <w:pPr>
              <w:rPr>
                <w:b/>
                <w:bCs/>
                <w:szCs w:val="18"/>
              </w:rPr>
            </w:pPr>
            <w:r w:rsidRPr="00556A01">
              <w:rPr>
                <w:b/>
                <w:bCs/>
                <w:szCs w:val="18"/>
              </w:rPr>
              <w:t>Hoe komt het dat de regels onder de pabo's zo verschillen?</w:t>
            </w:r>
          </w:p>
          <w:p w:rsidR="00F67DA3" w:rsidP="00104D6D" w:rsidRDefault="00F67DA3" w14:paraId="1AEB3DDC" w14:textId="77777777">
            <w:pPr>
              <w:rPr>
                <w:szCs w:val="18"/>
              </w:rPr>
            </w:pPr>
          </w:p>
          <w:p w:rsidR="00F67DA3" w:rsidP="00104D6D" w:rsidRDefault="00F67DA3" w14:paraId="6E1BFD32" w14:textId="7CA16108">
            <w:pPr>
              <w:spacing w:line="276" w:lineRule="auto"/>
              <w:rPr>
                <w:szCs w:val="18"/>
              </w:rPr>
            </w:pPr>
            <w:r w:rsidRPr="00730D6E">
              <w:rPr>
                <w:szCs w:val="18"/>
              </w:rPr>
              <w:t xml:space="preserve">In de AMvB </w:t>
            </w:r>
            <w:r w:rsidRPr="002255DC">
              <w:rPr>
                <w:szCs w:val="18"/>
              </w:rPr>
              <w:t xml:space="preserve">van 5 juli 2022 </w:t>
            </w:r>
            <w:r w:rsidRPr="00730D6E">
              <w:rPr>
                <w:szCs w:val="18"/>
              </w:rPr>
              <w:t xml:space="preserve">is opgenomen welke regels er gelden voor het experiment. </w:t>
            </w:r>
            <w:r w:rsidRPr="0037178E">
              <w:rPr>
                <w:szCs w:val="18"/>
              </w:rPr>
              <w:t>In de praktijk ble</w:t>
            </w:r>
            <w:r w:rsidR="00773092">
              <w:rPr>
                <w:szCs w:val="18"/>
              </w:rPr>
              <w:t>ek</w:t>
            </w:r>
            <w:r w:rsidRPr="0037178E">
              <w:rPr>
                <w:szCs w:val="18"/>
              </w:rPr>
              <w:t xml:space="preserve"> bij de start van het experiment nog een aantal zaken niet (helemaal) duidelijk. Voor deze vraagstukken moesten in de eerste fase van de looptijd van het experiment alsnog afspraken worden gemaakt. Binnen het Landelijk Overleg Lerarenopleiding Basisonderwijs (LOBO) zijn deze vraagstukken door de pabo’s besproken en voorzien van een uniforme aanpak. Alle pabo’s hebben zich gecommitteerd en het experiment bijzondere nadere vooropleidingseisen wordt periodiek binnen het LOBO-overleg besproken. </w:t>
            </w:r>
            <w:r>
              <w:rPr>
                <w:szCs w:val="18"/>
              </w:rPr>
              <w:t>V</w:t>
            </w:r>
            <w:r w:rsidRPr="0037178E">
              <w:rPr>
                <w:szCs w:val="18"/>
              </w:rPr>
              <w:t xml:space="preserve">erschillen tussen </w:t>
            </w:r>
            <w:r>
              <w:rPr>
                <w:szCs w:val="18"/>
              </w:rPr>
              <w:t>p</w:t>
            </w:r>
            <w:r w:rsidRPr="0037178E">
              <w:rPr>
                <w:szCs w:val="18"/>
              </w:rPr>
              <w:t>abo's zijn terug te voeren op het feit dat elke pabo zelf bepaalt op welke manier ze de studenten wil ondersteunen ter voorbereiding op de toelatingstoetsen, alsook in de keuze om wel of niet te werken met een portfolio.</w:t>
            </w:r>
          </w:p>
          <w:p w:rsidRPr="000F2477" w:rsidR="00F67DA3" w:rsidP="00104D6D" w:rsidRDefault="00F67DA3" w14:paraId="42CD4FFD" w14:textId="77777777">
            <w:pPr>
              <w:rPr>
                <w:szCs w:val="18"/>
              </w:rPr>
            </w:pPr>
          </w:p>
        </w:tc>
        <w:tc>
          <w:tcPr>
            <w:tcW w:w="850" w:type="dxa"/>
          </w:tcPr>
          <w:p w:rsidRPr="000F2477" w:rsidR="00F67DA3" w:rsidP="00104D6D" w:rsidRDefault="00F67DA3" w14:paraId="59827B3E" w14:textId="77777777">
            <w:pPr>
              <w:jc w:val="right"/>
              <w:rPr>
                <w:szCs w:val="18"/>
              </w:rPr>
            </w:pPr>
            <w:r w:rsidRPr="000F2477">
              <w:rPr>
                <w:szCs w:val="18"/>
              </w:rPr>
              <w:t>2024D26979</w:t>
            </w:r>
          </w:p>
        </w:tc>
        <w:tc>
          <w:tcPr>
            <w:tcW w:w="992" w:type="dxa"/>
          </w:tcPr>
          <w:p w:rsidRPr="000F2477" w:rsidR="00F67DA3" w:rsidP="00104D6D" w:rsidRDefault="00F67DA3" w14:paraId="7DBEEDA9" w14:textId="77777777">
            <w:pPr>
              <w:jc w:val="right"/>
              <w:rPr>
                <w:szCs w:val="18"/>
              </w:rPr>
            </w:pPr>
            <w:r w:rsidRPr="000F2477">
              <w:rPr>
                <w:szCs w:val="18"/>
              </w:rPr>
              <w:t>7</w:t>
            </w:r>
          </w:p>
        </w:tc>
        <w:tc>
          <w:tcPr>
            <w:tcW w:w="567" w:type="dxa"/>
            <w:tcBorders>
              <w:left w:val="nil"/>
            </w:tcBorders>
          </w:tcPr>
          <w:p w:rsidRPr="000F2477" w:rsidR="00F67DA3" w:rsidP="00104D6D" w:rsidRDefault="00F67DA3" w14:paraId="20B05B11" w14:textId="77777777">
            <w:pPr>
              <w:jc w:val="right"/>
              <w:rPr>
                <w:szCs w:val="18"/>
              </w:rPr>
            </w:pPr>
            <w:r w:rsidRPr="000F2477">
              <w:rPr>
                <w:szCs w:val="18"/>
              </w:rPr>
              <w:t xml:space="preserve"> </w:t>
            </w:r>
          </w:p>
        </w:tc>
      </w:tr>
    </w:tbl>
    <w:p w:rsidRPr="000F2477" w:rsidR="00F67DA3" w:rsidP="00F67DA3" w:rsidRDefault="00F67DA3" w14:paraId="7753DB75" w14:textId="77777777">
      <w:pPr>
        <w:rPr>
          <w:szCs w:val="18"/>
        </w:rPr>
      </w:pPr>
    </w:p>
    <w:p w:rsidRPr="000F2477" w:rsidR="00F67DA3" w:rsidP="00F67DA3" w:rsidRDefault="00F67DA3" w14:paraId="6716FD08" w14:textId="77777777">
      <w:pPr>
        <w:rPr>
          <w:szCs w:val="18"/>
        </w:rPr>
      </w:pPr>
    </w:p>
    <w:p w:rsidRPr="000F2477" w:rsidR="00F67DA3" w:rsidP="00F67DA3" w:rsidRDefault="00F67DA3" w14:paraId="77F5FA8A" w14:textId="77777777">
      <w:pPr>
        <w:rPr>
          <w:szCs w:val="18"/>
        </w:rPr>
      </w:pPr>
    </w:p>
    <w:p w:rsidRPr="000F2477" w:rsidR="00F67DA3" w:rsidP="00F67DA3" w:rsidRDefault="00F67DA3" w14:paraId="329969C8" w14:textId="77777777">
      <w:pPr>
        <w:rPr>
          <w:szCs w:val="18"/>
        </w:rPr>
      </w:pPr>
    </w:p>
    <w:p w:rsidR="00184B30" w:rsidP="00A60B58" w:rsidRDefault="00184B30" w14:paraId="1FA0472E" w14:textId="77777777"/>
    <w:sectPr w:rsidR="00184B30" w:rsidSect="002F493B">
      <w:headerReference w:type="default"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4D63" w14:textId="77777777" w:rsidR="009E6D0F" w:rsidRDefault="009E6D0F">
      <w:r>
        <w:separator/>
      </w:r>
    </w:p>
    <w:p w14:paraId="752C95EB" w14:textId="77777777" w:rsidR="009E6D0F" w:rsidRDefault="009E6D0F"/>
  </w:endnote>
  <w:endnote w:type="continuationSeparator" w:id="0">
    <w:p w14:paraId="38E6F052" w14:textId="77777777" w:rsidR="009E6D0F" w:rsidRDefault="009E6D0F">
      <w:r>
        <w:continuationSeparator/>
      </w:r>
    </w:p>
    <w:p w14:paraId="0E9E4445" w14:textId="77777777" w:rsidR="009E6D0F" w:rsidRDefault="009E6D0F"/>
  </w:endnote>
  <w:endnote w:type="continuationNotice" w:id="1">
    <w:p w14:paraId="6F9E47B2" w14:textId="77777777" w:rsidR="009E6D0F" w:rsidRDefault="009E6D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84A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628A8" w14:paraId="5FAF060E" w14:textId="77777777" w:rsidTr="004C7E1D">
      <w:trPr>
        <w:trHeight w:hRule="exact" w:val="357"/>
      </w:trPr>
      <w:tc>
        <w:tcPr>
          <w:tcW w:w="7603" w:type="dxa"/>
          <w:shd w:val="clear" w:color="auto" w:fill="auto"/>
        </w:tcPr>
        <w:p w14:paraId="244EFA1F" w14:textId="77777777" w:rsidR="002F71BB" w:rsidRPr="004C7E1D" w:rsidRDefault="002F71BB" w:rsidP="004C7E1D">
          <w:pPr>
            <w:spacing w:line="180" w:lineRule="exact"/>
            <w:rPr>
              <w:sz w:val="13"/>
              <w:szCs w:val="13"/>
            </w:rPr>
          </w:pPr>
        </w:p>
      </w:tc>
      <w:tc>
        <w:tcPr>
          <w:tcW w:w="2172" w:type="dxa"/>
          <w:shd w:val="clear" w:color="auto" w:fill="auto"/>
        </w:tcPr>
        <w:p w14:paraId="04DE4FFB" w14:textId="339A7FD9" w:rsidR="002F71BB" w:rsidRPr="004C7E1D" w:rsidRDefault="0049141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F4C10">
            <w:rPr>
              <w:szCs w:val="13"/>
            </w:rPr>
            <w:t>16</w:t>
          </w:r>
          <w:r w:rsidRPr="004C7E1D">
            <w:rPr>
              <w:szCs w:val="13"/>
            </w:rPr>
            <w:fldChar w:fldCharType="end"/>
          </w:r>
        </w:p>
      </w:tc>
    </w:tr>
  </w:tbl>
  <w:p w14:paraId="588837ED"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5628A8" w14:paraId="2420E630" w14:textId="77777777" w:rsidTr="004C7E1D">
      <w:trPr>
        <w:trHeight w:hRule="exact" w:val="357"/>
      </w:trPr>
      <w:tc>
        <w:tcPr>
          <w:tcW w:w="7709" w:type="dxa"/>
          <w:shd w:val="clear" w:color="auto" w:fill="auto"/>
        </w:tcPr>
        <w:p w14:paraId="17F06CF2" w14:textId="77777777" w:rsidR="00D17084" w:rsidRPr="004C7E1D" w:rsidRDefault="00D17084" w:rsidP="004C7E1D">
          <w:pPr>
            <w:spacing w:line="180" w:lineRule="exact"/>
            <w:rPr>
              <w:sz w:val="13"/>
              <w:szCs w:val="13"/>
            </w:rPr>
          </w:pPr>
        </w:p>
      </w:tc>
      <w:tc>
        <w:tcPr>
          <w:tcW w:w="2060" w:type="dxa"/>
          <w:shd w:val="clear" w:color="auto" w:fill="auto"/>
        </w:tcPr>
        <w:p w14:paraId="7D904E83" w14:textId="11830C9D" w:rsidR="00D17084" w:rsidRPr="004C7E1D" w:rsidRDefault="0049141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F4C10">
            <w:rPr>
              <w:szCs w:val="13"/>
            </w:rPr>
            <w:t>16</w:t>
          </w:r>
          <w:r w:rsidRPr="004C7E1D">
            <w:rPr>
              <w:szCs w:val="13"/>
            </w:rPr>
            <w:fldChar w:fldCharType="end"/>
          </w:r>
        </w:p>
      </w:tc>
    </w:tr>
  </w:tbl>
  <w:p w14:paraId="1D2B76D0"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6C226" w14:textId="77777777" w:rsidR="009E6D0F" w:rsidRDefault="009E6D0F">
      <w:r>
        <w:separator/>
      </w:r>
    </w:p>
    <w:p w14:paraId="3CD2EE44" w14:textId="77777777" w:rsidR="009E6D0F" w:rsidRDefault="009E6D0F"/>
  </w:footnote>
  <w:footnote w:type="continuationSeparator" w:id="0">
    <w:p w14:paraId="6BF8BE89" w14:textId="77777777" w:rsidR="009E6D0F" w:rsidRDefault="009E6D0F">
      <w:r>
        <w:continuationSeparator/>
      </w:r>
    </w:p>
    <w:p w14:paraId="40B28090" w14:textId="77777777" w:rsidR="009E6D0F" w:rsidRDefault="009E6D0F"/>
  </w:footnote>
  <w:footnote w:type="continuationNotice" w:id="1">
    <w:p w14:paraId="26D7281E" w14:textId="77777777" w:rsidR="009E6D0F" w:rsidRDefault="009E6D0F">
      <w:pPr>
        <w:spacing w:line="240" w:lineRule="auto"/>
      </w:pPr>
    </w:p>
  </w:footnote>
  <w:footnote w:id="2">
    <w:p w14:paraId="427BFBFE" w14:textId="77777777" w:rsidR="00F67DA3" w:rsidRPr="00110116" w:rsidRDefault="00F67DA3" w:rsidP="00F67DA3">
      <w:pPr>
        <w:rPr>
          <w:rFonts w:ascii="Calibri" w:hAnsi="Calibri"/>
          <w:color w:val="000000" w:themeColor="text1"/>
          <w:sz w:val="16"/>
          <w:szCs w:val="16"/>
        </w:rPr>
      </w:pPr>
      <w:r w:rsidRPr="00110116">
        <w:rPr>
          <w:rStyle w:val="Voetnootmarkering"/>
          <w:color w:val="000000" w:themeColor="text1"/>
          <w:sz w:val="16"/>
          <w:szCs w:val="16"/>
        </w:rPr>
        <w:footnoteRef/>
      </w:r>
      <w:r w:rsidRPr="00110116">
        <w:rPr>
          <w:color w:val="000000" w:themeColor="text1"/>
          <w:sz w:val="16"/>
          <w:szCs w:val="16"/>
        </w:rPr>
        <w:t xml:space="preserve"> ResearchNed (2021), Evaluatie van de pilots gespecialiseerde pabo-opleidingen en ECBO (2022), Tweede evaluatie pabo pilots uitgebreide specialisaties jonge kind en oudere kind.</w:t>
      </w:r>
    </w:p>
  </w:footnote>
  <w:footnote w:id="3">
    <w:p w14:paraId="42520ADE" w14:textId="49419BFC" w:rsidR="009711AD" w:rsidRDefault="009711AD">
      <w:pPr>
        <w:pStyle w:val="Voetnoottekst"/>
      </w:pPr>
      <w:r>
        <w:rPr>
          <w:rStyle w:val="Voetnootmarkering"/>
        </w:rPr>
        <w:footnoteRef/>
      </w:r>
      <w:r>
        <w:t xml:space="preserve"> </w:t>
      </w:r>
      <w:r w:rsidRPr="007058CA">
        <w:rPr>
          <w:sz w:val="16"/>
          <w:szCs w:val="16"/>
        </w:rPr>
        <w:t>Kamerstukken II 2023/24, 27 923, nr. 473</w:t>
      </w:r>
    </w:p>
  </w:footnote>
  <w:footnote w:id="4">
    <w:p w14:paraId="297F0D0D" w14:textId="77777777" w:rsidR="00F67DA3" w:rsidRPr="00110116" w:rsidRDefault="00F67DA3" w:rsidP="00F67DA3">
      <w:pPr>
        <w:pStyle w:val="Voetnoottekst"/>
        <w:rPr>
          <w:color w:val="000000" w:themeColor="text1"/>
          <w:sz w:val="16"/>
          <w:szCs w:val="16"/>
        </w:rPr>
      </w:pPr>
      <w:r w:rsidRPr="00110116">
        <w:rPr>
          <w:rStyle w:val="Voetnootmarkering"/>
          <w:color w:val="000000" w:themeColor="text1"/>
          <w:sz w:val="16"/>
          <w:szCs w:val="16"/>
        </w:rPr>
        <w:footnoteRef/>
      </w:r>
      <w:r w:rsidRPr="00110116">
        <w:rPr>
          <w:color w:val="000000" w:themeColor="text1"/>
          <w:sz w:val="16"/>
          <w:szCs w:val="16"/>
        </w:rPr>
        <w:t xml:space="preserve"> Stichting Centerdata. </w:t>
      </w:r>
      <w:r w:rsidRPr="00110116">
        <w:rPr>
          <w:i/>
          <w:iCs/>
          <w:color w:val="000000" w:themeColor="text1"/>
          <w:sz w:val="16"/>
          <w:szCs w:val="16"/>
        </w:rPr>
        <w:t>Professionalisering van leraren en docenten.</w:t>
      </w:r>
      <w:r w:rsidRPr="00110116">
        <w:rPr>
          <w:color w:val="000000" w:themeColor="text1"/>
          <w:sz w:val="16"/>
          <w:szCs w:val="16"/>
        </w:rPr>
        <w:t xml:space="preserve"> (2022)</w:t>
      </w:r>
    </w:p>
  </w:footnote>
  <w:footnote w:id="5">
    <w:p w14:paraId="0A247408" w14:textId="77777777" w:rsidR="00F67DA3" w:rsidRPr="00110116" w:rsidRDefault="00F67DA3" w:rsidP="00F67DA3">
      <w:pPr>
        <w:pStyle w:val="Voetnoottekst"/>
        <w:rPr>
          <w:color w:val="000000" w:themeColor="text1"/>
          <w:sz w:val="16"/>
          <w:szCs w:val="16"/>
        </w:rPr>
      </w:pPr>
      <w:r w:rsidRPr="00110116">
        <w:rPr>
          <w:rStyle w:val="Voetnootmarkering"/>
          <w:color w:val="000000" w:themeColor="text1"/>
          <w:sz w:val="16"/>
          <w:szCs w:val="16"/>
        </w:rPr>
        <w:footnoteRef/>
      </w:r>
      <w:r w:rsidRPr="00110116">
        <w:rPr>
          <w:color w:val="000000" w:themeColor="text1"/>
          <w:sz w:val="16"/>
          <w:szCs w:val="16"/>
        </w:rPr>
        <w:t xml:space="preserve"> Motie leden Stoffer en Ceder, Kamerstukken II 2023/24, 27923, nr. 476</w:t>
      </w:r>
    </w:p>
  </w:footnote>
  <w:footnote w:id="6">
    <w:p w14:paraId="3384153F" w14:textId="77777777" w:rsidR="00F67DA3" w:rsidRPr="00110116" w:rsidRDefault="00F67DA3" w:rsidP="00F67DA3">
      <w:pPr>
        <w:pStyle w:val="Voetnoottekst"/>
        <w:rPr>
          <w:color w:val="000000" w:themeColor="text1"/>
          <w:sz w:val="16"/>
          <w:szCs w:val="16"/>
        </w:rPr>
      </w:pPr>
      <w:r w:rsidRPr="00110116">
        <w:rPr>
          <w:rStyle w:val="Voetnootmarkering"/>
          <w:color w:val="000000" w:themeColor="text1"/>
          <w:sz w:val="16"/>
          <w:szCs w:val="16"/>
        </w:rPr>
        <w:footnoteRef/>
      </w:r>
      <w:r w:rsidRPr="00110116">
        <w:rPr>
          <w:color w:val="000000" w:themeColor="text1"/>
          <w:sz w:val="16"/>
          <w:szCs w:val="16"/>
        </w:rPr>
        <w:t xml:space="preserve"> TZ202402-158</w:t>
      </w:r>
    </w:p>
  </w:footnote>
  <w:footnote w:id="7">
    <w:p w14:paraId="6D2FF085" w14:textId="77777777" w:rsidR="00F67DA3" w:rsidRPr="00110116" w:rsidRDefault="00F67DA3" w:rsidP="00F67DA3">
      <w:pPr>
        <w:pStyle w:val="Voetnoottekst"/>
        <w:rPr>
          <w:color w:val="000000" w:themeColor="text1"/>
          <w:sz w:val="16"/>
          <w:szCs w:val="16"/>
        </w:rPr>
      </w:pPr>
      <w:r w:rsidRPr="00110116">
        <w:rPr>
          <w:rStyle w:val="Voetnootmarkering"/>
          <w:color w:val="000000" w:themeColor="text1"/>
          <w:sz w:val="16"/>
          <w:szCs w:val="16"/>
        </w:rPr>
        <w:footnoteRef/>
      </w:r>
      <w:r w:rsidRPr="00110116">
        <w:rPr>
          <w:color w:val="000000" w:themeColor="text1"/>
          <w:sz w:val="16"/>
          <w:szCs w:val="16"/>
        </w:rPr>
        <w:t xml:space="preserve"> Kamerstuk 27 923, nr. 465</w:t>
      </w:r>
    </w:p>
  </w:footnote>
  <w:footnote w:id="8">
    <w:p w14:paraId="632B07F7" w14:textId="77777777" w:rsidR="00F67DA3" w:rsidRPr="00110116" w:rsidRDefault="00F67DA3" w:rsidP="00F67DA3">
      <w:pPr>
        <w:pStyle w:val="Voetnoottekst"/>
        <w:rPr>
          <w:color w:val="000000" w:themeColor="text1"/>
          <w:sz w:val="16"/>
          <w:szCs w:val="16"/>
        </w:rPr>
      </w:pPr>
      <w:r w:rsidRPr="00110116">
        <w:rPr>
          <w:rStyle w:val="Voetnootmarkering"/>
          <w:color w:val="000000" w:themeColor="text1"/>
          <w:sz w:val="16"/>
          <w:szCs w:val="16"/>
        </w:rPr>
        <w:footnoteRef/>
      </w:r>
      <w:r w:rsidRPr="00110116">
        <w:rPr>
          <w:color w:val="000000" w:themeColor="text1"/>
          <w:sz w:val="16"/>
          <w:szCs w:val="16"/>
        </w:rPr>
        <w:t xml:space="preserve"> Kamerstuk 27 923, nr. 465</w:t>
      </w:r>
    </w:p>
  </w:footnote>
  <w:footnote w:id="9">
    <w:p w14:paraId="32015780" w14:textId="54CBF74C" w:rsidR="00110116" w:rsidRPr="00110116" w:rsidRDefault="00110116">
      <w:pPr>
        <w:pStyle w:val="Voetnoottekst"/>
        <w:rPr>
          <w:sz w:val="16"/>
          <w:szCs w:val="16"/>
        </w:rPr>
      </w:pPr>
      <w:r w:rsidRPr="00110116">
        <w:rPr>
          <w:rStyle w:val="Voetnootmarkering"/>
          <w:sz w:val="16"/>
          <w:szCs w:val="16"/>
        </w:rPr>
        <w:footnoteRef/>
      </w:r>
      <w:r w:rsidRPr="00110116">
        <w:rPr>
          <w:sz w:val="16"/>
          <w:szCs w:val="16"/>
        </w:rPr>
        <w:t xml:space="preserve"> Kamerstuk 31 293, nr. 742</w:t>
      </w:r>
    </w:p>
  </w:footnote>
  <w:footnote w:id="10">
    <w:p w14:paraId="04DD6D12" w14:textId="2534241F" w:rsidR="00F67DA3" w:rsidRPr="00110116" w:rsidRDefault="00F67DA3" w:rsidP="00F67DA3">
      <w:pPr>
        <w:pStyle w:val="Voetnoottekst"/>
        <w:rPr>
          <w:color w:val="000000" w:themeColor="text1"/>
          <w:sz w:val="16"/>
          <w:szCs w:val="16"/>
        </w:rPr>
      </w:pPr>
      <w:r w:rsidRPr="00110116">
        <w:rPr>
          <w:rStyle w:val="Voetnootmarkering"/>
          <w:color w:val="000000" w:themeColor="text1"/>
          <w:sz w:val="16"/>
          <w:szCs w:val="16"/>
        </w:rPr>
        <w:footnoteRef/>
      </w:r>
      <w:r w:rsidRPr="00110116">
        <w:rPr>
          <w:color w:val="000000" w:themeColor="text1"/>
          <w:sz w:val="16"/>
          <w:szCs w:val="16"/>
        </w:rPr>
        <w:t xml:space="preserve"> Subsidieregeling uitvoering convenanten lerarentekort </w:t>
      </w:r>
      <w:r w:rsidR="00117751" w:rsidRPr="00110116">
        <w:rPr>
          <w:color w:val="000000" w:themeColor="text1"/>
          <w:sz w:val="16"/>
          <w:szCs w:val="16"/>
        </w:rPr>
        <w:t xml:space="preserve">po </w:t>
      </w:r>
      <w:r w:rsidRPr="00110116">
        <w:rPr>
          <w:color w:val="000000" w:themeColor="text1"/>
          <w:sz w:val="16"/>
          <w:szCs w:val="16"/>
        </w:rPr>
        <w:t xml:space="preserve">G5 inclusief aanpak zij-instroom </w:t>
      </w:r>
      <w:r w:rsidR="00117751" w:rsidRPr="00110116">
        <w:rPr>
          <w:color w:val="000000" w:themeColor="text1"/>
          <w:sz w:val="16"/>
          <w:szCs w:val="16"/>
        </w:rPr>
        <w:t xml:space="preserve">po </w:t>
      </w:r>
      <w:r w:rsidRPr="00110116">
        <w:rPr>
          <w:color w:val="000000" w:themeColor="text1"/>
          <w:sz w:val="16"/>
          <w:szCs w:val="16"/>
        </w:rPr>
        <w:t>G5.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5628A8" w14:paraId="26E5B62E" w14:textId="77777777" w:rsidTr="006D2D53">
      <w:trPr>
        <w:trHeight w:hRule="exact" w:val="400"/>
      </w:trPr>
      <w:tc>
        <w:tcPr>
          <w:tcW w:w="7518" w:type="dxa"/>
          <w:shd w:val="clear" w:color="auto" w:fill="auto"/>
        </w:tcPr>
        <w:p w14:paraId="5B09ED69" w14:textId="77777777" w:rsidR="00527BD4" w:rsidRPr="00275984" w:rsidRDefault="00527BD4" w:rsidP="00BF4427">
          <w:pPr>
            <w:pStyle w:val="Huisstijl-Rubricering"/>
          </w:pPr>
        </w:p>
      </w:tc>
    </w:tr>
  </w:tbl>
  <w:p w14:paraId="558ABEC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628A8" w14:paraId="4FB099FD" w14:textId="77777777" w:rsidTr="003B528D">
      <w:tc>
        <w:tcPr>
          <w:tcW w:w="2160" w:type="dxa"/>
          <w:shd w:val="clear" w:color="auto" w:fill="auto"/>
        </w:tcPr>
        <w:p w14:paraId="46C6B23D" w14:textId="77777777" w:rsidR="002F71BB" w:rsidRPr="000407BB" w:rsidRDefault="00491413" w:rsidP="005D283A">
          <w:pPr>
            <w:pStyle w:val="Colofonkop"/>
            <w:framePr w:hSpace="0" w:wrap="auto" w:vAnchor="margin" w:hAnchor="text" w:xAlign="left" w:yAlign="inline"/>
          </w:pPr>
          <w:r>
            <w:t>Onze referentie</w:t>
          </w:r>
        </w:p>
      </w:tc>
    </w:tr>
    <w:tr w:rsidR="005628A8" w14:paraId="1E211B52" w14:textId="77777777" w:rsidTr="002F71BB">
      <w:trPr>
        <w:trHeight w:val="259"/>
      </w:trPr>
      <w:tc>
        <w:tcPr>
          <w:tcW w:w="2160" w:type="dxa"/>
          <w:shd w:val="clear" w:color="auto" w:fill="auto"/>
        </w:tcPr>
        <w:p w14:paraId="451051DB" w14:textId="05C36897" w:rsidR="00E35CF4" w:rsidRPr="005D283A" w:rsidRDefault="00F440D7" w:rsidP="0049501A">
          <w:pPr>
            <w:spacing w:line="180" w:lineRule="exact"/>
            <w:rPr>
              <w:sz w:val="13"/>
              <w:szCs w:val="13"/>
            </w:rPr>
          </w:pPr>
          <w:r w:rsidRPr="00F440D7">
            <w:rPr>
              <w:sz w:val="13"/>
              <w:szCs w:val="13"/>
            </w:rPr>
            <w:t>48887920</w:t>
          </w:r>
        </w:p>
      </w:tc>
    </w:tr>
  </w:tbl>
  <w:p w14:paraId="7721EDA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5628A8" w14:paraId="2C48B8B2" w14:textId="77777777" w:rsidTr="001377D4">
      <w:trPr>
        <w:trHeight w:val="2636"/>
      </w:trPr>
      <w:tc>
        <w:tcPr>
          <w:tcW w:w="737" w:type="dxa"/>
          <w:shd w:val="clear" w:color="auto" w:fill="auto"/>
        </w:tcPr>
        <w:p w14:paraId="49495C6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E6A367B" w14:textId="77777777" w:rsidR="00704845" w:rsidRDefault="00491413" w:rsidP="0047126E">
          <w:pPr>
            <w:framePr w:w="3873" w:h="2625" w:hRule="exact" w:wrap="around" w:vAnchor="page" w:hAnchor="page" w:x="6323" w:y="1"/>
          </w:pPr>
          <w:r>
            <w:rPr>
              <w:noProof/>
              <w:lang w:val="en-US" w:eastAsia="en-US"/>
            </w:rPr>
            <w:drawing>
              <wp:inline distT="0" distB="0" distL="0" distR="0" wp14:anchorId="342B94B7" wp14:editId="06F504E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BB8D177" w14:textId="77777777" w:rsidR="00483ECA" w:rsidRDefault="00483ECA" w:rsidP="00D037A9"/>
      </w:tc>
    </w:tr>
  </w:tbl>
  <w:p w14:paraId="7CE23EE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628A8" w14:paraId="42826F4D" w14:textId="77777777" w:rsidTr="0008539E">
      <w:trPr>
        <w:trHeight w:hRule="exact" w:val="572"/>
      </w:trPr>
      <w:tc>
        <w:tcPr>
          <w:tcW w:w="7520" w:type="dxa"/>
          <w:shd w:val="clear" w:color="auto" w:fill="auto"/>
        </w:tcPr>
        <w:p w14:paraId="0E93431D" w14:textId="77777777" w:rsidR="00527BD4" w:rsidRPr="00963440" w:rsidRDefault="00491413" w:rsidP="00210BA3">
          <w:pPr>
            <w:pStyle w:val="Huisstijl-Adres"/>
            <w:spacing w:after="0"/>
          </w:pPr>
          <w:r w:rsidRPr="009E3B07">
            <w:t>&gt;Retouradres </w:t>
          </w:r>
          <w:r>
            <w:t>Postbus 16375 2500 BJ Den Haag</w:t>
          </w:r>
          <w:r w:rsidRPr="009E3B07">
            <w:t xml:space="preserve"> </w:t>
          </w:r>
        </w:p>
      </w:tc>
    </w:tr>
    <w:tr w:rsidR="005628A8" w14:paraId="64A6574C" w14:textId="77777777" w:rsidTr="00E776C6">
      <w:trPr>
        <w:cantSplit/>
        <w:trHeight w:hRule="exact" w:val="238"/>
      </w:trPr>
      <w:tc>
        <w:tcPr>
          <w:tcW w:w="7520" w:type="dxa"/>
          <w:shd w:val="clear" w:color="auto" w:fill="auto"/>
        </w:tcPr>
        <w:p w14:paraId="20F4A68E" w14:textId="77777777" w:rsidR="00093ABC" w:rsidRPr="00963440" w:rsidRDefault="00093ABC" w:rsidP="00963440"/>
      </w:tc>
    </w:tr>
    <w:tr w:rsidR="005628A8" w14:paraId="4B8751A9" w14:textId="77777777" w:rsidTr="00E776C6">
      <w:trPr>
        <w:cantSplit/>
        <w:trHeight w:hRule="exact" w:val="1520"/>
      </w:trPr>
      <w:tc>
        <w:tcPr>
          <w:tcW w:w="7520" w:type="dxa"/>
          <w:shd w:val="clear" w:color="auto" w:fill="auto"/>
        </w:tcPr>
        <w:p w14:paraId="5C6FE3E9" w14:textId="77777777" w:rsidR="00A604D3" w:rsidRPr="00963440" w:rsidRDefault="00A604D3" w:rsidP="00963440"/>
      </w:tc>
    </w:tr>
    <w:tr w:rsidR="005628A8" w14:paraId="48DB3CDF" w14:textId="77777777" w:rsidTr="00E776C6">
      <w:trPr>
        <w:trHeight w:hRule="exact" w:val="1077"/>
      </w:trPr>
      <w:tc>
        <w:tcPr>
          <w:tcW w:w="7520" w:type="dxa"/>
          <w:shd w:val="clear" w:color="auto" w:fill="auto"/>
        </w:tcPr>
        <w:p w14:paraId="2154AF71" w14:textId="77777777" w:rsidR="00892BA5" w:rsidRPr="00035E67" w:rsidRDefault="00892BA5" w:rsidP="00892BA5">
          <w:pPr>
            <w:tabs>
              <w:tab w:val="left" w:pos="740"/>
            </w:tabs>
            <w:autoSpaceDE w:val="0"/>
            <w:autoSpaceDN w:val="0"/>
            <w:adjustRightInd w:val="0"/>
            <w:rPr>
              <w:rFonts w:cs="Verdana"/>
              <w:szCs w:val="18"/>
            </w:rPr>
          </w:pPr>
        </w:p>
      </w:tc>
    </w:tr>
  </w:tbl>
  <w:p w14:paraId="1DBB010B" w14:textId="77777777" w:rsidR="006F273B" w:rsidRDefault="006F273B" w:rsidP="00BC4AE3">
    <w:pPr>
      <w:pStyle w:val="Koptekst"/>
    </w:pPr>
  </w:p>
  <w:p w14:paraId="2A23C828" w14:textId="77777777" w:rsidR="00153BD0" w:rsidRDefault="00153BD0" w:rsidP="00BC4AE3">
    <w:pPr>
      <w:pStyle w:val="Koptekst"/>
    </w:pPr>
  </w:p>
  <w:p w14:paraId="39C2731C" w14:textId="77777777" w:rsidR="0044605E" w:rsidRDefault="0044605E" w:rsidP="00BC4AE3">
    <w:pPr>
      <w:pStyle w:val="Koptekst"/>
    </w:pPr>
  </w:p>
  <w:p w14:paraId="73C6C512" w14:textId="77777777" w:rsidR="0044605E" w:rsidRDefault="0044605E" w:rsidP="00BC4AE3">
    <w:pPr>
      <w:pStyle w:val="Koptekst"/>
    </w:pPr>
  </w:p>
  <w:p w14:paraId="2B8343D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60242F6">
      <w:start w:val="1"/>
      <w:numFmt w:val="bullet"/>
      <w:pStyle w:val="Lijstopsomteken"/>
      <w:lvlText w:val="•"/>
      <w:lvlJc w:val="left"/>
      <w:pPr>
        <w:tabs>
          <w:tab w:val="num" w:pos="227"/>
        </w:tabs>
        <w:ind w:left="227" w:hanging="227"/>
      </w:pPr>
      <w:rPr>
        <w:rFonts w:ascii="Verdana" w:hAnsi="Verdana" w:hint="default"/>
        <w:sz w:val="18"/>
        <w:szCs w:val="18"/>
      </w:rPr>
    </w:lvl>
    <w:lvl w:ilvl="1" w:tplc="43883906" w:tentative="1">
      <w:start w:val="1"/>
      <w:numFmt w:val="bullet"/>
      <w:lvlText w:val="o"/>
      <w:lvlJc w:val="left"/>
      <w:pPr>
        <w:tabs>
          <w:tab w:val="num" w:pos="1440"/>
        </w:tabs>
        <w:ind w:left="1440" w:hanging="360"/>
      </w:pPr>
      <w:rPr>
        <w:rFonts w:ascii="Courier New" w:hAnsi="Courier New" w:cs="Courier New" w:hint="default"/>
      </w:rPr>
    </w:lvl>
    <w:lvl w:ilvl="2" w:tplc="E8360352" w:tentative="1">
      <w:start w:val="1"/>
      <w:numFmt w:val="bullet"/>
      <w:lvlText w:val=""/>
      <w:lvlJc w:val="left"/>
      <w:pPr>
        <w:tabs>
          <w:tab w:val="num" w:pos="2160"/>
        </w:tabs>
        <w:ind w:left="2160" w:hanging="360"/>
      </w:pPr>
      <w:rPr>
        <w:rFonts w:ascii="Wingdings" w:hAnsi="Wingdings" w:hint="default"/>
      </w:rPr>
    </w:lvl>
    <w:lvl w:ilvl="3" w:tplc="B1D02CD2" w:tentative="1">
      <w:start w:val="1"/>
      <w:numFmt w:val="bullet"/>
      <w:lvlText w:val=""/>
      <w:lvlJc w:val="left"/>
      <w:pPr>
        <w:tabs>
          <w:tab w:val="num" w:pos="2880"/>
        </w:tabs>
        <w:ind w:left="2880" w:hanging="360"/>
      </w:pPr>
      <w:rPr>
        <w:rFonts w:ascii="Symbol" w:hAnsi="Symbol" w:hint="default"/>
      </w:rPr>
    </w:lvl>
    <w:lvl w:ilvl="4" w:tplc="D05C06E6" w:tentative="1">
      <w:start w:val="1"/>
      <w:numFmt w:val="bullet"/>
      <w:lvlText w:val="o"/>
      <w:lvlJc w:val="left"/>
      <w:pPr>
        <w:tabs>
          <w:tab w:val="num" w:pos="3600"/>
        </w:tabs>
        <w:ind w:left="3600" w:hanging="360"/>
      </w:pPr>
      <w:rPr>
        <w:rFonts w:ascii="Courier New" w:hAnsi="Courier New" w:cs="Courier New" w:hint="default"/>
      </w:rPr>
    </w:lvl>
    <w:lvl w:ilvl="5" w:tplc="1286F502" w:tentative="1">
      <w:start w:val="1"/>
      <w:numFmt w:val="bullet"/>
      <w:lvlText w:val=""/>
      <w:lvlJc w:val="left"/>
      <w:pPr>
        <w:tabs>
          <w:tab w:val="num" w:pos="4320"/>
        </w:tabs>
        <w:ind w:left="4320" w:hanging="360"/>
      </w:pPr>
      <w:rPr>
        <w:rFonts w:ascii="Wingdings" w:hAnsi="Wingdings" w:hint="default"/>
      </w:rPr>
    </w:lvl>
    <w:lvl w:ilvl="6" w:tplc="D80A7982" w:tentative="1">
      <w:start w:val="1"/>
      <w:numFmt w:val="bullet"/>
      <w:lvlText w:val=""/>
      <w:lvlJc w:val="left"/>
      <w:pPr>
        <w:tabs>
          <w:tab w:val="num" w:pos="5040"/>
        </w:tabs>
        <w:ind w:left="5040" w:hanging="360"/>
      </w:pPr>
      <w:rPr>
        <w:rFonts w:ascii="Symbol" w:hAnsi="Symbol" w:hint="default"/>
      </w:rPr>
    </w:lvl>
    <w:lvl w:ilvl="7" w:tplc="F55C92CA" w:tentative="1">
      <w:start w:val="1"/>
      <w:numFmt w:val="bullet"/>
      <w:lvlText w:val="o"/>
      <w:lvlJc w:val="left"/>
      <w:pPr>
        <w:tabs>
          <w:tab w:val="num" w:pos="5760"/>
        </w:tabs>
        <w:ind w:left="5760" w:hanging="360"/>
      </w:pPr>
      <w:rPr>
        <w:rFonts w:ascii="Courier New" w:hAnsi="Courier New" w:cs="Courier New" w:hint="default"/>
      </w:rPr>
    </w:lvl>
    <w:lvl w:ilvl="8" w:tplc="DE00355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CBAF89A">
      <w:start w:val="1"/>
      <w:numFmt w:val="bullet"/>
      <w:pStyle w:val="Lijstopsomteken2"/>
      <w:lvlText w:val="–"/>
      <w:lvlJc w:val="left"/>
      <w:pPr>
        <w:tabs>
          <w:tab w:val="num" w:pos="227"/>
        </w:tabs>
        <w:ind w:left="227" w:firstLine="0"/>
      </w:pPr>
      <w:rPr>
        <w:rFonts w:ascii="Verdana" w:hAnsi="Verdana" w:hint="default"/>
      </w:rPr>
    </w:lvl>
    <w:lvl w:ilvl="1" w:tplc="C59A4676" w:tentative="1">
      <w:start w:val="1"/>
      <w:numFmt w:val="bullet"/>
      <w:lvlText w:val="o"/>
      <w:lvlJc w:val="left"/>
      <w:pPr>
        <w:tabs>
          <w:tab w:val="num" w:pos="1440"/>
        </w:tabs>
        <w:ind w:left="1440" w:hanging="360"/>
      </w:pPr>
      <w:rPr>
        <w:rFonts w:ascii="Courier New" w:hAnsi="Courier New" w:cs="Courier New" w:hint="default"/>
      </w:rPr>
    </w:lvl>
    <w:lvl w:ilvl="2" w:tplc="9CE6B8CA" w:tentative="1">
      <w:start w:val="1"/>
      <w:numFmt w:val="bullet"/>
      <w:lvlText w:val=""/>
      <w:lvlJc w:val="left"/>
      <w:pPr>
        <w:tabs>
          <w:tab w:val="num" w:pos="2160"/>
        </w:tabs>
        <w:ind w:left="2160" w:hanging="360"/>
      </w:pPr>
      <w:rPr>
        <w:rFonts w:ascii="Wingdings" w:hAnsi="Wingdings" w:hint="default"/>
      </w:rPr>
    </w:lvl>
    <w:lvl w:ilvl="3" w:tplc="A0822C40" w:tentative="1">
      <w:start w:val="1"/>
      <w:numFmt w:val="bullet"/>
      <w:lvlText w:val=""/>
      <w:lvlJc w:val="left"/>
      <w:pPr>
        <w:tabs>
          <w:tab w:val="num" w:pos="2880"/>
        </w:tabs>
        <w:ind w:left="2880" w:hanging="360"/>
      </w:pPr>
      <w:rPr>
        <w:rFonts w:ascii="Symbol" w:hAnsi="Symbol" w:hint="default"/>
      </w:rPr>
    </w:lvl>
    <w:lvl w:ilvl="4" w:tplc="E48EBA94" w:tentative="1">
      <w:start w:val="1"/>
      <w:numFmt w:val="bullet"/>
      <w:lvlText w:val="o"/>
      <w:lvlJc w:val="left"/>
      <w:pPr>
        <w:tabs>
          <w:tab w:val="num" w:pos="3600"/>
        </w:tabs>
        <w:ind w:left="3600" w:hanging="360"/>
      </w:pPr>
      <w:rPr>
        <w:rFonts w:ascii="Courier New" w:hAnsi="Courier New" w:cs="Courier New" w:hint="default"/>
      </w:rPr>
    </w:lvl>
    <w:lvl w:ilvl="5" w:tplc="6610004E" w:tentative="1">
      <w:start w:val="1"/>
      <w:numFmt w:val="bullet"/>
      <w:lvlText w:val=""/>
      <w:lvlJc w:val="left"/>
      <w:pPr>
        <w:tabs>
          <w:tab w:val="num" w:pos="4320"/>
        </w:tabs>
        <w:ind w:left="4320" w:hanging="360"/>
      </w:pPr>
      <w:rPr>
        <w:rFonts w:ascii="Wingdings" w:hAnsi="Wingdings" w:hint="default"/>
      </w:rPr>
    </w:lvl>
    <w:lvl w:ilvl="6" w:tplc="052EFE38" w:tentative="1">
      <w:start w:val="1"/>
      <w:numFmt w:val="bullet"/>
      <w:lvlText w:val=""/>
      <w:lvlJc w:val="left"/>
      <w:pPr>
        <w:tabs>
          <w:tab w:val="num" w:pos="5040"/>
        </w:tabs>
        <w:ind w:left="5040" w:hanging="360"/>
      </w:pPr>
      <w:rPr>
        <w:rFonts w:ascii="Symbol" w:hAnsi="Symbol" w:hint="default"/>
      </w:rPr>
    </w:lvl>
    <w:lvl w:ilvl="7" w:tplc="72C0B700" w:tentative="1">
      <w:start w:val="1"/>
      <w:numFmt w:val="bullet"/>
      <w:lvlText w:val="o"/>
      <w:lvlJc w:val="left"/>
      <w:pPr>
        <w:tabs>
          <w:tab w:val="num" w:pos="5760"/>
        </w:tabs>
        <w:ind w:left="5760" w:hanging="360"/>
      </w:pPr>
      <w:rPr>
        <w:rFonts w:ascii="Courier New" w:hAnsi="Courier New" w:cs="Courier New" w:hint="default"/>
      </w:rPr>
    </w:lvl>
    <w:lvl w:ilvl="8" w:tplc="F42AA7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62550630">
    <w:abstractNumId w:val="10"/>
  </w:num>
  <w:num w:numId="2" w16cid:durableId="923415377">
    <w:abstractNumId w:val="7"/>
  </w:num>
  <w:num w:numId="3" w16cid:durableId="584654869">
    <w:abstractNumId w:val="6"/>
  </w:num>
  <w:num w:numId="4" w16cid:durableId="506868580">
    <w:abstractNumId w:val="5"/>
  </w:num>
  <w:num w:numId="5" w16cid:durableId="1837305143">
    <w:abstractNumId w:val="4"/>
  </w:num>
  <w:num w:numId="6" w16cid:durableId="1233464014">
    <w:abstractNumId w:val="8"/>
  </w:num>
  <w:num w:numId="7" w16cid:durableId="984355974">
    <w:abstractNumId w:val="3"/>
  </w:num>
  <w:num w:numId="8" w16cid:durableId="1746339442">
    <w:abstractNumId w:val="2"/>
  </w:num>
  <w:num w:numId="9" w16cid:durableId="557673173">
    <w:abstractNumId w:val="1"/>
  </w:num>
  <w:num w:numId="10" w16cid:durableId="567149701">
    <w:abstractNumId w:val="0"/>
  </w:num>
  <w:num w:numId="11" w16cid:durableId="1877039425">
    <w:abstractNumId w:val="9"/>
  </w:num>
  <w:num w:numId="12" w16cid:durableId="76249971">
    <w:abstractNumId w:val="11"/>
  </w:num>
  <w:num w:numId="13" w16cid:durableId="476606265">
    <w:abstractNumId w:val="13"/>
  </w:num>
  <w:num w:numId="14" w16cid:durableId="11319443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00DC"/>
    <w:rsid w:val="0000010F"/>
    <w:rsid w:val="00003185"/>
    <w:rsid w:val="00003544"/>
    <w:rsid w:val="00006C55"/>
    <w:rsid w:val="00013862"/>
    <w:rsid w:val="00014599"/>
    <w:rsid w:val="00016012"/>
    <w:rsid w:val="00020189"/>
    <w:rsid w:val="00020EE4"/>
    <w:rsid w:val="00020FCB"/>
    <w:rsid w:val="000217E8"/>
    <w:rsid w:val="00023E9A"/>
    <w:rsid w:val="00024AAF"/>
    <w:rsid w:val="00025A42"/>
    <w:rsid w:val="00030E6D"/>
    <w:rsid w:val="00033CDD"/>
    <w:rsid w:val="00034A84"/>
    <w:rsid w:val="00034D28"/>
    <w:rsid w:val="000356DE"/>
    <w:rsid w:val="00035E67"/>
    <w:rsid w:val="000366F3"/>
    <w:rsid w:val="000407BB"/>
    <w:rsid w:val="0005404B"/>
    <w:rsid w:val="0005447D"/>
    <w:rsid w:val="000546DE"/>
    <w:rsid w:val="00057AAE"/>
    <w:rsid w:val="0006024D"/>
    <w:rsid w:val="00062055"/>
    <w:rsid w:val="00065462"/>
    <w:rsid w:val="000656E0"/>
    <w:rsid w:val="00071F28"/>
    <w:rsid w:val="00072811"/>
    <w:rsid w:val="00074079"/>
    <w:rsid w:val="000765B6"/>
    <w:rsid w:val="0008289C"/>
    <w:rsid w:val="0008539E"/>
    <w:rsid w:val="00092799"/>
    <w:rsid w:val="00092A99"/>
    <w:rsid w:val="00092C5F"/>
    <w:rsid w:val="00093ABC"/>
    <w:rsid w:val="00096680"/>
    <w:rsid w:val="000A0F36"/>
    <w:rsid w:val="000A174A"/>
    <w:rsid w:val="000A3E0A"/>
    <w:rsid w:val="000A65AC"/>
    <w:rsid w:val="000A790B"/>
    <w:rsid w:val="000B7281"/>
    <w:rsid w:val="000B7FAB"/>
    <w:rsid w:val="000C10D2"/>
    <w:rsid w:val="000C1BA1"/>
    <w:rsid w:val="000C3EA9"/>
    <w:rsid w:val="000C4664"/>
    <w:rsid w:val="000C4A32"/>
    <w:rsid w:val="000C65BB"/>
    <w:rsid w:val="000C7119"/>
    <w:rsid w:val="000D0225"/>
    <w:rsid w:val="000D249E"/>
    <w:rsid w:val="000D6399"/>
    <w:rsid w:val="000E5886"/>
    <w:rsid w:val="000E6621"/>
    <w:rsid w:val="000E7895"/>
    <w:rsid w:val="000F161D"/>
    <w:rsid w:val="000F1B4E"/>
    <w:rsid w:val="000F1FFF"/>
    <w:rsid w:val="000F4184"/>
    <w:rsid w:val="000F521E"/>
    <w:rsid w:val="00100203"/>
    <w:rsid w:val="00104B4D"/>
    <w:rsid w:val="00107071"/>
    <w:rsid w:val="00110116"/>
    <w:rsid w:val="00117751"/>
    <w:rsid w:val="001177B4"/>
    <w:rsid w:val="00122CF9"/>
    <w:rsid w:val="00123704"/>
    <w:rsid w:val="00125B3E"/>
    <w:rsid w:val="001270C7"/>
    <w:rsid w:val="00132540"/>
    <w:rsid w:val="00135BDC"/>
    <w:rsid w:val="001377D4"/>
    <w:rsid w:val="00142E41"/>
    <w:rsid w:val="0014786A"/>
    <w:rsid w:val="001516A4"/>
    <w:rsid w:val="00151E5F"/>
    <w:rsid w:val="00153BD0"/>
    <w:rsid w:val="00154646"/>
    <w:rsid w:val="001569AB"/>
    <w:rsid w:val="00164D63"/>
    <w:rsid w:val="0016725C"/>
    <w:rsid w:val="00167DE5"/>
    <w:rsid w:val="0017008F"/>
    <w:rsid w:val="001725E0"/>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190F"/>
    <w:rsid w:val="001E34C6"/>
    <w:rsid w:val="001E5581"/>
    <w:rsid w:val="001F2518"/>
    <w:rsid w:val="001F3C70"/>
    <w:rsid w:val="001F3F74"/>
    <w:rsid w:val="001F4C1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1C09"/>
    <w:rsid w:val="0029422B"/>
    <w:rsid w:val="00294DCB"/>
    <w:rsid w:val="002A06CE"/>
    <w:rsid w:val="002A37B5"/>
    <w:rsid w:val="002A6722"/>
    <w:rsid w:val="002B153C"/>
    <w:rsid w:val="002B52FC"/>
    <w:rsid w:val="002C1B56"/>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4F54"/>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1E27"/>
    <w:rsid w:val="00393696"/>
    <w:rsid w:val="00393963"/>
    <w:rsid w:val="00395575"/>
    <w:rsid w:val="00395672"/>
    <w:rsid w:val="003A06C8"/>
    <w:rsid w:val="003A0D7C"/>
    <w:rsid w:val="003A7160"/>
    <w:rsid w:val="003B0155"/>
    <w:rsid w:val="003B09DB"/>
    <w:rsid w:val="003B3E72"/>
    <w:rsid w:val="003B4551"/>
    <w:rsid w:val="003B528D"/>
    <w:rsid w:val="003B7EE7"/>
    <w:rsid w:val="003C2CCB"/>
    <w:rsid w:val="003C4A1C"/>
    <w:rsid w:val="003C5BCB"/>
    <w:rsid w:val="003D39EC"/>
    <w:rsid w:val="003D40EA"/>
    <w:rsid w:val="003E3DD5"/>
    <w:rsid w:val="003F07C6"/>
    <w:rsid w:val="003F0CAE"/>
    <w:rsid w:val="003F1F6B"/>
    <w:rsid w:val="003F3757"/>
    <w:rsid w:val="003F44B7"/>
    <w:rsid w:val="004008E9"/>
    <w:rsid w:val="00405133"/>
    <w:rsid w:val="00407991"/>
    <w:rsid w:val="0041019E"/>
    <w:rsid w:val="00413D48"/>
    <w:rsid w:val="00420270"/>
    <w:rsid w:val="00424A60"/>
    <w:rsid w:val="00434042"/>
    <w:rsid w:val="00434500"/>
    <w:rsid w:val="00441AC2"/>
    <w:rsid w:val="0044249B"/>
    <w:rsid w:val="004425A7"/>
    <w:rsid w:val="0044605E"/>
    <w:rsid w:val="0045023C"/>
    <w:rsid w:val="00451A5B"/>
    <w:rsid w:val="00452BCD"/>
    <w:rsid w:val="00452CEA"/>
    <w:rsid w:val="004608E0"/>
    <w:rsid w:val="00463A63"/>
    <w:rsid w:val="00465B52"/>
    <w:rsid w:val="0046708E"/>
    <w:rsid w:val="00467D61"/>
    <w:rsid w:val="0047126E"/>
    <w:rsid w:val="004722BE"/>
    <w:rsid w:val="00472A65"/>
    <w:rsid w:val="00473FB9"/>
    <w:rsid w:val="00474463"/>
    <w:rsid w:val="004744C0"/>
    <w:rsid w:val="00474B75"/>
    <w:rsid w:val="00483CD7"/>
    <w:rsid w:val="00483ECA"/>
    <w:rsid w:val="00483F0B"/>
    <w:rsid w:val="00491413"/>
    <w:rsid w:val="00494CF8"/>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32AD"/>
    <w:rsid w:val="004C7E1D"/>
    <w:rsid w:val="004D065C"/>
    <w:rsid w:val="004D33FE"/>
    <w:rsid w:val="004D39A8"/>
    <w:rsid w:val="004D4703"/>
    <w:rsid w:val="004D505E"/>
    <w:rsid w:val="004D67E8"/>
    <w:rsid w:val="004D72CA"/>
    <w:rsid w:val="004E2242"/>
    <w:rsid w:val="004F0F6D"/>
    <w:rsid w:val="004F2483"/>
    <w:rsid w:val="004F42FF"/>
    <w:rsid w:val="004F44C2"/>
    <w:rsid w:val="0050132C"/>
    <w:rsid w:val="00505262"/>
    <w:rsid w:val="005107B1"/>
    <w:rsid w:val="00516022"/>
    <w:rsid w:val="00521CEE"/>
    <w:rsid w:val="005251BD"/>
    <w:rsid w:val="00527BD4"/>
    <w:rsid w:val="00533061"/>
    <w:rsid w:val="00533FA1"/>
    <w:rsid w:val="00534C77"/>
    <w:rsid w:val="00535573"/>
    <w:rsid w:val="005403C8"/>
    <w:rsid w:val="00541AD9"/>
    <w:rsid w:val="005429DC"/>
    <w:rsid w:val="00552884"/>
    <w:rsid w:val="00555178"/>
    <w:rsid w:val="005565F9"/>
    <w:rsid w:val="00557B1F"/>
    <w:rsid w:val="005628A8"/>
    <w:rsid w:val="005639D2"/>
    <w:rsid w:val="00565739"/>
    <w:rsid w:val="00571206"/>
    <w:rsid w:val="00573041"/>
    <w:rsid w:val="00575B80"/>
    <w:rsid w:val="005768E4"/>
    <w:rsid w:val="00577559"/>
    <w:rsid w:val="005808BC"/>
    <w:rsid w:val="005819CE"/>
    <w:rsid w:val="0058298D"/>
    <w:rsid w:val="00590595"/>
    <w:rsid w:val="00593C2B"/>
    <w:rsid w:val="00595231"/>
    <w:rsid w:val="00595CBB"/>
    <w:rsid w:val="00596166"/>
    <w:rsid w:val="005975E5"/>
    <w:rsid w:val="00597F64"/>
    <w:rsid w:val="005A1AF5"/>
    <w:rsid w:val="005A207F"/>
    <w:rsid w:val="005A2F35"/>
    <w:rsid w:val="005A7512"/>
    <w:rsid w:val="005B3441"/>
    <w:rsid w:val="005B463E"/>
    <w:rsid w:val="005B4FAC"/>
    <w:rsid w:val="005B5D8B"/>
    <w:rsid w:val="005B6767"/>
    <w:rsid w:val="005C34E1"/>
    <w:rsid w:val="005C3FE0"/>
    <w:rsid w:val="005C4C82"/>
    <w:rsid w:val="005C740C"/>
    <w:rsid w:val="005D283A"/>
    <w:rsid w:val="005D2F5B"/>
    <w:rsid w:val="005D625B"/>
    <w:rsid w:val="005E22B0"/>
    <w:rsid w:val="005E3322"/>
    <w:rsid w:val="005E3741"/>
    <w:rsid w:val="005E436C"/>
    <w:rsid w:val="005E524D"/>
    <w:rsid w:val="005E5DE2"/>
    <w:rsid w:val="005E64E2"/>
    <w:rsid w:val="005F0D36"/>
    <w:rsid w:val="005F62D3"/>
    <w:rsid w:val="005F6D11"/>
    <w:rsid w:val="00600CF0"/>
    <w:rsid w:val="00602303"/>
    <w:rsid w:val="006048F4"/>
    <w:rsid w:val="00605514"/>
    <w:rsid w:val="0060660A"/>
    <w:rsid w:val="00610A24"/>
    <w:rsid w:val="00613B1D"/>
    <w:rsid w:val="00615D4A"/>
    <w:rsid w:val="00617311"/>
    <w:rsid w:val="00617A44"/>
    <w:rsid w:val="006202B6"/>
    <w:rsid w:val="006205C0"/>
    <w:rsid w:val="00623CB2"/>
    <w:rsid w:val="00625CD0"/>
    <w:rsid w:val="0062627D"/>
    <w:rsid w:val="00627432"/>
    <w:rsid w:val="00635031"/>
    <w:rsid w:val="006362EC"/>
    <w:rsid w:val="0064192A"/>
    <w:rsid w:val="00642768"/>
    <w:rsid w:val="006448E4"/>
    <w:rsid w:val="00645414"/>
    <w:rsid w:val="0065244E"/>
    <w:rsid w:val="006534D0"/>
    <w:rsid w:val="00653606"/>
    <w:rsid w:val="006610E9"/>
    <w:rsid w:val="00661591"/>
    <w:rsid w:val="00662A78"/>
    <w:rsid w:val="00663187"/>
    <w:rsid w:val="0066632F"/>
    <w:rsid w:val="00666A27"/>
    <w:rsid w:val="00671F94"/>
    <w:rsid w:val="00674A89"/>
    <w:rsid w:val="00674F3D"/>
    <w:rsid w:val="00682E02"/>
    <w:rsid w:val="00685545"/>
    <w:rsid w:val="006864B3"/>
    <w:rsid w:val="00686AED"/>
    <w:rsid w:val="00686DE3"/>
    <w:rsid w:val="00692BA9"/>
    <w:rsid w:val="00692C30"/>
    <w:rsid w:val="00692D64"/>
    <w:rsid w:val="006A0FC7"/>
    <w:rsid w:val="006A10F8"/>
    <w:rsid w:val="006A2100"/>
    <w:rsid w:val="006A22E1"/>
    <w:rsid w:val="006B0BF3"/>
    <w:rsid w:val="006B1521"/>
    <w:rsid w:val="006B2A77"/>
    <w:rsid w:val="006B421D"/>
    <w:rsid w:val="006B775E"/>
    <w:rsid w:val="006B7B87"/>
    <w:rsid w:val="006B7BC7"/>
    <w:rsid w:val="006C0013"/>
    <w:rsid w:val="006C2093"/>
    <w:rsid w:val="006C2278"/>
    <w:rsid w:val="006C2535"/>
    <w:rsid w:val="006C311B"/>
    <w:rsid w:val="006C40B6"/>
    <w:rsid w:val="006C441E"/>
    <w:rsid w:val="006C4B90"/>
    <w:rsid w:val="006C54E0"/>
    <w:rsid w:val="006D1016"/>
    <w:rsid w:val="006D17F2"/>
    <w:rsid w:val="006D2D53"/>
    <w:rsid w:val="006E3546"/>
    <w:rsid w:val="006E3FA9"/>
    <w:rsid w:val="006E7D82"/>
    <w:rsid w:val="006F038F"/>
    <w:rsid w:val="006F0F93"/>
    <w:rsid w:val="006F25A1"/>
    <w:rsid w:val="006F273B"/>
    <w:rsid w:val="006F31F2"/>
    <w:rsid w:val="00703A6F"/>
    <w:rsid w:val="00704845"/>
    <w:rsid w:val="007058CA"/>
    <w:rsid w:val="00706AB3"/>
    <w:rsid w:val="00714DC5"/>
    <w:rsid w:val="00715237"/>
    <w:rsid w:val="007174F4"/>
    <w:rsid w:val="00721D2E"/>
    <w:rsid w:val="007242CC"/>
    <w:rsid w:val="007242DB"/>
    <w:rsid w:val="00724A8B"/>
    <w:rsid w:val="007254A5"/>
    <w:rsid w:val="00725748"/>
    <w:rsid w:val="00727AAC"/>
    <w:rsid w:val="00735D88"/>
    <w:rsid w:val="00735FE6"/>
    <w:rsid w:val="0073720D"/>
    <w:rsid w:val="00737507"/>
    <w:rsid w:val="00740712"/>
    <w:rsid w:val="00741309"/>
    <w:rsid w:val="00741348"/>
    <w:rsid w:val="00742AB9"/>
    <w:rsid w:val="00745AE0"/>
    <w:rsid w:val="00751A6A"/>
    <w:rsid w:val="00754AD6"/>
    <w:rsid w:val="00754FBF"/>
    <w:rsid w:val="007615AC"/>
    <w:rsid w:val="00764585"/>
    <w:rsid w:val="00767FEF"/>
    <w:rsid w:val="007709EF"/>
    <w:rsid w:val="00773092"/>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28D1"/>
    <w:rsid w:val="00833454"/>
    <w:rsid w:val="00833695"/>
    <w:rsid w:val="008336B7"/>
    <w:rsid w:val="00833A8E"/>
    <w:rsid w:val="0084255A"/>
    <w:rsid w:val="00842CD8"/>
    <w:rsid w:val="008431FA"/>
    <w:rsid w:val="008547BA"/>
    <w:rsid w:val="0085522F"/>
    <w:rsid w:val="008553C7"/>
    <w:rsid w:val="00857FEB"/>
    <w:rsid w:val="008601AF"/>
    <w:rsid w:val="00866794"/>
    <w:rsid w:val="00872271"/>
    <w:rsid w:val="008731F6"/>
    <w:rsid w:val="00873F6A"/>
    <w:rsid w:val="00874982"/>
    <w:rsid w:val="008762B6"/>
    <w:rsid w:val="00883137"/>
    <w:rsid w:val="008846C3"/>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2D06"/>
    <w:rsid w:val="008C356D"/>
    <w:rsid w:val="008D1583"/>
    <w:rsid w:val="008E0B3F"/>
    <w:rsid w:val="008E1341"/>
    <w:rsid w:val="008E3932"/>
    <w:rsid w:val="008E49AD"/>
    <w:rsid w:val="008E698E"/>
    <w:rsid w:val="008F0337"/>
    <w:rsid w:val="008F04E9"/>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35893"/>
    <w:rsid w:val="0094000D"/>
    <w:rsid w:val="00940206"/>
    <w:rsid w:val="00941B16"/>
    <w:rsid w:val="00946703"/>
    <w:rsid w:val="009528B2"/>
    <w:rsid w:val="009607C4"/>
    <w:rsid w:val="00962F2A"/>
    <w:rsid w:val="00963440"/>
    <w:rsid w:val="009711AD"/>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A72A4"/>
    <w:rsid w:val="009B0138"/>
    <w:rsid w:val="009B0FE9"/>
    <w:rsid w:val="009B173A"/>
    <w:rsid w:val="009B5846"/>
    <w:rsid w:val="009B601B"/>
    <w:rsid w:val="009C3F20"/>
    <w:rsid w:val="009C64FB"/>
    <w:rsid w:val="009C7CA1"/>
    <w:rsid w:val="009D043D"/>
    <w:rsid w:val="009D716F"/>
    <w:rsid w:val="009E3B07"/>
    <w:rsid w:val="009E6D0F"/>
    <w:rsid w:val="009F3259"/>
    <w:rsid w:val="009F4872"/>
    <w:rsid w:val="009F541F"/>
    <w:rsid w:val="009F57B8"/>
    <w:rsid w:val="009F5DEE"/>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5E96"/>
    <w:rsid w:val="00A46FEF"/>
    <w:rsid w:val="00A47948"/>
    <w:rsid w:val="00A50CF6"/>
    <w:rsid w:val="00A51C81"/>
    <w:rsid w:val="00A56850"/>
    <w:rsid w:val="00A56946"/>
    <w:rsid w:val="00A604D3"/>
    <w:rsid w:val="00A60B58"/>
    <w:rsid w:val="00A6170E"/>
    <w:rsid w:val="00A62CB7"/>
    <w:rsid w:val="00A63725"/>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290"/>
    <w:rsid w:val="00AB5933"/>
    <w:rsid w:val="00AC3519"/>
    <w:rsid w:val="00AD34B3"/>
    <w:rsid w:val="00AD5B44"/>
    <w:rsid w:val="00AD7608"/>
    <w:rsid w:val="00AE013D"/>
    <w:rsid w:val="00AE11B7"/>
    <w:rsid w:val="00AE18BA"/>
    <w:rsid w:val="00AE7130"/>
    <w:rsid w:val="00AE7F68"/>
    <w:rsid w:val="00AF2321"/>
    <w:rsid w:val="00AF52F6"/>
    <w:rsid w:val="00AF7237"/>
    <w:rsid w:val="00B0043A"/>
    <w:rsid w:val="00B00D75"/>
    <w:rsid w:val="00B01D53"/>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55395"/>
    <w:rsid w:val="00B55971"/>
    <w:rsid w:val="00B57C59"/>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4091"/>
    <w:rsid w:val="00BB61B0"/>
    <w:rsid w:val="00BC0D9E"/>
    <w:rsid w:val="00BC3B53"/>
    <w:rsid w:val="00BC3B96"/>
    <w:rsid w:val="00BC4AE3"/>
    <w:rsid w:val="00BC5B28"/>
    <w:rsid w:val="00BC7264"/>
    <w:rsid w:val="00BE17D4"/>
    <w:rsid w:val="00BE3F88"/>
    <w:rsid w:val="00BE4756"/>
    <w:rsid w:val="00BE5ED9"/>
    <w:rsid w:val="00BE64D9"/>
    <w:rsid w:val="00BE7B41"/>
    <w:rsid w:val="00BF4427"/>
    <w:rsid w:val="00BF46B6"/>
    <w:rsid w:val="00BF5675"/>
    <w:rsid w:val="00C15A91"/>
    <w:rsid w:val="00C206F1"/>
    <w:rsid w:val="00C2115C"/>
    <w:rsid w:val="00C2159D"/>
    <w:rsid w:val="00C217E1"/>
    <w:rsid w:val="00C219B1"/>
    <w:rsid w:val="00C231E2"/>
    <w:rsid w:val="00C2703D"/>
    <w:rsid w:val="00C31175"/>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756BB"/>
    <w:rsid w:val="00C82662"/>
    <w:rsid w:val="00C91CF2"/>
    <w:rsid w:val="00C965EF"/>
    <w:rsid w:val="00C97C80"/>
    <w:rsid w:val="00CA1D00"/>
    <w:rsid w:val="00CA35E4"/>
    <w:rsid w:val="00CA47D3"/>
    <w:rsid w:val="00CA5AFA"/>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37DE8"/>
    <w:rsid w:val="00D41CE8"/>
    <w:rsid w:val="00D44B73"/>
    <w:rsid w:val="00D45993"/>
    <w:rsid w:val="00D50C1B"/>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13FF"/>
    <w:rsid w:val="00D93170"/>
    <w:rsid w:val="00D9561B"/>
    <w:rsid w:val="00D95BD9"/>
    <w:rsid w:val="00D95C88"/>
    <w:rsid w:val="00D97B2E"/>
    <w:rsid w:val="00DA1BA1"/>
    <w:rsid w:val="00DA241E"/>
    <w:rsid w:val="00DA51B5"/>
    <w:rsid w:val="00DB36FE"/>
    <w:rsid w:val="00DB38E3"/>
    <w:rsid w:val="00DB533A"/>
    <w:rsid w:val="00DB5D01"/>
    <w:rsid w:val="00DB6307"/>
    <w:rsid w:val="00DC18F3"/>
    <w:rsid w:val="00DC2443"/>
    <w:rsid w:val="00DC43FF"/>
    <w:rsid w:val="00DC691C"/>
    <w:rsid w:val="00DD1DCD"/>
    <w:rsid w:val="00DD338F"/>
    <w:rsid w:val="00DD3404"/>
    <w:rsid w:val="00DD66F2"/>
    <w:rsid w:val="00DE1EB5"/>
    <w:rsid w:val="00DE3B48"/>
    <w:rsid w:val="00DE3FE0"/>
    <w:rsid w:val="00DE578A"/>
    <w:rsid w:val="00DE778F"/>
    <w:rsid w:val="00DF2583"/>
    <w:rsid w:val="00DF3E62"/>
    <w:rsid w:val="00DF4D7F"/>
    <w:rsid w:val="00DF4E80"/>
    <w:rsid w:val="00DF54D9"/>
    <w:rsid w:val="00DF63F3"/>
    <w:rsid w:val="00DF7283"/>
    <w:rsid w:val="00DF7855"/>
    <w:rsid w:val="00E00FDC"/>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240BA"/>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3580"/>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77D"/>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2A57"/>
    <w:rsid w:val="00F2315B"/>
    <w:rsid w:val="00F31111"/>
    <w:rsid w:val="00F40F11"/>
    <w:rsid w:val="00F41A6F"/>
    <w:rsid w:val="00F440D7"/>
    <w:rsid w:val="00F45A25"/>
    <w:rsid w:val="00F50F86"/>
    <w:rsid w:val="00F51A76"/>
    <w:rsid w:val="00F53862"/>
    <w:rsid w:val="00F53C9D"/>
    <w:rsid w:val="00F53F91"/>
    <w:rsid w:val="00F54B9F"/>
    <w:rsid w:val="00F61569"/>
    <w:rsid w:val="00F61A72"/>
    <w:rsid w:val="00F62B67"/>
    <w:rsid w:val="00F66F13"/>
    <w:rsid w:val="00F67DA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B485B"/>
    <w:rsid w:val="00FB4F79"/>
    <w:rsid w:val="00FC08A4"/>
    <w:rsid w:val="00FC0D5C"/>
    <w:rsid w:val="00FC202F"/>
    <w:rsid w:val="00FC3165"/>
    <w:rsid w:val="00FC36AB"/>
    <w:rsid w:val="00FC4300"/>
    <w:rsid w:val="00FC7F66"/>
    <w:rsid w:val="00FD3182"/>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86920"/>
  <w15:docId w15:val="{999C59A0-94D0-462B-8D1E-F3F8232D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customStyle="1" w:styleId="VoetnoottekstChar">
    <w:name w:val="Voetnoottekst Char"/>
    <w:basedOn w:val="Standaardalinea-lettertype"/>
    <w:link w:val="Voetnoottekst"/>
    <w:rsid w:val="00F67DA3"/>
    <w:rPr>
      <w:rFonts w:ascii="Verdana" w:hAnsi="Verdana"/>
      <w:sz w:val="13"/>
      <w:lang w:val="nl-NL" w:eastAsia="nl-NL"/>
    </w:rPr>
  </w:style>
  <w:style w:type="character" w:styleId="Voetnootmarkering">
    <w:name w:val="footnote reference"/>
    <w:aliases w:val="Footnote symbol,Footnote,Voetnootverwijzing,Footnote number,fr,o,Footnotemark,FR,Footnotemark1,Footnotemark2,FR1,Footnotemark3,FR2,Footnotemark4,FR3,Footnotemark5,FR4,Footnotemark6,Footnotemark7,Footnotemark8,FR5,Footnotemark11,F,SUPE"/>
    <w:basedOn w:val="Standaardalinea-lettertype"/>
    <w:link w:val="CharCharChar"/>
    <w:unhideWhenUsed/>
    <w:qFormat/>
    <w:rsid w:val="00F67DA3"/>
    <w:rPr>
      <w:vertAlign w:val="superscript"/>
    </w:rPr>
  </w:style>
  <w:style w:type="paragraph" w:customStyle="1" w:styleId="CharCharChar">
    <w:name w:val="Char Char Char"/>
    <w:basedOn w:val="Standaard"/>
    <w:link w:val="Voetnootmarkering"/>
    <w:rsid w:val="00F67DA3"/>
    <w:pPr>
      <w:spacing w:after="160" w:line="240" w:lineRule="exact"/>
    </w:pPr>
    <w:rPr>
      <w:rFonts w:ascii="Times New Roman" w:hAnsi="Times New Roman"/>
      <w:sz w:val="20"/>
      <w:szCs w:val="20"/>
      <w:vertAlign w:val="superscript"/>
      <w:lang w:val="en-US" w:eastAsia="en-US"/>
    </w:rPr>
  </w:style>
  <w:style w:type="paragraph" w:styleId="Revisie">
    <w:name w:val="Revision"/>
    <w:hidden/>
    <w:uiPriority w:val="99"/>
    <w:semiHidden/>
    <w:rsid w:val="00686DE3"/>
    <w:rPr>
      <w:rFonts w:ascii="Verdana" w:hAnsi="Verdana"/>
      <w:sz w:val="18"/>
      <w:szCs w:val="24"/>
      <w:lang w:val="nl-NL" w:eastAsia="nl-NL"/>
    </w:rPr>
  </w:style>
  <w:style w:type="character" w:styleId="Verwijzingopmerking">
    <w:name w:val="annotation reference"/>
    <w:basedOn w:val="Standaardalinea-lettertype"/>
    <w:rsid w:val="00773092"/>
    <w:rPr>
      <w:sz w:val="16"/>
      <w:szCs w:val="16"/>
    </w:rPr>
  </w:style>
  <w:style w:type="paragraph" w:styleId="Tekstopmerking">
    <w:name w:val="annotation text"/>
    <w:basedOn w:val="Standaard"/>
    <w:link w:val="TekstopmerkingChar"/>
    <w:rsid w:val="00773092"/>
    <w:pPr>
      <w:spacing w:line="240" w:lineRule="auto"/>
    </w:pPr>
    <w:rPr>
      <w:sz w:val="20"/>
      <w:szCs w:val="20"/>
    </w:rPr>
  </w:style>
  <w:style w:type="character" w:customStyle="1" w:styleId="TekstopmerkingChar">
    <w:name w:val="Tekst opmerking Char"/>
    <w:basedOn w:val="Standaardalinea-lettertype"/>
    <w:link w:val="Tekstopmerking"/>
    <w:rsid w:val="00773092"/>
    <w:rPr>
      <w:rFonts w:ascii="Verdana" w:hAnsi="Verdana"/>
      <w:lang w:val="nl-NL" w:eastAsia="nl-NL"/>
    </w:rPr>
  </w:style>
  <w:style w:type="paragraph" w:styleId="Onderwerpvanopmerking">
    <w:name w:val="annotation subject"/>
    <w:basedOn w:val="Tekstopmerking"/>
    <w:next w:val="Tekstopmerking"/>
    <w:link w:val="OnderwerpvanopmerkingChar"/>
    <w:rsid w:val="00773092"/>
    <w:rPr>
      <w:b/>
      <w:bCs/>
    </w:rPr>
  </w:style>
  <w:style w:type="character" w:customStyle="1" w:styleId="OnderwerpvanopmerkingChar">
    <w:name w:val="Onderwerp van opmerking Char"/>
    <w:basedOn w:val="TekstopmerkingChar"/>
    <w:link w:val="Onderwerpvanopmerking"/>
    <w:rsid w:val="00773092"/>
    <w:rPr>
      <w:rFonts w:ascii="Verdana" w:hAnsi="Verdana"/>
      <w:b/>
      <w:bCs/>
      <w:lang w:val="nl-NL" w:eastAsia="nl-NL"/>
    </w:rPr>
  </w:style>
  <w:style w:type="character" w:customStyle="1" w:styleId="cf01">
    <w:name w:val="cf01"/>
    <w:basedOn w:val="Standaardalinea-lettertype"/>
    <w:rsid w:val="00135BD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038562">
      <w:bodyDiv w:val="1"/>
      <w:marLeft w:val="0"/>
      <w:marRight w:val="0"/>
      <w:marTop w:val="0"/>
      <w:marBottom w:val="0"/>
      <w:divBdr>
        <w:top w:val="none" w:sz="0" w:space="0" w:color="auto"/>
        <w:left w:val="none" w:sz="0" w:space="0" w:color="auto"/>
        <w:bottom w:val="none" w:sz="0" w:space="0" w:color="auto"/>
        <w:right w:val="none" w:sz="0" w:space="0" w:color="auto"/>
      </w:divBdr>
    </w:div>
    <w:div w:id="192749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5196</ap:Words>
  <ap:Characters>30663</ap:Characters>
  <ap:DocSecurity>0</ap:DocSecurity>
  <ap:Lines>255</ap:Lines>
  <ap:Paragraphs>71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35788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2024-10-28T15:33:00.0000000Z</lastPrinted>
  <dcterms:created xsi:type="dcterms:W3CDTF">2024-10-28T15:19:00.0000000Z</dcterms:created>
  <dcterms:modified xsi:type="dcterms:W3CDTF">2024-10-28T15:36:00.0000000Z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O204RUI</vt:lpwstr>
  </property>
  <property fmtid="{D5CDD505-2E9C-101B-9397-08002B2CF9AE}" pid="3" name="Author">
    <vt:lpwstr>O204RUI</vt:lpwstr>
  </property>
  <property fmtid="{D5CDD505-2E9C-101B-9397-08002B2CF9AE}" pid="4" name="cs_objectid">
    <vt:lpwstr>48887920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vaste commissie voor Onderwijs, Cultuur en Wetenschap over lerarenstrategie</vt:lpwstr>
  </property>
  <property fmtid="{D5CDD505-2E9C-101B-9397-08002B2CF9AE}" pid="9" name="ocw_directie">
    <vt:lpwstr>OPO/1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O204RUI</vt:lpwstr>
  </property>
</Properties>
</file>