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ECA" w:rsidP="00A14D35" w:rsidRDefault="00372260" w14:paraId="47E404E0" w14:textId="26B3B9C1">
      <w:pPr>
        <w:rPr>
          <w:szCs w:val="18"/>
        </w:rPr>
      </w:pPr>
      <w:r>
        <w:rPr>
          <w:szCs w:val="18"/>
        </w:rPr>
        <w:t>Geachte Voorzitter,</w:t>
      </w:r>
    </w:p>
    <w:p w:rsidR="00372260" w:rsidP="00A14D35" w:rsidRDefault="00372260" w14:paraId="3AC10BEB" w14:textId="77777777">
      <w:pPr>
        <w:rPr>
          <w:szCs w:val="18"/>
        </w:rPr>
      </w:pPr>
    </w:p>
    <w:p w:rsidR="009C6D2E" w:rsidP="00A14D35" w:rsidRDefault="00372260" w14:paraId="2DD4EC4C" w14:textId="1DC865B2">
      <w:r>
        <w:t>Op 23 oktober</w:t>
      </w:r>
      <w:r w:rsidR="00985900">
        <w:t xml:space="preserve"> jl.</w:t>
      </w:r>
      <w:r>
        <w:t xml:space="preserve"> heeft de commissie van Landbouw, Visserij, Voedselzekerheid en Natuur van uw Kamer ons verzocht om </w:t>
      </w:r>
      <w:r w:rsidRPr="00372260">
        <w:t>een brief met een planning van de nog te ontvangen brieven tot aan het Kerstreces 2024</w:t>
      </w:r>
      <w:r w:rsidR="005D2701">
        <w:t>, uiterlijk te ontvangen op 28</w:t>
      </w:r>
      <w:r w:rsidR="000F3D47">
        <w:t> </w:t>
      </w:r>
      <w:r w:rsidR="005D2701">
        <w:t>oktober</w:t>
      </w:r>
      <w:r>
        <w:t>.</w:t>
      </w:r>
      <w:r w:rsidR="009C6D2E">
        <w:t xml:space="preserve"> Tevens heeft de commissie op 30 september jl. verzocht om een planning van beleidsbrieven, wet- en regelgeving en overzicht van de uitvoering van moties en toezeggingen, te ontvangen voor 6 november.  </w:t>
      </w:r>
    </w:p>
    <w:p w:rsidR="009C6D2E" w:rsidP="00A14D35" w:rsidRDefault="00372260" w14:paraId="2BA610E8" w14:textId="77777777">
      <w:r>
        <w:t xml:space="preserve"> </w:t>
      </w:r>
    </w:p>
    <w:p w:rsidR="00372260" w:rsidP="00A14D35" w:rsidRDefault="009C6D2E" w14:paraId="4855C490" w14:textId="2C7065F2">
      <w:r>
        <w:t>Het overzicht van voorgenomen brieven aan uw Kamer tot en met eind 2025 hebben wij inmiddels gereed en sturen wij u bij deze integraal</w:t>
      </w:r>
      <w:r w:rsidR="00D63581">
        <w:t>.</w:t>
      </w:r>
      <w:r w:rsidR="00372260">
        <w:t xml:space="preserve"> </w:t>
      </w:r>
      <w:r>
        <w:t>Wel benadrukken wij met klem het indicatieve karakter van deze lijst</w:t>
      </w:r>
      <w:r w:rsidR="000C25D6">
        <w:t>, zowel qua timing als briefonderwerpen</w:t>
      </w:r>
      <w:r>
        <w:t>. Ook is het helaas niet mogelijk om per brief een specifiekere tijdsindicatie te geven dan een kwartaal</w:t>
      </w:r>
      <w:r w:rsidR="00372260">
        <w:t>. We hopen op uw begrip voor het feit dat de timing van te versturen brieven afhankelijk is van onzekere factoren, zoals bijvoorbeeld</w:t>
      </w:r>
      <w:r>
        <w:t xml:space="preserve"> overleg met externe partijen en</w:t>
      </w:r>
      <w:r w:rsidR="00372260">
        <w:t xml:space="preserve"> interdepartementale afstemming. </w:t>
      </w:r>
      <w:r w:rsidR="008121D7">
        <w:t xml:space="preserve">De genoemde brieven voor het vierde kwartaal van het huidige kalenderjaar trachten we uiteraard voorafgaand aan de gerelateerde commissiedebatten te versturen. </w:t>
      </w:r>
    </w:p>
    <w:p w:rsidR="009C6D2E" w:rsidP="00A14D35" w:rsidRDefault="009C6D2E" w14:paraId="1D90B5A5" w14:textId="77777777"/>
    <w:p w:rsidR="00A14D35" w:rsidP="00A14D35" w:rsidRDefault="009C6D2E" w14:paraId="0F7FF611" w14:textId="77777777">
      <w:r>
        <w:t xml:space="preserve">Aan het gevraagde overzicht van geplande wet- en regelgeving en het overzicht van de uitvoering van moties en toezeggingen wordt momenteel nog hard gewerkt door ons departement. We streven ernaar dit u voor de genoemde deadline van </w:t>
      </w:r>
    </w:p>
    <w:p w:rsidR="009C6D2E" w:rsidP="00A14D35" w:rsidRDefault="009C6D2E" w14:paraId="78B0E7CC" w14:textId="4462706E">
      <w:r>
        <w:t>6 november te doen toekomen.</w:t>
      </w:r>
    </w:p>
    <w:p w:rsidR="001536B3" w:rsidP="00A14D35" w:rsidRDefault="001536B3" w14:paraId="07A456AF" w14:textId="77777777"/>
    <w:p w:rsidR="00584BAC" w:rsidP="00A14D35" w:rsidRDefault="00725292" w14:paraId="3B0658FE" w14:textId="77777777">
      <w:r>
        <w:t>Hoogachtend,</w:t>
      </w:r>
    </w:p>
    <w:p w:rsidR="007239A1" w:rsidP="00A14D35" w:rsidRDefault="007239A1" w14:paraId="39D4E8FE" w14:textId="77777777"/>
    <w:p w:rsidRPr="00EC58D9" w:rsidR="000F3D47" w:rsidP="00A14D35" w:rsidRDefault="000F3D47" w14:paraId="36298140" w14:textId="77777777"/>
    <w:p w:rsidR="007239A1" w:rsidP="00A14D35" w:rsidRDefault="007239A1" w14:paraId="37FB30C4" w14:textId="77777777"/>
    <w:p w:rsidRPr="006A15A5" w:rsidR="007239A1" w:rsidP="00A14D35" w:rsidRDefault="00725292" w14:paraId="3A8A9689" w14:textId="43EB7FD1">
      <w:pPr>
        <w:rPr>
          <w:szCs w:val="18"/>
        </w:rPr>
      </w:pPr>
      <w:r w:rsidRPr="00B11DD6">
        <w:t>Femke Marije Wiersma</w:t>
      </w:r>
    </w:p>
    <w:p w:rsidR="004E505E" w:rsidP="00A14D35" w:rsidRDefault="00725292" w14:paraId="71BDDC9C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="00372260" w:rsidP="00A14D35" w:rsidRDefault="00372260" w14:paraId="3E3087EB" w14:textId="77777777"/>
    <w:p w:rsidR="00A14D35" w:rsidP="00A14D35" w:rsidRDefault="00A14D35" w14:paraId="1C2235B0" w14:textId="77777777"/>
    <w:p w:rsidR="000F3D47" w:rsidP="00A14D35" w:rsidRDefault="000F3D47" w14:paraId="26531E7F" w14:textId="77777777"/>
    <w:p w:rsidR="00A14D35" w:rsidP="00A14D35" w:rsidRDefault="00A14D35" w14:paraId="12061EAC" w14:textId="77777777"/>
    <w:p w:rsidRPr="00372260" w:rsidR="00372260" w:rsidP="00A14D35" w:rsidRDefault="00372260" w14:paraId="4E2E2FA6" w14:textId="77777777">
      <w:r w:rsidRPr="00372260">
        <w:t xml:space="preserve">Jean </w:t>
      </w:r>
      <w:proofErr w:type="spellStart"/>
      <w:r w:rsidRPr="00372260">
        <w:t>Rummenie</w:t>
      </w:r>
      <w:proofErr w:type="spellEnd"/>
    </w:p>
    <w:p w:rsidR="00725292" w:rsidP="00A14D35" w:rsidRDefault="00372260" w14:paraId="2782C5AC" w14:textId="03D461EE">
      <w:r w:rsidRPr="00372260">
        <w:t>Staatssecretaris van Landbouw, Visserij, Voedselzekerheid en Natuur</w:t>
      </w:r>
      <w:r w:rsidR="00725292">
        <w:br w:type="page"/>
      </w:r>
    </w:p>
    <w:p w:rsidRPr="00985900" w:rsidR="00985900" w:rsidP="00A14D35" w:rsidRDefault="00985900" w14:paraId="3C9365D8" w14:textId="4C7ADDF5">
      <w:pPr>
        <w:jc w:val="center"/>
        <w:rPr>
          <w:b/>
          <w:bCs/>
        </w:rPr>
      </w:pPr>
      <w:r>
        <w:rPr>
          <w:b/>
          <w:bCs/>
        </w:rPr>
        <w:lastRenderedPageBreak/>
        <w:t>GEPLANDE KAMERBRIEVEN</w:t>
      </w:r>
      <w:r w:rsidR="00F56D5D">
        <w:rPr>
          <w:b/>
          <w:bCs/>
        </w:rPr>
        <w:t xml:space="preserve"> 2024</w:t>
      </w:r>
    </w:p>
    <w:p w:rsidR="005E5529" w:rsidP="00A14D35" w:rsidRDefault="005E5529" w14:paraId="17CE16AC" w14:textId="77777777">
      <w:pPr>
        <w:rPr>
          <w:b/>
          <w:bCs/>
        </w:rPr>
      </w:pPr>
    </w:p>
    <w:p w:rsidR="005E5529" w:rsidP="00A14D35" w:rsidRDefault="005E5529" w14:paraId="34B77F34" w14:textId="77777777">
      <w:pPr>
        <w:rPr>
          <w:b/>
          <w:bCs/>
        </w:rPr>
      </w:pPr>
    </w:p>
    <w:p w:rsidR="00377C58" w:rsidP="00A14D35" w:rsidRDefault="00985900" w14:paraId="139A2610" w14:textId="56268206">
      <w:pPr>
        <w:pBdr>
          <w:top w:val="single" w:color="auto" w:sz="4" w:space="1"/>
          <w:bottom w:val="single" w:color="auto" w:sz="4" w:space="1"/>
        </w:pBdr>
        <w:rPr>
          <w:b/>
          <w:bCs/>
        </w:rPr>
      </w:pPr>
      <w:r>
        <w:rPr>
          <w:b/>
          <w:bCs/>
        </w:rPr>
        <w:t>Q4</w:t>
      </w:r>
      <w:r w:rsidR="00EC48B6">
        <w:rPr>
          <w:b/>
          <w:bCs/>
        </w:rPr>
        <w:t xml:space="preserve"> 2024</w:t>
      </w:r>
    </w:p>
    <w:p w:rsidR="00985900" w:rsidP="00A14D35" w:rsidRDefault="00985900" w14:paraId="0754991D" w14:textId="77777777">
      <w:pPr>
        <w:rPr>
          <w:b/>
          <w:bCs/>
        </w:rPr>
      </w:pPr>
    </w:p>
    <w:p w:rsidR="00985900" w:rsidP="00A14D35" w:rsidRDefault="00985900" w14:paraId="1E39FCF8" w14:textId="77777777">
      <w:r>
        <w:t>Terugkoppeling van VN Biodiversiteittop COP16</w:t>
      </w:r>
    </w:p>
    <w:p w:rsidR="00985900" w:rsidP="00A14D35" w:rsidRDefault="00EC48B6" w14:paraId="31AA6872" w14:textId="66C5A346">
      <w:r>
        <w:t>Kamerbrief i</w:t>
      </w:r>
      <w:r w:rsidR="00985900">
        <w:t xml:space="preserve">nformatie over afschotgegevens en begrotingen </w:t>
      </w:r>
      <w:proofErr w:type="spellStart"/>
      <w:r w:rsidR="00985900">
        <w:t>FBE's</w:t>
      </w:r>
      <w:proofErr w:type="spellEnd"/>
    </w:p>
    <w:p w:rsidR="00985900" w:rsidP="00A14D35" w:rsidRDefault="00985900" w14:paraId="7175B9A6" w14:textId="77777777">
      <w:r>
        <w:t>Voortgangsrapportage Natuur</w:t>
      </w:r>
    </w:p>
    <w:p w:rsidR="00985900" w:rsidP="00A14D35" w:rsidRDefault="00985900" w14:paraId="4C600625" w14:textId="77777777">
      <w:r>
        <w:t>Verzamelbrief Natuur</w:t>
      </w:r>
    </w:p>
    <w:p w:rsidR="00985900" w:rsidP="00A14D35" w:rsidRDefault="00EC48B6" w14:paraId="1AD8A890" w14:textId="6A9F17C9">
      <w:r>
        <w:t xml:space="preserve">Kamerbrief </w:t>
      </w:r>
      <w:r w:rsidR="00985900">
        <w:t>contouren aanvalsplan exoten</w:t>
      </w:r>
    </w:p>
    <w:p w:rsidRPr="00BA5F6D" w:rsidR="00CF7FF4" w:rsidP="00A14D35" w:rsidRDefault="00CF7FF4" w14:paraId="40A9FEC3" w14:textId="77777777">
      <w:pPr>
        <w:rPr>
          <w:szCs w:val="18"/>
        </w:rPr>
      </w:pPr>
      <w:r w:rsidRPr="00BA5F6D">
        <w:rPr>
          <w:szCs w:val="18"/>
        </w:rPr>
        <w:t>Beleidsagenda Natuur</w:t>
      </w:r>
    </w:p>
    <w:p w:rsidRPr="00BA5F6D" w:rsidR="00CF7FF4" w:rsidP="00A14D35" w:rsidRDefault="00CF7FF4" w14:paraId="549F4605" w14:textId="77777777">
      <w:pPr>
        <w:rPr>
          <w:szCs w:val="18"/>
        </w:rPr>
      </w:pPr>
      <w:r w:rsidRPr="00BA5F6D">
        <w:rPr>
          <w:szCs w:val="18"/>
        </w:rPr>
        <w:t>Agrarisch Natuurbeheer</w:t>
      </w:r>
    </w:p>
    <w:p w:rsidRPr="00BA5F6D" w:rsidR="00CF7FF4" w:rsidP="00A14D35" w:rsidRDefault="00CF7FF4" w14:paraId="7D4E1D15" w14:textId="77777777">
      <w:pPr>
        <w:rPr>
          <w:szCs w:val="18"/>
        </w:rPr>
      </w:pPr>
      <w:r w:rsidRPr="00BA5F6D">
        <w:rPr>
          <w:szCs w:val="18"/>
        </w:rPr>
        <w:t>Natuurherstelverordening</w:t>
      </w:r>
    </w:p>
    <w:p w:rsidRPr="00CF7FF4" w:rsidR="00CF7FF4" w:rsidP="00A14D35" w:rsidRDefault="00CF7FF4" w14:paraId="28E2C9D6" w14:textId="506E2FD7">
      <w:pPr>
        <w:rPr>
          <w:highlight w:val="yellow"/>
        </w:rPr>
      </w:pPr>
      <w:r w:rsidRPr="00BA5F6D">
        <w:rPr>
          <w:szCs w:val="18"/>
        </w:rPr>
        <w:t>Uitvoeringsagenda wolf</w:t>
      </w:r>
    </w:p>
    <w:p w:rsidR="00985900" w:rsidP="00A14D35" w:rsidRDefault="00985900" w14:paraId="04C75E1A" w14:textId="77777777">
      <w:r>
        <w:t>Evaluatie EFMZV en ADR onderzoek</w:t>
      </w:r>
    </w:p>
    <w:p w:rsidR="00985900" w:rsidP="00A14D35" w:rsidRDefault="00985900" w14:paraId="6F71D15A" w14:textId="77777777">
      <w:r>
        <w:t>Jaarverslag EFMZV</w:t>
      </w:r>
    </w:p>
    <w:p w:rsidR="00985900" w:rsidP="00A14D35" w:rsidRDefault="00985900" w14:paraId="597FD6CC" w14:textId="7C795597">
      <w:r>
        <w:t>Vissenwelzijn; appreciatie rapport met aanbevelingen dierencoalitie</w:t>
      </w:r>
    </w:p>
    <w:p w:rsidR="00D63581" w:rsidP="00A14D35" w:rsidRDefault="00D63581" w14:paraId="1BFF6B13" w14:textId="34E3ED71">
      <w:r>
        <w:t>EU</w:t>
      </w:r>
      <w:r w:rsidR="00103045">
        <w:t>-h</w:t>
      </w:r>
      <w:r>
        <w:t>ofzaak en rechtszaken Boterveen/Sevenum/Oost-Brabant en voorzorgbeginsel</w:t>
      </w:r>
    </w:p>
    <w:p w:rsidR="00D63581" w:rsidP="00A14D35" w:rsidRDefault="00D63581" w14:paraId="20838061" w14:textId="582F2AEE">
      <w:r>
        <w:t>U</w:t>
      </w:r>
      <w:r w:rsidR="00B252FD">
        <w:t>itvoeringsprogramma Toekomstvisie Gewasbescherming 2030</w:t>
      </w:r>
      <w:r>
        <w:t>, toelatingskaders, glyfosaat en naleving vrijstellingen</w:t>
      </w:r>
    </w:p>
    <w:p w:rsidR="00D63581" w:rsidP="00A14D35" w:rsidRDefault="00D63581" w14:paraId="1DC5725C" w14:textId="599A606B">
      <w:r>
        <w:t>Kamerbrief uitvoering en stand van zaken diverse moties en toezeggingen</w:t>
      </w:r>
      <w:r w:rsidR="00B252FD">
        <w:t xml:space="preserve"> gewasbescherming</w:t>
      </w:r>
    </w:p>
    <w:p w:rsidR="00D63581" w:rsidP="00A14D35" w:rsidRDefault="00EC48B6" w14:paraId="1D43A0C7" w14:textId="43CA2672">
      <w:r>
        <w:t>Duurzaam</w:t>
      </w:r>
      <w:r w:rsidR="00D63581">
        <w:t xml:space="preserve"> voedsel </w:t>
      </w:r>
    </w:p>
    <w:p w:rsidR="00D63581" w:rsidP="00A14D35" w:rsidRDefault="00EC48B6" w14:paraId="467BC59D" w14:textId="3663392B">
      <w:r>
        <w:t>Voedselverspilling</w:t>
      </w:r>
      <w:r w:rsidR="00D63581">
        <w:t xml:space="preserve"> (mogelijke </w:t>
      </w:r>
      <w:r w:rsidR="00625F50">
        <w:t>gecombineerd</w:t>
      </w:r>
      <w:r w:rsidR="00D63581">
        <w:t xml:space="preserve"> met Kamerbrief duurzaam voedsel)</w:t>
      </w:r>
    </w:p>
    <w:p w:rsidR="00D63581" w:rsidP="00A14D35" w:rsidRDefault="00D63581" w14:paraId="102CF116" w14:textId="77777777">
      <w:r>
        <w:t xml:space="preserve">Appreciatie evaluatie Brede Weersverzekering en </w:t>
      </w:r>
      <w:proofErr w:type="spellStart"/>
      <w:r>
        <w:t>Motivaction</w:t>
      </w:r>
      <w:proofErr w:type="spellEnd"/>
      <w:r>
        <w:t xml:space="preserve"> onderzoek klimaatadaptatie</w:t>
      </w:r>
    </w:p>
    <w:p w:rsidR="00EC48B6" w:rsidP="00A14D35" w:rsidRDefault="00EC48B6" w14:paraId="052E8E85" w14:textId="77777777">
      <w:r>
        <w:t>Evaluatie</w:t>
      </w:r>
      <w:r w:rsidR="00D63581">
        <w:t xml:space="preserve"> Meststoffenwet</w:t>
      </w:r>
    </w:p>
    <w:p w:rsidR="00D63581" w:rsidP="00A14D35" w:rsidRDefault="008121D7" w14:paraId="4B4782BE" w14:textId="797FD288">
      <w:r>
        <w:t>Kamerbrief e</w:t>
      </w:r>
      <w:r w:rsidR="00D63581">
        <w:t>iwitrijke gewassen</w:t>
      </w:r>
    </w:p>
    <w:p w:rsidR="00D63581" w:rsidP="00A14D35" w:rsidRDefault="00D63581" w14:paraId="75624A33" w14:textId="5FA0F9C6">
      <w:r>
        <w:t>CBS-monitor fosfaat- en stikstofuitscheiding 3e kwartaal 2024.</w:t>
      </w:r>
    </w:p>
    <w:p w:rsidR="00985900" w:rsidP="00A14D35" w:rsidRDefault="00EC48B6" w14:paraId="115F7952" w14:textId="5D962B3E">
      <w:r>
        <w:t>R</w:t>
      </w:r>
      <w:r w:rsidR="00D63581">
        <w:t xml:space="preserve">eactie Commissieverzoek grondgebondenheid en reactie </w:t>
      </w:r>
      <w:r w:rsidR="008738D4">
        <w:t xml:space="preserve">briefverzoek </w:t>
      </w:r>
      <w:r w:rsidR="00D63581">
        <w:t>over uitvoering van motie-Van</w:t>
      </w:r>
      <w:r>
        <w:t xml:space="preserve"> </w:t>
      </w:r>
      <w:r w:rsidR="00D63581">
        <w:t>Campen/</w:t>
      </w:r>
      <w:proofErr w:type="spellStart"/>
      <w:r w:rsidR="00D63581">
        <w:t>Grinwis</w:t>
      </w:r>
      <w:proofErr w:type="spellEnd"/>
      <w:r w:rsidR="00D63581">
        <w:t xml:space="preserve"> over </w:t>
      </w:r>
      <w:r w:rsidR="008738D4">
        <w:t xml:space="preserve">een </w:t>
      </w:r>
      <w:r w:rsidR="00D63581">
        <w:t>PBL</w:t>
      </w:r>
      <w:r w:rsidR="008738D4">
        <w:t>-</w:t>
      </w:r>
      <w:r w:rsidR="00D63581">
        <w:t>analyse.</w:t>
      </w:r>
    </w:p>
    <w:p w:rsidR="003D681A" w:rsidP="00A14D35" w:rsidRDefault="003D681A" w14:paraId="21EAFC68" w14:textId="03575EC8">
      <w:r>
        <w:t>Jaarplan NVWA</w:t>
      </w:r>
    </w:p>
    <w:p w:rsidR="00103045" w:rsidP="00A14D35" w:rsidRDefault="00103045" w14:paraId="198FF81C" w14:textId="30D27F03">
      <w:r w:rsidRPr="00103045">
        <w:t>Beschikbaarstelling extra middelen voor uitvoering maatregelpakketten landelijk gebied</w:t>
      </w:r>
    </w:p>
    <w:p w:rsidR="00103045" w:rsidP="00A14D35" w:rsidRDefault="00103045" w14:paraId="4DB4C69F" w14:textId="720DB490">
      <w:r>
        <w:t>Voortgang innovatie emissiereductie duurzame veehouderij</w:t>
      </w:r>
    </w:p>
    <w:p w:rsidR="00103045" w:rsidP="00A14D35" w:rsidRDefault="00B252FD" w14:paraId="2B34917D" w14:textId="4695B67D">
      <w:r>
        <w:t xml:space="preserve">Contouren </w:t>
      </w:r>
      <w:r w:rsidR="00103045">
        <w:t xml:space="preserve">Brede beëindigingsregeling </w:t>
      </w:r>
    </w:p>
    <w:p w:rsidR="00103045" w:rsidP="00A14D35" w:rsidRDefault="00103045" w14:paraId="1ABE2614" w14:textId="1C53504F">
      <w:r>
        <w:t>Kamerbrief aanpak stalbranden</w:t>
      </w:r>
    </w:p>
    <w:p w:rsidR="00103045" w:rsidP="00A14D35" w:rsidRDefault="00103045" w14:paraId="49741C70" w14:textId="3F148C27">
      <w:r>
        <w:t xml:space="preserve">Verzamelbrief </w:t>
      </w:r>
      <w:r w:rsidR="008738D4">
        <w:t>proefdieren/TPI</w:t>
      </w:r>
    </w:p>
    <w:p w:rsidR="00103045" w:rsidP="00A14D35" w:rsidRDefault="002155BF" w14:paraId="21685E01" w14:textId="6289639B">
      <w:r>
        <w:t>Kamerbrief</w:t>
      </w:r>
      <w:r w:rsidR="00103045">
        <w:t xml:space="preserve"> BURO Roodvlees </w:t>
      </w:r>
    </w:p>
    <w:p w:rsidR="00103045" w:rsidP="00A14D35" w:rsidRDefault="00103045" w14:paraId="3BEB18F1" w14:textId="77777777">
      <w:r>
        <w:t xml:space="preserve">Verzamelbrief Landbouwhuisdieren </w:t>
      </w:r>
    </w:p>
    <w:p w:rsidR="00103045" w:rsidP="00A14D35" w:rsidRDefault="00103045" w14:paraId="5CB626BA" w14:textId="77777777">
      <w:r>
        <w:t>Verzamelbrief diergezondheid</w:t>
      </w:r>
    </w:p>
    <w:p w:rsidR="00103045" w:rsidP="00A14D35" w:rsidRDefault="00103045" w14:paraId="52F882D6" w14:textId="77777777">
      <w:r>
        <w:t>Kamerbrief prijsontwikkeling en ketenvorming dierenartspraktijken</w:t>
      </w:r>
    </w:p>
    <w:p w:rsidR="00103045" w:rsidP="00A14D35" w:rsidRDefault="00103045" w14:paraId="22C040B5" w14:textId="77777777">
      <w:r>
        <w:t>Stand van zakenbrief antibioticabeleid</w:t>
      </w:r>
    </w:p>
    <w:p w:rsidR="00625F50" w:rsidP="00A14D35" w:rsidRDefault="0021612E" w14:paraId="219101EB" w14:textId="6398C3FF">
      <w:r>
        <w:t>‘</w:t>
      </w:r>
      <w:r w:rsidR="00625F50">
        <w:t>Zo Doende</w:t>
      </w:r>
      <w:r>
        <w:t>’</w:t>
      </w:r>
      <w:r w:rsidR="00625F50">
        <w:t>, jaarrapportage over dierproeven en proefdieren van NVWA</w:t>
      </w:r>
    </w:p>
    <w:p w:rsidR="00625F50" w:rsidP="00A14D35" w:rsidRDefault="00625F50" w14:paraId="442F503B" w14:textId="77777777">
      <w:r>
        <w:t xml:space="preserve">EU-kwartaalrapportage </w:t>
      </w:r>
    </w:p>
    <w:p w:rsidR="00625F50" w:rsidP="00A14D35" w:rsidRDefault="00625F50" w14:paraId="6625C398" w14:textId="150D5101">
      <w:r>
        <w:t>Jaarplan RVO</w:t>
      </w:r>
    </w:p>
    <w:p w:rsidR="00625F50" w:rsidP="00A14D35" w:rsidRDefault="00625F50" w14:paraId="4ED86841" w14:textId="420E3E87">
      <w:r>
        <w:t>EU-inzet LVVN</w:t>
      </w:r>
    </w:p>
    <w:p w:rsidR="00625F50" w:rsidP="00A14D35" w:rsidRDefault="009E472F" w14:paraId="3606A515" w14:textId="22168C58">
      <w:r>
        <w:t xml:space="preserve">Procesbrief herziening </w:t>
      </w:r>
      <w:r w:rsidR="00625F50">
        <w:t>Pacht</w:t>
      </w:r>
    </w:p>
    <w:p w:rsidR="00042668" w:rsidP="00A14D35" w:rsidRDefault="00042668" w14:paraId="10A9896D" w14:textId="77777777">
      <w:r>
        <w:t>Voortgangsrapportage bronmaatregelen</w:t>
      </w:r>
    </w:p>
    <w:p w:rsidR="00042668" w:rsidP="00A14D35" w:rsidRDefault="00042668" w14:paraId="5309C7A1" w14:textId="2CF982F7">
      <w:r>
        <w:lastRenderedPageBreak/>
        <w:t xml:space="preserve">Kamerbrief met contouren emissiebeleid </w:t>
      </w:r>
    </w:p>
    <w:p w:rsidR="00042668" w:rsidP="00A14D35" w:rsidRDefault="00042668" w14:paraId="393C4BB2" w14:textId="77777777">
      <w:r>
        <w:t>Kamerbrief emissiereductie Stikstof</w:t>
      </w:r>
    </w:p>
    <w:p w:rsidR="00042668" w:rsidP="00A14D35" w:rsidRDefault="00042668" w14:paraId="5930CE32" w14:textId="77777777">
      <w:r>
        <w:t>Plan van aanpak legalisatie PAS-melders</w:t>
      </w:r>
    </w:p>
    <w:p w:rsidR="00042668" w:rsidP="00A14D35" w:rsidRDefault="00042668" w14:paraId="40632889" w14:textId="77777777">
      <w:r>
        <w:t>Intern salderen</w:t>
      </w:r>
    </w:p>
    <w:p w:rsidR="00042668" w:rsidP="00A14D35" w:rsidRDefault="00042668" w14:paraId="025536A5" w14:textId="3408EFB6">
      <w:r>
        <w:t xml:space="preserve">Kamerbrief contouren uitvoeringsgerichte en </w:t>
      </w:r>
      <w:proofErr w:type="spellStart"/>
      <w:r>
        <w:t>gebiedsspecifieke</w:t>
      </w:r>
      <w:proofErr w:type="spellEnd"/>
      <w:r>
        <w:t xml:space="preserve"> aanpak </w:t>
      </w:r>
    </w:p>
    <w:p w:rsidR="00042668" w:rsidP="00A14D35" w:rsidRDefault="00042668" w14:paraId="37930E37" w14:textId="4ADBC4E6">
      <w:r>
        <w:t>Intrekking Tijdelijke Wet Transitiefonds</w:t>
      </w:r>
    </w:p>
    <w:p w:rsidR="000C25D6" w:rsidP="00A14D35" w:rsidRDefault="000C25D6" w14:paraId="5375CC41" w14:textId="77777777">
      <w:r>
        <w:t>Eindrapportage onderzoek Ammoniak van zee</w:t>
      </w:r>
    </w:p>
    <w:p w:rsidR="000C25D6" w:rsidP="00A14D35" w:rsidRDefault="000C25D6" w14:paraId="618E5BA5" w14:textId="6929CAC1">
      <w:r>
        <w:t>Voortgang Groenpact 3.0 en Green Deal NIL</w:t>
      </w:r>
    </w:p>
    <w:p w:rsidR="00714364" w:rsidP="00A14D35" w:rsidRDefault="00714364" w14:paraId="5E95B3E3" w14:textId="2121F6FD">
      <w:r>
        <w:t>Veegbrief LVVN</w:t>
      </w:r>
    </w:p>
    <w:p w:rsidR="006D6B66" w:rsidP="00A14D35" w:rsidRDefault="006D6B66" w14:paraId="17186F29" w14:textId="7D001D56">
      <w:r w:rsidRPr="006D6B66">
        <w:t>Wijziging GLB-NSP en GLB-betalingen 2024</w:t>
      </w:r>
    </w:p>
    <w:p w:rsidR="00EC48B6" w:rsidP="00A14D35" w:rsidRDefault="00EC48B6" w14:paraId="28D12751" w14:textId="77777777"/>
    <w:p w:rsidR="00C06B85" w:rsidP="00A14D35" w:rsidRDefault="00C06B85" w14:paraId="28C98EDC" w14:textId="77777777"/>
    <w:p w:rsidR="00C06B85" w:rsidP="00A14D35" w:rsidRDefault="00C06B85" w14:paraId="4AB07DC5" w14:textId="77777777"/>
    <w:p w:rsidRPr="00F56D5D" w:rsidR="00F56D5D" w:rsidP="00A14D35" w:rsidRDefault="00F56D5D" w14:paraId="2E866D02" w14:textId="084B03CE">
      <w:pPr>
        <w:jc w:val="center"/>
        <w:rPr>
          <w:b/>
          <w:bCs/>
        </w:rPr>
      </w:pPr>
      <w:r>
        <w:rPr>
          <w:b/>
          <w:bCs/>
        </w:rPr>
        <w:t>GEPLANDE KAMERBRIEVEN 2025</w:t>
      </w:r>
    </w:p>
    <w:p w:rsidR="005E5529" w:rsidP="00A14D35" w:rsidRDefault="005E5529" w14:paraId="404E6347" w14:textId="77777777"/>
    <w:p w:rsidR="005E5529" w:rsidP="00A14D35" w:rsidRDefault="005E5529" w14:paraId="12519E3A" w14:textId="77777777"/>
    <w:p w:rsidR="00EC48B6" w:rsidP="00A14D35" w:rsidRDefault="00EC48B6" w14:paraId="15E8D5DA" w14:textId="57F4BBD1">
      <w:pPr>
        <w:pBdr>
          <w:top w:val="single" w:color="auto" w:sz="4" w:space="1"/>
          <w:bottom w:val="single" w:color="auto" w:sz="4" w:space="1"/>
        </w:pBdr>
        <w:rPr>
          <w:b/>
          <w:bCs/>
        </w:rPr>
      </w:pPr>
      <w:r>
        <w:rPr>
          <w:b/>
          <w:bCs/>
        </w:rPr>
        <w:t>Q1 2025</w:t>
      </w:r>
    </w:p>
    <w:p w:rsidR="00EC48B6" w:rsidP="00A14D35" w:rsidRDefault="00EC48B6" w14:paraId="0C0A5251" w14:textId="77777777"/>
    <w:p w:rsidR="00EC48B6" w:rsidP="00A14D35" w:rsidRDefault="00EC48B6" w14:paraId="3D7715F9" w14:textId="77777777">
      <w:r>
        <w:t>Terugkoppeling van IPBES-11 (Q1)</w:t>
      </w:r>
    </w:p>
    <w:p w:rsidR="00EC48B6" w:rsidP="00A14D35" w:rsidRDefault="00EC48B6" w14:paraId="1C92CF32" w14:textId="77777777">
      <w:r>
        <w:t>Evaluatie Beheerautoriteit Waddenzee</w:t>
      </w:r>
    </w:p>
    <w:p w:rsidRPr="008A22D2" w:rsidR="00EC48B6" w:rsidP="00A14D35" w:rsidRDefault="00EC48B6" w14:paraId="47236D8E" w14:textId="77777777">
      <w:r w:rsidRPr="008A22D2">
        <w:t xml:space="preserve">State of </w:t>
      </w:r>
      <w:proofErr w:type="spellStart"/>
      <w:r w:rsidRPr="008A22D2">
        <w:t>Conservation</w:t>
      </w:r>
      <w:proofErr w:type="spellEnd"/>
      <w:r w:rsidRPr="008A22D2">
        <w:t xml:space="preserve"> - Unesco Werelderfgoed Waddenzee</w:t>
      </w:r>
    </w:p>
    <w:p w:rsidR="00EC48B6" w:rsidP="00A14D35" w:rsidRDefault="00EC48B6" w14:paraId="352EC9DC" w14:textId="77777777">
      <w:r>
        <w:t>IJsselmeervisserij</w:t>
      </w:r>
    </w:p>
    <w:p w:rsidR="00EC48B6" w:rsidP="00A14D35" w:rsidRDefault="00EC48B6" w14:paraId="5F02DEA0" w14:textId="77777777">
      <w:r>
        <w:t>Visserij vrije zones</w:t>
      </w:r>
    </w:p>
    <w:p w:rsidR="00EC48B6" w:rsidP="00A14D35" w:rsidRDefault="00EC48B6" w14:paraId="275F6EC7" w14:textId="0C239AF0">
      <w:r>
        <w:t>Nationaal Park de Hollandse Duinen</w:t>
      </w:r>
    </w:p>
    <w:p w:rsidR="00833572" w:rsidP="00A14D35" w:rsidRDefault="00833572" w14:paraId="7C7EF714" w14:textId="7AA12E26">
      <w:r>
        <w:t xml:space="preserve">Evaluatie beleidsmiddelen duurzaam voedsel 2022-2025 </w:t>
      </w:r>
    </w:p>
    <w:p w:rsidR="00833572" w:rsidP="00A14D35" w:rsidRDefault="00833572" w14:paraId="2DD9C123" w14:textId="0EE4CC9C">
      <w:r>
        <w:t xml:space="preserve">Evaluatie Borgstelling MKB-landbouwkredieten </w:t>
      </w:r>
    </w:p>
    <w:p w:rsidR="00833572" w:rsidP="00A14D35" w:rsidRDefault="00833572" w14:paraId="2B09B65B" w14:textId="76261CE2">
      <w:pPr>
        <w:rPr>
          <w:color w:val="000000" w:themeColor="text1"/>
          <w:szCs w:val="18"/>
        </w:rPr>
      </w:pPr>
      <w:r w:rsidRPr="00B81731">
        <w:rPr>
          <w:color w:val="000000" w:themeColor="text1"/>
          <w:szCs w:val="18"/>
        </w:rPr>
        <w:t>CBS-monitor fosfaat en</w:t>
      </w:r>
      <w:r>
        <w:rPr>
          <w:color w:val="000000" w:themeColor="text1"/>
          <w:szCs w:val="18"/>
        </w:rPr>
        <w:t xml:space="preserve"> stikstofuitscheiding (regulier elk kwartaal)</w:t>
      </w:r>
    </w:p>
    <w:p w:rsidR="00103045" w:rsidP="00A14D35" w:rsidRDefault="006D6B66" w14:paraId="58355371" w14:textId="72E9C33B">
      <w:r>
        <w:t>Voortgangsbrief aanpak stalbranden</w:t>
      </w:r>
    </w:p>
    <w:p w:rsidR="00103045" w:rsidP="00A14D35" w:rsidRDefault="00103045" w14:paraId="10CF0266" w14:textId="77777777">
      <w:r>
        <w:t>Beleidsregel wolf</w:t>
      </w:r>
    </w:p>
    <w:p w:rsidR="00103045" w:rsidP="00A14D35" w:rsidRDefault="00103045" w14:paraId="709BCF8E" w14:textId="77777777">
      <w:r>
        <w:t xml:space="preserve">Voortgangsrapportage Nationaal Actieplan </w:t>
      </w:r>
      <w:proofErr w:type="spellStart"/>
      <w:r>
        <w:t>Zoonosen</w:t>
      </w:r>
      <w:proofErr w:type="spellEnd"/>
    </w:p>
    <w:p w:rsidR="00103045" w:rsidP="00A14D35" w:rsidRDefault="00103045" w14:paraId="247665E3" w14:textId="77777777">
      <w:r>
        <w:t>Beleidsreactie onderzoek VGO-III</w:t>
      </w:r>
    </w:p>
    <w:p w:rsidR="00103045" w:rsidP="00A14D35" w:rsidRDefault="00103045" w14:paraId="6D2F6D22" w14:textId="77777777">
      <w:r>
        <w:t>Kamerbrief veterinaire veld</w:t>
      </w:r>
    </w:p>
    <w:p w:rsidR="00103045" w:rsidP="00A14D35" w:rsidRDefault="00103045" w14:paraId="4F7AAFFB" w14:textId="77777777">
      <w:r>
        <w:t>Voortgangsrapportage intensiveringsplan vogelgriep</w:t>
      </w:r>
    </w:p>
    <w:p w:rsidR="00103045" w:rsidP="00A14D35" w:rsidRDefault="00103045" w14:paraId="6EE7F52B" w14:textId="1A5D110A">
      <w:r>
        <w:t xml:space="preserve">Kamerbrief </w:t>
      </w:r>
      <w:r w:rsidR="008D4C02">
        <w:t>uitwerking</w:t>
      </w:r>
      <w:r>
        <w:t xml:space="preserve"> Brede beëindigingsregeling</w:t>
      </w:r>
    </w:p>
    <w:p w:rsidR="00625F50" w:rsidP="00A14D35" w:rsidRDefault="00625F50" w14:paraId="464271F7" w14:textId="77777777">
      <w:r>
        <w:t xml:space="preserve">EU-kwartaalrapportage </w:t>
      </w:r>
    </w:p>
    <w:p w:rsidR="0021612E" w:rsidP="00A14D35" w:rsidRDefault="0021612E" w14:paraId="085B2DC0" w14:textId="77777777">
      <w:r>
        <w:t>Kamerbrief uitkomsten onderzoek economische effecten stikstofproblematiek</w:t>
      </w:r>
    </w:p>
    <w:p w:rsidR="0021612E" w:rsidP="00A14D35" w:rsidRDefault="0021612E" w14:paraId="16F3E9D4" w14:textId="77777777">
      <w:r>
        <w:t>Legalisatie PAS-melders</w:t>
      </w:r>
    </w:p>
    <w:p w:rsidR="0021612E" w:rsidP="00A14D35" w:rsidRDefault="0021612E" w14:paraId="01EC49E8" w14:textId="265E1CE5">
      <w:r>
        <w:t xml:space="preserve">Brief ruimtelijke keuzes natuur en landbouw, </w:t>
      </w:r>
      <w:proofErr w:type="spellStart"/>
      <w:r>
        <w:t>irt</w:t>
      </w:r>
      <w:proofErr w:type="spellEnd"/>
      <w:r>
        <w:t xml:space="preserve"> nota ruimte</w:t>
      </w:r>
    </w:p>
    <w:p w:rsidR="000C25D6" w:rsidP="00A14D35" w:rsidRDefault="000C25D6" w14:paraId="1A0B3F89" w14:textId="19953938">
      <w:pPr>
        <w:rPr>
          <w:rFonts w:cs="Calibri"/>
          <w:color w:val="000000"/>
          <w:szCs w:val="18"/>
        </w:rPr>
      </w:pPr>
      <w:r w:rsidRPr="000C25D6">
        <w:rPr>
          <w:rFonts w:cs="Calibri"/>
          <w:color w:val="000000"/>
          <w:szCs w:val="18"/>
        </w:rPr>
        <w:t>Reactie op Periodieke Rapportage Kennis- en Innovatiebelei</w:t>
      </w:r>
      <w:r>
        <w:rPr>
          <w:rFonts w:cs="Calibri"/>
          <w:color w:val="000000"/>
          <w:szCs w:val="18"/>
        </w:rPr>
        <w:t>d</w:t>
      </w:r>
    </w:p>
    <w:p w:rsidRPr="000C25D6" w:rsidR="000C25D6" w:rsidP="00A14D35" w:rsidRDefault="000C25D6" w14:paraId="05C47F23" w14:textId="6447614F">
      <w:pPr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 xml:space="preserve">Kamerbrief </w:t>
      </w:r>
      <w:r w:rsidRPr="000C25D6">
        <w:rPr>
          <w:rFonts w:cs="Calibri"/>
          <w:color w:val="000000"/>
          <w:szCs w:val="18"/>
        </w:rPr>
        <w:t>Innovatie en doelsturing</w:t>
      </w:r>
    </w:p>
    <w:p w:rsidRPr="000C25D6" w:rsidR="000C25D6" w:rsidP="00A14D35" w:rsidRDefault="000C25D6" w14:paraId="5E4E13B1" w14:textId="77777777">
      <w:pPr>
        <w:rPr>
          <w:rFonts w:cs="Calibri"/>
          <w:color w:val="000000"/>
          <w:szCs w:val="18"/>
        </w:rPr>
      </w:pPr>
      <w:r w:rsidRPr="000C25D6">
        <w:rPr>
          <w:rFonts w:cs="Calibri"/>
          <w:color w:val="000000"/>
          <w:szCs w:val="18"/>
        </w:rPr>
        <w:t xml:space="preserve">Appreciatie SER-advies "Werken aan veranderkracht: naar een toekomstbestendige arbeidsmarkt voor </w:t>
      </w:r>
      <w:proofErr w:type="spellStart"/>
      <w:r w:rsidRPr="000C25D6">
        <w:rPr>
          <w:rFonts w:cs="Calibri"/>
          <w:color w:val="000000"/>
          <w:szCs w:val="18"/>
        </w:rPr>
        <w:t>Agri</w:t>
      </w:r>
      <w:proofErr w:type="spellEnd"/>
      <w:r w:rsidRPr="000C25D6">
        <w:rPr>
          <w:rFonts w:cs="Calibri"/>
          <w:color w:val="000000"/>
          <w:szCs w:val="18"/>
        </w:rPr>
        <w:t xml:space="preserve"> &amp; Food, Water en Bodem en Natuur &amp; Leefomgeving."</w:t>
      </w:r>
    </w:p>
    <w:p w:rsidRPr="000C25D6" w:rsidR="000C25D6" w:rsidP="00A14D35" w:rsidRDefault="000C25D6" w14:paraId="74564D0E" w14:textId="77777777">
      <w:pPr>
        <w:rPr>
          <w:rFonts w:cs="Calibri"/>
          <w:color w:val="000000"/>
          <w:szCs w:val="18"/>
        </w:rPr>
      </w:pPr>
      <w:r w:rsidRPr="000C25D6">
        <w:rPr>
          <w:rFonts w:cs="Calibri"/>
          <w:color w:val="000000"/>
          <w:szCs w:val="18"/>
        </w:rPr>
        <w:t>Informeren over of en op welke manier JLE (Jong Leren Eten) gecontinueerd wordt</w:t>
      </w:r>
    </w:p>
    <w:p w:rsidRPr="000C25D6" w:rsidR="000C25D6" w:rsidP="00A14D35" w:rsidRDefault="000C25D6" w14:paraId="5994045F" w14:textId="2DD71789">
      <w:pPr>
        <w:rPr>
          <w:rFonts w:cs="Calibri"/>
          <w:color w:val="000000"/>
          <w:szCs w:val="18"/>
        </w:rPr>
      </w:pPr>
      <w:r w:rsidRPr="000C25D6">
        <w:rPr>
          <w:rFonts w:cs="Calibri"/>
          <w:color w:val="000000"/>
          <w:szCs w:val="18"/>
        </w:rPr>
        <w:t>Voortgangsrapportage NKS</w:t>
      </w:r>
    </w:p>
    <w:p w:rsidR="000C25D6" w:rsidP="00A14D35" w:rsidRDefault="006D6B66" w14:paraId="70E1D56E" w14:textId="2D131418">
      <w:r w:rsidRPr="006D6B66">
        <w:t>Gecombineerde opgave en GLB-tarieven 2025</w:t>
      </w:r>
    </w:p>
    <w:p w:rsidRPr="00833572" w:rsidR="00E5262F" w:rsidP="00A14D35" w:rsidRDefault="00E5262F" w14:paraId="4CCD6714" w14:textId="5B9A82D5">
      <w:r>
        <w:t>Contouren voedselstrategie</w:t>
      </w:r>
    </w:p>
    <w:p w:rsidRPr="00833572" w:rsidR="00EC48B6" w:rsidP="00A14D35" w:rsidRDefault="00EC48B6" w14:paraId="2D631487" w14:textId="77777777"/>
    <w:p w:rsidRPr="00725292" w:rsidR="00EC48B6" w:rsidP="00A14D35" w:rsidRDefault="00EC48B6" w14:paraId="4EECA6B0" w14:textId="695C4170">
      <w:pPr>
        <w:pBdr>
          <w:top w:val="single" w:color="auto" w:sz="4" w:space="1"/>
          <w:bottom w:val="single" w:color="auto" w:sz="4" w:space="1"/>
        </w:pBdr>
        <w:rPr>
          <w:b/>
          <w:bCs/>
        </w:rPr>
      </w:pPr>
      <w:r w:rsidRPr="00725292">
        <w:rPr>
          <w:b/>
          <w:bCs/>
        </w:rPr>
        <w:lastRenderedPageBreak/>
        <w:t>Q2 2025</w:t>
      </w:r>
    </w:p>
    <w:p w:rsidRPr="00725292" w:rsidR="00EC48B6" w:rsidP="00A14D35" w:rsidRDefault="00EC48B6" w14:paraId="7F9EFA7B" w14:textId="77777777"/>
    <w:p w:rsidR="00EC48B6" w:rsidP="00A14D35" w:rsidRDefault="00CF7FF4" w14:paraId="596BC044" w14:textId="73142158">
      <w:r>
        <w:t>Toekomstvisie garnalenvisserij</w:t>
      </w:r>
    </w:p>
    <w:p w:rsidR="00EC48B6" w:rsidP="00A14D35" w:rsidRDefault="00EC48B6" w14:paraId="15BBD470" w14:textId="77777777">
      <w:proofErr w:type="spellStart"/>
      <w:r>
        <w:t>Midterm</w:t>
      </w:r>
      <w:proofErr w:type="spellEnd"/>
      <w:r>
        <w:t xml:space="preserve"> evaluatie EMFAF</w:t>
      </w:r>
    </w:p>
    <w:p w:rsidR="00EC48B6" w:rsidP="00A14D35" w:rsidRDefault="00CF7FF4" w14:paraId="61D17718" w14:textId="2C788FFF">
      <w:r>
        <w:t>Stand van zaken</w:t>
      </w:r>
      <w:r w:rsidR="00EC48B6">
        <w:t xml:space="preserve"> Natuurafspraken Noordzeeakkoord</w:t>
      </w:r>
    </w:p>
    <w:p w:rsidR="00EC48B6" w:rsidP="00A14D35" w:rsidRDefault="00EC48B6" w14:paraId="5119C2F6" w14:textId="3BD2CC94">
      <w:r>
        <w:t>Voorgenomen besluit NCV</w:t>
      </w:r>
    </w:p>
    <w:p w:rsidR="00833572" w:rsidP="00A14D35" w:rsidRDefault="00833572" w14:paraId="4D3898D3" w14:textId="77777777">
      <w:pPr>
        <w:rPr>
          <w:color w:val="000000" w:themeColor="text1"/>
          <w:szCs w:val="18"/>
        </w:rPr>
      </w:pPr>
      <w:r w:rsidRPr="00B81731">
        <w:rPr>
          <w:color w:val="000000" w:themeColor="text1"/>
          <w:szCs w:val="18"/>
        </w:rPr>
        <w:t>CBS-monitor fosfaat en</w:t>
      </w:r>
      <w:r>
        <w:rPr>
          <w:color w:val="000000" w:themeColor="text1"/>
          <w:szCs w:val="18"/>
        </w:rPr>
        <w:t xml:space="preserve"> stikstofuitscheiding (regulier elk kwartaal)</w:t>
      </w:r>
    </w:p>
    <w:p w:rsidR="00833572" w:rsidP="00A14D35" w:rsidRDefault="00833572" w14:paraId="1E4B5F1C" w14:textId="60F21619">
      <w:p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Kamerbrief rapportage Nederlands mestbeleid</w:t>
      </w:r>
    </w:p>
    <w:p w:rsidR="003D681A" w:rsidP="00A14D35" w:rsidRDefault="003D681A" w14:paraId="235DCDDB" w14:textId="25DFC4BB">
      <w:pPr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SCOPAFF Juli</w:t>
      </w:r>
    </w:p>
    <w:p w:rsidR="00B517E2" w:rsidP="00A14D35" w:rsidRDefault="00B517E2" w14:paraId="6C02C7D7" w14:textId="410E6EAE">
      <w:r>
        <w:t xml:space="preserve">Kamerbrief voortgang innovatie emissiereductie duurzame veehouderij </w:t>
      </w:r>
    </w:p>
    <w:p w:rsidR="00B517E2" w:rsidP="00A14D35" w:rsidRDefault="00B517E2" w14:paraId="41B96CD4" w14:textId="77777777">
      <w:r>
        <w:t>Stand van zakenbrief antibioticabeleid</w:t>
      </w:r>
    </w:p>
    <w:p w:rsidR="00833572" w:rsidP="00A14D35" w:rsidRDefault="00B517E2" w14:paraId="0EE87E63" w14:textId="10B89093">
      <w:r>
        <w:t>Verzamelbrief gezelschapsdieren</w:t>
      </w:r>
    </w:p>
    <w:p w:rsidR="00625F50" w:rsidP="00A14D35" w:rsidRDefault="00625F50" w14:paraId="69551CEF" w14:textId="77777777">
      <w:r>
        <w:t xml:space="preserve">EU-kwartaalrapportage </w:t>
      </w:r>
    </w:p>
    <w:p w:rsidR="00625F50" w:rsidP="00A14D35" w:rsidRDefault="00625F50" w14:paraId="29EC6DCC" w14:textId="7604135A">
      <w:r>
        <w:t>Generatievernieuwing en update kenniscentrum bedrijfsovername</w:t>
      </w:r>
    </w:p>
    <w:p w:rsidR="00625F50" w:rsidP="00A14D35" w:rsidRDefault="00625F50" w14:paraId="3A719CC7" w14:textId="5A0C08FD">
      <w:r>
        <w:t>Stand van het toezicht NVWA</w:t>
      </w:r>
    </w:p>
    <w:p w:rsidR="00625F50" w:rsidP="00A14D35" w:rsidRDefault="00625F50" w14:paraId="33985CB4" w14:textId="5FB9E7E3">
      <w:r>
        <w:t>Jaarbeeld NVWA 2024</w:t>
      </w:r>
    </w:p>
    <w:p w:rsidR="00625F50" w:rsidP="00A14D35" w:rsidRDefault="00625F50" w14:paraId="2954EC8E" w14:textId="19198A76">
      <w:r>
        <w:t>Stand van zaken moties en toezeggingen versterking toezicht op slachthuizen</w:t>
      </w:r>
    </w:p>
    <w:p w:rsidR="0021612E" w:rsidP="00A14D35" w:rsidRDefault="0021612E" w14:paraId="153A8B55" w14:textId="77777777">
      <w:r>
        <w:t>Voortgangsrapportage bronmaatregelen</w:t>
      </w:r>
    </w:p>
    <w:p w:rsidR="0021612E" w:rsidP="00A14D35" w:rsidRDefault="0021612E" w14:paraId="52C7C525" w14:textId="395D4F38">
      <w:r>
        <w:t>Concretisering van het onderwerp leefbaarheid</w:t>
      </w:r>
    </w:p>
    <w:p w:rsidR="0021612E" w:rsidP="00A14D35" w:rsidRDefault="0021612E" w14:paraId="54E2F023" w14:textId="77777777">
      <w:r>
        <w:t>Verdeling ruimte SSRS</w:t>
      </w:r>
    </w:p>
    <w:p w:rsidR="0021612E" w:rsidP="00A14D35" w:rsidRDefault="0021612E" w14:paraId="21235B70" w14:textId="7E1F6DA2">
      <w:r>
        <w:t>Extern salderen</w:t>
      </w:r>
    </w:p>
    <w:p w:rsidR="0021612E" w:rsidP="00A14D35" w:rsidRDefault="0021612E" w14:paraId="6477A0AA" w14:textId="77777777">
      <w:r>
        <w:t xml:space="preserve">Intern salderen </w:t>
      </w:r>
    </w:p>
    <w:p w:rsidR="0021612E" w:rsidP="00A14D35" w:rsidRDefault="0021612E" w14:paraId="40B58979" w14:textId="77777777">
      <w:r>
        <w:t xml:space="preserve">Vervolgbrief uitvoeringsgerichte en </w:t>
      </w:r>
      <w:proofErr w:type="spellStart"/>
      <w:r>
        <w:t>gebiedsspecifieke</w:t>
      </w:r>
      <w:proofErr w:type="spellEnd"/>
      <w:r>
        <w:t xml:space="preserve"> aanpak </w:t>
      </w:r>
    </w:p>
    <w:p w:rsidR="0021612E" w:rsidP="00A14D35" w:rsidRDefault="0021612E" w14:paraId="177C44E4" w14:textId="77777777">
      <w:r>
        <w:t>Brief Rekenkundige Ondergrens</w:t>
      </w:r>
    </w:p>
    <w:p w:rsidR="0021612E" w:rsidP="00A14D35" w:rsidRDefault="0021612E" w14:paraId="42D73476" w14:textId="6A576158">
      <w:r>
        <w:t>Algemene brief toestemmingsverlening</w:t>
      </w:r>
    </w:p>
    <w:p w:rsidR="000C25D6" w:rsidP="00A14D35" w:rsidRDefault="000C25D6" w14:paraId="5404BD53" w14:textId="77777777">
      <w:r>
        <w:t xml:space="preserve">Programma robotica </w:t>
      </w:r>
    </w:p>
    <w:p w:rsidR="00B517E2" w:rsidP="00A14D35" w:rsidRDefault="000C25D6" w14:paraId="26D01645" w14:textId="6D2FD75E">
      <w:r>
        <w:t>Groenpact 4.0</w:t>
      </w:r>
    </w:p>
    <w:p w:rsidRPr="00ED061E" w:rsidR="00ED061E" w:rsidP="00A14D35" w:rsidRDefault="00ED061E" w14:paraId="1D117A41" w14:textId="77777777">
      <w:r w:rsidRPr="00ED061E">
        <w:t>Resultaat Gecombineerde opgave</w:t>
      </w:r>
    </w:p>
    <w:p w:rsidR="00ED061E" w:rsidP="00A14D35" w:rsidRDefault="00ED061E" w14:paraId="5AD0B3D7" w14:textId="3285EE1E">
      <w:r w:rsidRPr="00ED061E">
        <w:t>Generatievernieuwing in de agrarische sector</w:t>
      </w:r>
    </w:p>
    <w:p w:rsidR="00EC48B6" w:rsidP="00A14D35" w:rsidRDefault="00EC48B6" w14:paraId="08D705F1" w14:textId="77777777"/>
    <w:p w:rsidR="00EC48B6" w:rsidP="00A14D35" w:rsidRDefault="00EC48B6" w14:paraId="77C7E1AF" w14:textId="00FACA99">
      <w:pPr>
        <w:pBdr>
          <w:top w:val="single" w:color="auto" w:sz="4" w:space="1"/>
          <w:bottom w:val="single" w:color="auto" w:sz="4" w:space="1"/>
        </w:pBdr>
        <w:rPr>
          <w:b/>
          <w:bCs/>
        </w:rPr>
      </w:pPr>
      <w:r>
        <w:rPr>
          <w:b/>
          <w:bCs/>
        </w:rPr>
        <w:t>Q3 2025</w:t>
      </w:r>
    </w:p>
    <w:p w:rsidR="00C06B85" w:rsidP="00A14D35" w:rsidRDefault="00C06B85" w14:paraId="34C98026" w14:textId="77777777"/>
    <w:p w:rsidR="00EC48B6" w:rsidP="00A14D35" w:rsidRDefault="00EC48B6" w14:paraId="1DDA975F" w14:textId="596FE5A3">
      <w:r>
        <w:t>Beleidskader Natuur Waddenzee</w:t>
      </w:r>
    </w:p>
    <w:p w:rsidR="00EC48B6" w:rsidP="00A14D35" w:rsidRDefault="00EC48B6" w14:paraId="65EDCB36" w14:textId="77777777">
      <w:r>
        <w:t>Indiening VR- en HR-rapportage</w:t>
      </w:r>
    </w:p>
    <w:p w:rsidR="00EC48B6" w:rsidP="00A14D35" w:rsidRDefault="00EC48B6" w14:paraId="61A2B692" w14:textId="09D26B24">
      <w:r>
        <w:t>Definitief besluit N</w:t>
      </w:r>
      <w:r w:rsidR="00CF7FF4">
        <w:t>atuurcompensatie Voordelta</w:t>
      </w:r>
    </w:p>
    <w:p w:rsidR="00833572" w:rsidP="00A14D35" w:rsidRDefault="00833572" w14:paraId="496B65A6" w14:textId="77777777">
      <w:pPr>
        <w:rPr>
          <w:color w:val="000000" w:themeColor="text1"/>
          <w:szCs w:val="18"/>
        </w:rPr>
      </w:pPr>
      <w:r w:rsidRPr="00B81731">
        <w:rPr>
          <w:color w:val="000000" w:themeColor="text1"/>
          <w:szCs w:val="18"/>
        </w:rPr>
        <w:t>CBS-monitor fosfaat en</w:t>
      </w:r>
      <w:r>
        <w:rPr>
          <w:color w:val="000000" w:themeColor="text1"/>
          <w:szCs w:val="18"/>
        </w:rPr>
        <w:t xml:space="preserve"> stikstofuitscheiding (regulier elk kwartaal)</w:t>
      </w:r>
    </w:p>
    <w:p w:rsidR="00625F50" w:rsidP="00A14D35" w:rsidRDefault="00625F50" w14:paraId="66F9B945" w14:textId="77777777">
      <w:r>
        <w:t xml:space="preserve">EU-kwartaalrapportage </w:t>
      </w:r>
    </w:p>
    <w:p w:rsidR="00625F50" w:rsidP="00A14D35" w:rsidRDefault="00625F50" w14:paraId="0B58458F" w14:textId="27F39C65">
      <w:r>
        <w:t>EU-inzet LVVN</w:t>
      </w:r>
    </w:p>
    <w:p w:rsidRPr="00833572" w:rsidR="00625F50" w:rsidP="00A14D35" w:rsidRDefault="00625F50" w14:paraId="3F80B187" w14:textId="0213A435">
      <w:r w:rsidRPr="00625F50">
        <w:t>Jaarverslag 2024 IOD NVWA</w:t>
      </w:r>
    </w:p>
    <w:p w:rsidR="0021612E" w:rsidP="00A14D35" w:rsidRDefault="0021612E" w14:paraId="5520322D" w14:textId="77777777">
      <w:r>
        <w:t>SSRS-bank (september 2025)</w:t>
      </w:r>
    </w:p>
    <w:p w:rsidR="00833572" w:rsidP="00A14D35" w:rsidRDefault="0021612E" w14:paraId="74A14577" w14:textId="204FB32F">
      <w:r>
        <w:t xml:space="preserve">Vergunningverlening en </w:t>
      </w:r>
      <w:proofErr w:type="spellStart"/>
      <w:r>
        <w:t>rekenkundigde</w:t>
      </w:r>
      <w:proofErr w:type="spellEnd"/>
      <w:r>
        <w:t xml:space="preserve"> ondergrens</w:t>
      </w:r>
    </w:p>
    <w:p w:rsidR="000C25D6" w:rsidP="00A14D35" w:rsidRDefault="000C25D6" w14:paraId="3A0568F4" w14:textId="61881297">
      <w:pPr>
        <w:rPr>
          <w:rFonts w:cs="Calibri"/>
          <w:color w:val="000000"/>
          <w:szCs w:val="18"/>
        </w:rPr>
      </w:pPr>
      <w:r w:rsidRPr="000C25D6">
        <w:rPr>
          <w:rFonts w:cs="Calibri"/>
          <w:color w:val="000000"/>
          <w:szCs w:val="18"/>
        </w:rPr>
        <w:t xml:space="preserve">Kamerbrief over het programma </w:t>
      </w:r>
      <w:proofErr w:type="spellStart"/>
      <w:r w:rsidRPr="000C25D6">
        <w:rPr>
          <w:rFonts w:cs="Calibri"/>
          <w:color w:val="000000"/>
          <w:szCs w:val="18"/>
        </w:rPr>
        <w:t>DuurzaamDoor</w:t>
      </w:r>
      <w:proofErr w:type="spellEnd"/>
      <w:r w:rsidRPr="000C25D6">
        <w:rPr>
          <w:rFonts w:cs="Calibri"/>
          <w:color w:val="000000"/>
          <w:szCs w:val="18"/>
        </w:rPr>
        <w:t xml:space="preserve"> </w:t>
      </w:r>
    </w:p>
    <w:p w:rsidRPr="000C25D6" w:rsidR="00E927FC" w:rsidP="00A14D35" w:rsidRDefault="00E927FC" w14:paraId="6C7D9A31" w14:textId="56D2B46A">
      <w:pPr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>Voortgang doelsturing</w:t>
      </w:r>
    </w:p>
    <w:p w:rsidR="00EC48B6" w:rsidP="00A14D35" w:rsidRDefault="00EC48B6" w14:paraId="293729D0" w14:textId="77777777"/>
    <w:p w:rsidR="00EC48B6" w:rsidP="00A14D35" w:rsidRDefault="00EC48B6" w14:paraId="3C028629" w14:textId="0E218767">
      <w:pPr>
        <w:pBdr>
          <w:top w:val="single" w:color="auto" w:sz="4" w:space="1"/>
          <w:bottom w:val="single" w:color="auto" w:sz="4" w:space="1"/>
        </w:pBdr>
        <w:rPr>
          <w:b/>
          <w:bCs/>
        </w:rPr>
      </w:pPr>
      <w:r>
        <w:rPr>
          <w:b/>
          <w:bCs/>
        </w:rPr>
        <w:t>Q4 2025</w:t>
      </w:r>
    </w:p>
    <w:p w:rsidR="00EC48B6" w:rsidP="00A14D35" w:rsidRDefault="00EC48B6" w14:paraId="4BE22DA3" w14:textId="77777777"/>
    <w:p w:rsidR="00EC48B6" w:rsidP="00A14D35" w:rsidRDefault="00EC48B6" w14:paraId="15F06016" w14:textId="77777777">
      <w:r>
        <w:t xml:space="preserve">Terugkoppeling IPBES-12 (Q4) </w:t>
      </w:r>
    </w:p>
    <w:p w:rsidR="00EC48B6" w:rsidP="00A14D35" w:rsidRDefault="00CF7FF4" w14:paraId="41A2FC64" w14:textId="7E12D57D">
      <w:r>
        <w:t>Vrijwillige saneringsregeling garnalenvisserij</w:t>
      </w:r>
    </w:p>
    <w:p w:rsidR="00833572" w:rsidP="00A14D35" w:rsidRDefault="00833572" w14:paraId="3CF73581" w14:textId="77777777">
      <w:pPr>
        <w:rPr>
          <w:color w:val="000000" w:themeColor="text1"/>
          <w:szCs w:val="18"/>
        </w:rPr>
      </w:pPr>
      <w:r w:rsidRPr="00B81731">
        <w:rPr>
          <w:color w:val="000000" w:themeColor="text1"/>
          <w:szCs w:val="18"/>
        </w:rPr>
        <w:t>CBS-monitor fosfaat en</w:t>
      </w:r>
      <w:r>
        <w:rPr>
          <w:color w:val="000000" w:themeColor="text1"/>
          <w:szCs w:val="18"/>
        </w:rPr>
        <w:t xml:space="preserve"> stikstofuitscheiding (regulier elk kwartaal)</w:t>
      </w:r>
    </w:p>
    <w:p w:rsidR="00B517E2" w:rsidP="00A14D35" w:rsidRDefault="00B517E2" w14:paraId="21CB40F3" w14:textId="77777777">
      <w:pPr>
        <w:rPr>
          <w:szCs w:val="18"/>
        </w:rPr>
      </w:pPr>
      <w:r w:rsidRPr="0086601E">
        <w:rPr>
          <w:szCs w:val="18"/>
        </w:rPr>
        <w:lastRenderedPageBreak/>
        <w:t xml:space="preserve">Kamerbrief voortgang innovatie emissiereductie duurzame veehouderij </w:t>
      </w:r>
    </w:p>
    <w:p w:rsidRPr="00625F50" w:rsidR="00625F50" w:rsidP="00A14D35" w:rsidRDefault="00625F50" w14:paraId="5AACDA7A" w14:textId="77777777">
      <w:pPr>
        <w:rPr>
          <w:szCs w:val="18"/>
        </w:rPr>
      </w:pPr>
      <w:r w:rsidRPr="00625F50">
        <w:rPr>
          <w:szCs w:val="18"/>
        </w:rPr>
        <w:t>Jaarplan NVWA</w:t>
      </w:r>
    </w:p>
    <w:p w:rsidRPr="00625F50" w:rsidR="00625F50" w:rsidP="00A14D35" w:rsidRDefault="00625F50" w14:paraId="34464F24" w14:textId="77777777">
      <w:pPr>
        <w:rPr>
          <w:szCs w:val="18"/>
        </w:rPr>
      </w:pPr>
      <w:r w:rsidRPr="00625F50">
        <w:rPr>
          <w:szCs w:val="18"/>
        </w:rPr>
        <w:t>Jaarplan RVO</w:t>
      </w:r>
    </w:p>
    <w:p w:rsidRPr="00625F50" w:rsidR="00625F50" w:rsidP="00A14D35" w:rsidRDefault="00625F50" w14:paraId="0856E33C" w14:textId="77777777">
      <w:pPr>
        <w:rPr>
          <w:szCs w:val="18"/>
        </w:rPr>
      </w:pPr>
      <w:r w:rsidRPr="00625F50">
        <w:rPr>
          <w:szCs w:val="18"/>
        </w:rPr>
        <w:t xml:space="preserve">EU-kwartaalrapportage </w:t>
      </w:r>
    </w:p>
    <w:p w:rsidRPr="0021612E" w:rsidR="0021612E" w:rsidP="00A14D35" w:rsidRDefault="0021612E" w14:paraId="7E0B0B76" w14:textId="77777777">
      <w:pPr>
        <w:rPr>
          <w:szCs w:val="18"/>
        </w:rPr>
      </w:pPr>
      <w:r w:rsidRPr="0021612E">
        <w:rPr>
          <w:szCs w:val="18"/>
        </w:rPr>
        <w:t>Voortgangsrapportage bronmaatregelen</w:t>
      </w:r>
    </w:p>
    <w:p w:rsidRPr="0021612E" w:rsidR="0021612E" w:rsidP="00A14D35" w:rsidRDefault="0021612E" w14:paraId="08C3B57E" w14:textId="77777777">
      <w:pPr>
        <w:rPr>
          <w:szCs w:val="18"/>
        </w:rPr>
      </w:pPr>
      <w:r w:rsidRPr="0021612E">
        <w:rPr>
          <w:szCs w:val="18"/>
        </w:rPr>
        <w:t xml:space="preserve">Vervolgbrief uitvoeringsgerichte en </w:t>
      </w:r>
      <w:proofErr w:type="spellStart"/>
      <w:r w:rsidRPr="0021612E">
        <w:rPr>
          <w:szCs w:val="18"/>
        </w:rPr>
        <w:t>gebiedsspecifieke</w:t>
      </w:r>
      <w:proofErr w:type="spellEnd"/>
      <w:r w:rsidRPr="0021612E">
        <w:rPr>
          <w:szCs w:val="18"/>
        </w:rPr>
        <w:t xml:space="preserve"> aanpak </w:t>
      </w:r>
    </w:p>
    <w:p w:rsidR="0021612E" w:rsidP="00A14D35" w:rsidRDefault="0021612E" w14:paraId="25EAE2FD" w14:textId="0DAA35ED">
      <w:pPr>
        <w:rPr>
          <w:szCs w:val="18"/>
        </w:rPr>
      </w:pPr>
      <w:r w:rsidRPr="0021612E">
        <w:rPr>
          <w:szCs w:val="18"/>
        </w:rPr>
        <w:t xml:space="preserve">Actualisatie </w:t>
      </w:r>
      <w:proofErr w:type="spellStart"/>
      <w:r w:rsidRPr="0021612E">
        <w:rPr>
          <w:szCs w:val="18"/>
        </w:rPr>
        <w:t>Aerius</w:t>
      </w:r>
      <w:proofErr w:type="spellEnd"/>
      <w:r w:rsidRPr="0021612E">
        <w:rPr>
          <w:szCs w:val="18"/>
        </w:rPr>
        <w:t xml:space="preserve"> en omgevingsregeling (mits nog geen alternatief)</w:t>
      </w:r>
    </w:p>
    <w:p w:rsidRPr="003B5DD0" w:rsidR="003B5DD0" w:rsidP="00A14D35" w:rsidRDefault="003B5DD0" w14:paraId="0F546876" w14:textId="77777777">
      <w:pPr>
        <w:rPr>
          <w:rFonts w:cs="Calibri"/>
          <w:color w:val="000000"/>
          <w:szCs w:val="18"/>
        </w:rPr>
      </w:pPr>
      <w:r w:rsidRPr="003B5DD0">
        <w:rPr>
          <w:rFonts w:cs="Calibri"/>
          <w:color w:val="000000"/>
          <w:szCs w:val="18"/>
        </w:rPr>
        <w:t xml:space="preserve">Kamerbrief WOT-VV-Beleid </w:t>
      </w:r>
    </w:p>
    <w:p w:rsidR="003B5DD0" w:rsidP="00A14D35" w:rsidRDefault="003B5DD0" w14:paraId="07058645" w14:textId="77777777">
      <w:pPr>
        <w:rPr>
          <w:rFonts w:cs="Calibri"/>
          <w:color w:val="000000"/>
          <w:szCs w:val="18"/>
        </w:rPr>
      </w:pPr>
      <w:r w:rsidRPr="003B5DD0">
        <w:rPr>
          <w:rFonts w:cs="Calibri"/>
          <w:color w:val="000000"/>
          <w:szCs w:val="18"/>
        </w:rPr>
        <w:t xml:space="preserve">Voortgangsrapportage Actieprogramma Digitalisering </w:t>
      </w:r>
    </w:p>
    <w:p w:rsidR="003B5DD0" w:rsidP="00A14D35" w:rsidRDefault="00ED061E" w14:paraId="238AA564" w14:textId="6E974A00">
      <w:pPr>
        <w:rPr>
          <w:rFonts w:cs="Calibri"/>
          <w:color w:val="000000"/>
          <w:szCs w:val="18"/>
        </w:rPr>
      </w:pPr>
      <w:r w:rsidRPr="00ED061E">
        <w:rPr>
          <w:rFonts w:cs="Calibri"/>
          <w:color w:val="000000"/>
          <w:szCs w:val="18"/>
        </w:rPr>
        <w:t>GLB-betalingen 2025</w:t>
      </w:r>
    </w:p>
    <w:p w:rsidRPr="003B5DD0" w:rsidR="00E927FC" w:rsidP="00A14D35" w:rsidRDefault="00E927FC" w14:paraId="40AA89A5" w14:textId="77777777">
      <w:pPr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>Voedselstrategie</w:t>
      </w:r>
    </w:p>
    <w:p w:rsidRPr="00F56D5D" w:rsidR="00E927FC" w:rsidP="00A14D35" w:rsidRDefault="00E927FC" w14:paraId="42AD0F02" w14:textId="77777777">
      <w:pPr>
        <w:rPr>
          <w:rFonts w:cs="Calibri"/>
          <w:color w:val="000000"/>
          <w:szCs w:val="18"/>
        </w:rPr>
      </w:pPr>
    </w:p>
    <w:p w:rsidRPr="00833572" w:rsidR="00B517E2" w:rsidP="00A14D35" w:rsidRDefault="00B517E2" w14:paraId="77743699" w14:textId="77777777"/>
    <w:p w:rsidRPr="00985900" w:rsidR="00833572" w:rsidP="00A14D35" w:rsidRDefault="00833572" w14:paraId="2704EFD6" w14:textId="77777777"/>
    <w:sectPr w:rsidRPr="00985900" w:rsidR="00833572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F16A1" w14:textId="77777777" w:rsidR="0041374D" w:rsidRDefault="0041374D">
      <w:r>
        <w:separator/>
      </w:r>
    </w:p>
    <w:p w14:paraId="60F4025E" w14:textId="77777777" w:rsidR="0041374D" w:rsidRDefault="0041374D"/>
  </w:endnote>
  <w:endnote w:type="continuationSeparator" w:id="0">
    <w:p w14:paraId="373FF82D" w14:textId="77777777" w:rsidR="0041374D" w:rsidRDefault="0041374D">
      <w:r>
        <w:continuationSeparator/>
      </w:r>
    </w:p>
    <w:p w14:paraId="2C20B06A" w14:textId="77777777" w:rsidR="0041374D" w:rsidRDefault="00413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6CF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766E2" w14:paraId="08F9795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20318B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BD8030A" w14:textId="15002C76" w:rsidR="00527BD4" w:rsidRPr="00645414" w:rsidRDefault="0072529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0F3D47">
            <w:fldChar w:fldCharType="begin"/>
          </w:r>
          <w:r w:rsidR="000F3D47">
            <w:instrText xml:space="preserve"> SECTIONPAGES   \* MERGEFORMAT </w:instrText>
          </w:r>
          <w:r w:rsidR="000F3D47">
            <w:fldChar w:fldCharType="separate"/>
          </w:r>
          <w:r w:rsidR="000F3D47">
            <w:t>5</w:t>
          </w:r>
          <w:r w:rsidR="000F3D47">
            <w:fldChar w:fldCharType="end"/>
          </w:r>
        </w:p>
      </w:tc>
    </w:tr>
  </w:tbl>
  <w:p w14:paraId="65AFD45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766E2" w14:paraId="4CDE52B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B3A7AD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D86F127" w14:textId="2AF7D638" w:rsidR="00527BD4" w:rsidRPr="00ED539E" w:rsidRDefault="0072529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0F3D47">
            <w:fldChar w:fldCharType="begin"/>
          </w:r>
          <w:r w:rsidR="000F3D47">
            <w:instrText xml:space="preserve"> SECTIONPAGES   \* MERGEFORMAT </w:instrText>
          </w:r>
          <w:r w:rsidR="000F3D47">
            <w:fldChar w:fldCharType="separate"/>
          </w:r>
          <w:r w:rsidR="000F3D47">
            <w:t>5</w:t>
          </w:r>
          <w:r w:rsidR="000F3D47">
            <w:fldChar w:fldCharType="end"/>
          </w:r>
        </w:p>
      </w:tc>
    </w:tr>
  </w:tbl>
  <w:p w14:paraId="0817FF6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BAD48B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5B89" w14:textId="77777777" w:rsidR="0041374D" w:rsidRDefault="0041374D">
      <w:r>
        <w:separator/>
      </w:r>
    </w:p>
    <w:p w14:paraId="0316673F" w14:textId="77777777" w:rsidR="0041374D" w:rsidRDefault="0041374D"/>
  </w:footnote>
  <w:footnote w:type="continuationSeparator" w:id="0">
    <w:p w14:paraId="0B986F08" w14:textId="77777777" w:rsidR="0041374D" w:rsidRDefault="0041374D">
      <w:r>
        <w:continuationSeparator/>
      </w:r>
    </w:p>
    <w:p w14:paraId="71E83C4D" w14:textId="77777777" w:rsidR="0041374D" w:rsidRDefault="00413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766E2" w14:paraId="51D6BAAB" w14:textId="77777777" w:rsidTr="00A50CF6">
      <w:tc>
        <w:tcPr>
          <w:tcW w:w="2156" w:type="dxa"/>
          <w:shd w:val="clear" w:color="auto" w:fill="auto"/>
        </w:tcPr>
        <w:p w14:paraId="557A59E0" w14:textId="77777777" w:rsidR="00527BD4" w:rsidRPr="005819CE" w:rsidRDefault="00725292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</w:tc>
    </w:tr>
    <w:tr w:rsidR="009766E2" w14:paraId="3F08772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5C41939" w14:textId="77777777" w:rsidR="00527BD4" w:rsidRPr="005819CE" w:rsidRDefault="00527BD4" w:rsidP="00A50CF6"/>
      </w:tc>
    </w:tr>
    <w:tr w:rsidR="009766E2" w14:paraId="0526F4D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2CFC5AB" w14:textId="77777777" w:rsidR="00527BD4" w:rsidRDefault="00725292" w:rsidP="003A5290">
          <w:pPr>
            <w:pStyle w:val="Huisstijl-Kopje"/>
          </w:pPr>
          <w:r>
            <w:t>Ons kenmerk</w:t>
          </w:r>
        </w:p>
        <w:p w14:paraId="37DF1B4C" w14:textId="77777777" w:rsidR="00527BD4" w:rsidRPr="005819CE" w:rsidRDefault="00725292" w:rsidP="001E6117">
          <w:pPr>
            <w:pStyle w:val="Huisstijl-Kopje"/>
          </w:pPr>
          <w:r>
            <w:rPr>
              <w:b w:val="0"/>
            </w:rPr>
            <w:t>BPZ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89409379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428BF230" w14:textId="77777777" w:rsidR="00527BD4" w:rsidRDefault="00527BD4" w:rsidP="008C356D"/>
  <w:p w14:paraId="0DD6EE9C" w14:textId="77777777" w:rsidR="00527BD4" w:rsidRPr="00740712" w:rsidRDefault="00527BD4" w:rsidP="008C356D"/>
  <w:p w14:paraId="098CA1F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32EBC5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2FC9BF0" w14:textId="77777777" w:rsidR="00527BD4" w:rsidRDefault="00527BD4" w:rsidP="004F44C2"/>
  <w:p w14:paraId="0FF73EE6" w14:textId="77777777" w:rsidR="00527BD4" w:rsidRPr="00740712" w:rsidRDefault="00527BD4" w:rsidP="004F44C2"/>
  <w:p w14:paraId="1B34C8E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766E2" w14:paraId="6542C7F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7D2EDE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1FD1607" w14:textId="77777777" w:rsidR="00527BD4" w:rsidRDefault="00725292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3CC7E3F" wp14:editId="07143811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FEE64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6D58A4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766E2" w:rsidRPr="00372260" w14:paraId="3A6ECBA3" w14:textId="77777777" w:rsidTr="00A50CF6">
      <w:tc>
        <w:tcPr>
          <w:tcW w:w="2160" w:type="dxa"/>
          <w:shd w:val="clear" w:color="auto" w:fill="auto"/>
        </w:tcPr>
        <w:p w14:paraId="0925FCF7" w14:textId="77777777" w:rsidR="00527BD4" w:rsidRPr="005819CE" w:rsidRDefault="00725292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  <w:p w14:paraId="1166544B" w14:textId="77777777" w:rsidR="00527BD4" w:rsidRPr="00BE5ED9" w:rsidRDefault="0072529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DBC7C71" w14:textId="77777777" w:rsidR="00EF495B" w:rsidRDefault="0072529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2FEC18E" w14:textId="77777777" w:rsidR="00556BEE" w:rsidRPr="005B3814" w:rsidRDefault="0072529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07CAFBE" w14:textId="02D26D04" w:rsidR="00527BD4" w:rsidRPr="00985900" w:rsidRDefault="0072529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  <w:r>
            <w:br/>
          </w:r>
        </w:p>
      </w:tc>
    </w:tr>
    <w:tr w:rsidR="009766E2" w:rsidRPr="00372260" w14:paraId="23396AA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7870E39" w14:textId="77777777" w:rsidR="00527BD4" w:rsidRPr="00725292" w:rsidRDefault="00527BD4" w:rsidP="00A50CF6"/>
      </w:tc>
    </w:tr>
    <w:tr w:rsidR="009766E2" w14:paraId="0A1E1291" w14:textId="77777777" w:rsidTr="00A50CF6">
      <w:tc>
        <w:tcPr>
          <w:tcW w:w="2160" w:type="dxa"/>
          <w:shd w:val="clear" w:color="auto" w:fill="auto"/>
        </w:tcPr>
        <w:p w14:paraId="6CBDB9F2" w14:textId="77777777" w:rsidR="000C0163" w:rsidRPr="005819CE" w:rsidRDefault="0072529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5936FFA" w14:textId="77777777" w:rsidR="000C0163" w:rsidRPr="005819CE" w:rsidRDefault="00725292" w:rsidP="000C0163">
          <w:pPr>
            <w:pStyle w:val="Huisstijl-Gegeven"/>
          </w:pPr>
          <w:r>
            <w:t>BPZ /</w:t>
          </w:r>
          <w:r w:rsidR="00486354">
            <w:t xml:space="preserve"> </w:t>
          </w:r>
          <w:r>
            <w:t>89409379</w:t>
          </w:r>
        </w:p>
        <w:p w14:paraId="443B956C" w14:textId="77777777" w:rsidR="00527BD4" w:rsidRPr="005819CE" w:rsidRDefault="00725292" w:rsidP="00A50CF6">
          <w:pPr>
            <w:pStyle w:val="Huisstijl-Kopje"/>
          </w:pPr>
          <w:r>
            <w:t>Uw kenmerk</w:t>
          </w:r>
        </w:p>
        <w:p w14:paraId="00503A58" w14:textId="75B39FFE" w:rsidR="00527BD4" w:rsidRPr="005819CE" w:rsidRDefault="00725292" w:rsidP="00A14D35">
          <w:pPr>
            <w:pStyle w:val="Huisstijl-Gegeven"/>
          </w:pPr>
          <w:r>
            <w:t>2024Z16728/2024D40363</w:t>
          </w:r>
        </w:p>
        <w:p w14:paraId="20DAEF61" w14:textId="77777777" w:rsidR="00527BD4" w:rsidRPr="005819CE" w:rsidRDefault="00527BD4" w:rsidP="00A50CF6">
          <w:pPr>
            <w:pStyle w:val="Huisstijl-Gegeven"/>
          </w:pPr>
        </w:p>
      </w:tc>
    </w:tr>
  </w:tbl>
  <w:p w14:paraId="3EBAFAA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766E2" w14:paraId="3F02D4E3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62D9D93" w14:textId="77777777" w:rsidR="00527BD4" w:rsidRPr="00BC3B53" w:rsidRDefault="0072529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766E2" w14:paraId="2BEC5AB7" w14:textId="77777777" w:rsidTr="009E2051">
      <w:tc>
        <w:tcPr>
          <w:tcW w:w="7520" w:type="dxa"/>
          <w:gridSpan w:val="2"/>
          <w:shd w:val="clear" w:color="auto" w:fill="auto"/>
        </w:tcPr>
        <w:p w14:paraId="6AADE30D" w14:textId="77777777" w:rsidR="00527BD4" w:rsidRPr="00983E8F" w:rsidRDefault="00527BD4" w:rsidP="00A50CF6">
          <w:pPr>
            <w:pStyle w:val="Huisstijl-Rubricering"/>
          </w:pPr>
        </w:p>
      </w:tc>
    </w:tr>
    <w:tr w:rsidR="009766E2" w14:paraId="458A5C48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04E1A8D" w14:textId="39906315" w:rsidR="00A14D35" w:rsidRDefault="00725292" w:rsidP="00A50CF6">
          <w:pPr>
            <w:pStyle w:val="Huisstijl-NAW"/>
          </w:pPr>
          <w:r>
            <w:t xml:space="preserve">De </w:t>
          </w:r>
          <w:r w:rsidR="00A14D35">
            <w:t>V</w:t>
          </w:r>
          <w:r>
            <w:t xml:space="preserve">oorzitter van de Tweede Kamer </w:t>
          </w:r>
        </w:p>
        <w:p w14:paraId="2560F506" w14:textId="65F4181E" w:rsidR="00527BD4" w:rsidRDefault="00725292" w:rsidP="00A50CF6">
          <w:pPr>
            <w:pStyle w:val="Huisstijl-NAW"/>
          </w:pPr>
          <w:r>
            <w:t>der Staten-Generaal</w:t>
          </w:r>
        </w:p>
        <w:p w14:paraId="13A4B927" w14:textId="77777777" w:rsidR="009766E2" w:rsidRDefault="00725292">
          <w:pPr>
            <w:pStyle w:val="Huisstijl-NAW"/>
          </w:pPr>
          <w:r>
            <w:t>Prinses Irenestraat 6</w:t>
          </w:r>
        </w:p>
        <w:p w14:paraId="315FDC12" w14:textId="1B4736DC" w:rsidR="009766E2" w:rsidRDefault="00725292">
          <w:pPr>
            <w:pStyle w:val="Huisstijl-NAW"/>
          </w:pPr>
          <w:r>
            <w:t xml:space="preserve">2595 BD  </w:t>
          </w:r>
          <w:r w:rsidR="00A14D35">
            <w:t>DEN HAAG</w:t>
          </w:r>
          <w:r w:rsidR="00486354">
            <w:t xml:space="preserve"> </w:t>
          </w:r>
        </w:p>
      </w:tc>
    </w:tr>
    <w:tr w:rsidR="009766E2" w14:paraId="56A69109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803036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766E2" w14:paraId="5416A0E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F16E175" w14:textId="77777777" w:rsidR="00527BD4" w:rsidRPr="007709EF" w:rsidRDefault="0072529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BD42184" w14:textId="7E4501E7" w:rsidR="00527BD4" w:rsidRPr="007709EF" w:rsidRDefault="000F3D47" w:rsidP="00A50CF6">
          <w:r>
            <w:t>28 oktober 2024</w:t>
          </w:r>
        </w:p>
      </w:tc>
    </w:tr>
    <w:tr w:rsidR="009766E2" w14:paraId="6856B33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3271FCD" w14:textId="77777777" w:rsidR="00527BD4" w:rsidRPr="007709EF" w:rsidRDefault="0072529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EFBAE34" w14:textId="7FE35B4C" w:rsidR="00527BD4" w:rsidRPr="007709EF" w:rsidRDefault="00725292" w:rsidP="00A50CF6">
          <w:r>
            <w:t>Planning Kamerbrieven vierde kwartaal 2024</w:t>
          </w:r>
          <w:r w:rsidR="00A84381">
            <w:t xml:space="preserve"> en 2025</w:t>
          </w:r>
        </w:p>
      </w:tc>
    </w:tr>
  </w:tbl>
  <w:p w14:paraId="612744C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5B260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65AA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AC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49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08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B21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A6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4B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09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43AA4F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9AA0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40A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0C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24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09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F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E0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946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373433">
    <w:abstractNumId w:val="10"/>
  </w:num>
  <w:num w:numId="2" w16cid:durableId="1315526039">
    <w:abstractNumId w:val="7"/>
  </w:num>
  <w:num w:numId="3" w16cid:durableId="88357092">
    <w:abstractNumId w:val="6"/>
  </w:num>
  <w:num w:numId="4" w16cid:durableId="1403407503">
    <w:abstractNumId w:val="5"/>
  </w:num>
  <w:num w:numId="5" w16cid:durableId="609556940">
    <w:abstractNumId w:val="4"/>
  </w:num>
  <w:num w:numId="6" w16cid:durableId="567109423">
    <w:abstractNumId w:val="8"/>
  </w:num>
  <w:num w:numId="7" w16cid:durableId="1814760186">
    <w:abstractNumId w:val="3"/>
  </w:num>
  <w:num w:numId="8" w16cid:durableId="2126851260">
    <w:abstractNumId w:val="2"/>
  </w:num>
  <w:num w:numId="9" w16cid:durableId="350113529">
    <w:abstractNumId w:val="1"/>
  </w:num>
  <w:num w:numId="10" w16cid:durableId="1878161170">
    <w:abstractNumId w:val="0"/>
  </w:num>
  <w:num w:numId="11" w16cid:durableId="1821649369">
    <w:abstractNumId w:val="9"/>
  </w:num>
  <w:num w:numId="12" w16cid:durableId="377778932">
    <w:abstractNumId w:val="11"/>
  </w:num>
  <w:num w:numId="13" w16cid:durableId="1728190270">
    <w:abstractNumId w:val="13"/>
  </w:num>
  <w:num w:numId="14" w16cid:durableId="12512079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42668"/>
    <w:rsid w:val="00053FB6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25D6"/>
    <w:rsid w:val="000C3EA9"/>
    <w:rsid w:val="000D0225"/>
    <w:rsid w:val="000D73D7"/>
    <w:rsid w:val="000E7895"/>
    <w:rsid w:val="000F1558"/>
    <w:rsid w:val="000F161D"/>
    <w:rsid w:val="000F3D47"/>
    <w:rsid w:val="00103045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55BF"/>
    <w:rsid w:val="0021612E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60DA"/>
    <w:rsid w:val="002F7ABD"/>
    <w:rsid w:val="00312597"/>
    <w:rsid w:val="00326894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2260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5DD0"/>
    <w:rsid w:val="003B7EE7"/>
    <w:rsid w:val="003C2CCB"/>
    <w:rsid w:val="003D39EC"/>
    <w:rsid w:val="003D681A"/>
    <w:rsid w:val="003E3DD5"/>
    <w:rsid w:val="003F07C6"/>
    <w:rsid w:val="003F1F6B"/>
    <w:rsid w:val="003F3757"/>
    <w:rsid w:val="003F38BD"/>
    <w:rsid w:val="003F44B7"/>
    <w:rsid w:val="004008E9"/>
    <w:rsid w:val="0041374D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2701"/>
    <w:rsid w:val="005D625B"/>
    <w:rsid w:val="005E5529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5F5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6B66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364"/>
    <w:rsid w:val="00714DC5"/>
    <w:rsid w:val="00715237"/>
    <w:rsid w:val="007239A1"/>
    <w:rsid w:val="00725292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557C5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1D7"/>
    <w:rsid w:val="00812DD8"/>
    <w:rsid w:val="00813082"/>
    <w:rsid w:val="008131C3"/>
    <w:rsid w:val="00814D03"/>
    <w:rsid w:val="00821FC1"/>
    <w:rsid w:val="00823AE2"/>
    <w:rsid w:val="0083178B"/>
    <w:rsid w:val="00833572"/>
    <w:rsid w:val="00833695"/>
    <w:rsid w:val="008336B7"/>
    <w:rsid w:val="00833A8E"/>
    <w:rsid w:val="00842CD8"/>
    <w:rsid w:val="008431FA"/>
    <w:rsid w:val="00846BAA"/>
    <w:rsid w:val="008470C6"/>
    <w:rsid w:val="00847444"/>
    <w:rsid w:val="008547BA"/>
    <w:rsid w:val="008553C7"/>
    <w:rsid w:val="00857FEB"/>
    <w:rsid w:val="008601AF"/>
    <w:rsid w:val="00872271"/>
    <w:rsid w:val="008738D4"/>
    <w:rsid w:val="00883137"/>
    <w:rsid w:val="008A1F5D"/>
    <w:rsid w:val="008A22D2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D4C02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766E2"/>
    <w:rsid w:val="00981768"/>
    <w:rsid w:val="00983E8F"/>
    <w:rsid w:val="00985900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6D2E"/>
    <w:rsid w:val="009C7CA1"/>
    <w:rsid w:val="009D043D"/>
    <w:rsid w:val="009E2051"/>
    <w:rsid w:val="009E472F"/>
    <w:rsid w:val="009E6B46"/>
    <w:rsid w:val="009F3259"/>
    <w:rsid w:val="00A056DE"/>
    <w:rsid w:val="00A128AD"/>
    <w:rsid w:val="00A14D35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4381"/>
    <w:rsid w:val="00A850A2"/>
    <w:rsid w:val="00A91FA3"/>
    <w:rsid w:val="00A927D3"/>
    <w:rsid w:val="00AA7FC9"/>
    <w:rsid w:val="00AB237D"/>
    <w:rsid w:val="00AB4AC5"/>
    <w:rsid w:val="00AB5933"/>
    <w:rsid w:val="00AC78D6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2FD"/>
    <w:rsid w:val="00B259C8"/>
    <w:rsid w:val="00B26CCF"/>
    <w:rsid w:val="00B30FC2"/>
    <w:rsid w:val="00B331A2"/>
    <w:rsid w:val="00B425F0"/>
    <w:rsid w:val="00B42DFA"/>
    <w:rsid w:val="00B517E2"/>
    <w:rsid w:val="00B531DD"/>
    <w:rsid w:val="00B55014"/>
    <w:rsid w:val="00B62232"/>
    <w:rsid w:val="00B70BF3"/>
    <w:rsid w:val="00B71DC2"/>
    <w:rsid w:val="00B916F6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6B85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CF7FF4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46D42"/>
    <w:rsid w:val="00D516BE"/>
    <w:rsid w:val="00D5423B"/>
    <w:rsid w:val="00D54F4E"/>
    <w:rsid w:val="00D604B3"/>
    <w:rsid w:val="00D60BA4"/>
    <w:rsid w:val="00D62419"/>
    <w:rsid w:val="00D63581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5262F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27FC"/>
    <w:rsid w:val="00EC0DFF"/>
    <w:rsid w:val="00EC237D"/>
    <w:rsid w:val="00EC48B6"/>
    <w:rsid w:val="00EC4D0E"/>
    <w:rsid w:val="00EC4E2B"/>
    <w:rsid w:val="00EC58D9"/>
    <w:rsid w:val="00ED061E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56D5D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C2982"/>
  <w15:docId w15:val="{8ADF265A-A629-4081-B135-680AE1B3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table" w:styleId="Rastertabel1licht">
    <w:name w:val="Grid Table 1 Light"/>
    <w:basedOn w:val="Standaardtabel"/>
    <w:uiPriority w:val="46"/>
    <w:rsid w:val="009859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semiHidden/>
    <w:unhideWhenUsed/>
    <w:rsid w:val="008121D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121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121D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121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121D7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C61290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343DEA"/>
    <w:rsid w:val="003A1B16"/>
    <w:rsid w:val="008131C3"/>
    <w:rsid w:val="0082208E"/>
    <w:rsid w:val="008C4D78"/>
    <w:rsid w:val="009E6B46"/>
    <w:rsid w:val="00A444E4"/>
    <w:rsid w:val="00AB4AC5"/>
    <w:rsid w:val="00AC78D6"/>
    <w:rsid w:val="00C61290"/>
    <w:rsid w:val="00D46D42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785</ap:Words>
  <ap:Characters>6232</ap:Characters>
  <ap:DocSecurity>4</ap:DocSecurity>
  <ap:Lines>194</ap:Lines>
  <ap:Paragraphs>76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2024-10-28T13:57:00.0000000Z</dcterms:created>
  <dcterms:modified xsi:type="dcterms:W3CDTF">2024-10-28T13:57:00.0000000Z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steenhoveng</vt:lpwstr>
  </property>
  <property fmtid="{D5CDD505-2E9C-101B-9397-08002B2CF9AE}" pid="3" name="AUTHOR_ID">
    <vt:lpwstr>steenhoveng</vt:lpwstr>
  </property>
  <property fmtid="{D5CDD505-2E9C-101B-9397-08002B2CF9AE}" pid="4" name="A_ADRES">
    <vt:lpwstr>De voorzitter van de Tweede Kamer der Staten-Generaal
Prinses Irenestraat 6
2595 BD 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>2024Z16728/2024D40363</vt:lpwstr>
  </property>
  <property fmtid="{D5CDD505-2E9C-101B-9397-08002B2CF9AE}" pid="8" name="DOCNAME">
    <vt:lpwstr>Planning Kamerbrieven vierde kwartaal 2024</vt:lpwstr>
  </property>
  <property fmtid="{D5CDD505-2E9C-101B-9397-08002B2CF9AE}" pid="9" name="documentId">
    <vt:lpwstr>89409379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steenhoveng</vt:lpwstr>
  </property>
</Properties>
</file>