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F3ACA" w:rsidR="007F3ACA" w:rsidP="00EA44B5" w:rsidRDefault="007F3ACA" w14:paraId="6B14A071" w14:textId="0DABFF0E">
      <w:pPr>
        <w:spacing w:line="240" w:lineRule="auto"/>
        <w:rPr>
          <w:b/>
          <w:bCs/>
        </w:rPr>
      </w:pPr>
      <w:r w:rsidRPr="007F3ACA">
        <w:rPr>
          <w:b/>
          <w:bCs/>
        </w:rPr>
        <w:t>AH 409</w:t>
      </w:r>
    </w:p>
    <w:p w:rsidRPr="007F3ACA" w:rsidR="00EA44B5" w:rsidP="00EA44B5" w:rsidRDefault="00EA44B5" w14:paraId="0E32541D" w14:textId="115C0272">
      <w:pPr>
        <w:spacing w:line="240" w:lineRule="auto"/>
        <w:rPr>
          <w:b/>
          <w:bCs/>
        </w:rPr>
      </w:pPr>
      <w:r w:rsidRPr="007F3ACA">
        <w:rPr>
          <w:b/>
          <w:bCs/>
        </w:rPr>
        <w:t>2024Z03120</w:t>
      </w:r>
    </w:p>
    <w:p w:rsidR="007F3ACA" w:rsidP="00EA44B5" w:rsidRDefault="007F3ACA" w14:paraId="18864B18" w14:textId="77777777">
      <w:pPr>
        <w:spacing w:line="240" w:lineRule="auto"/>
      </w:pPr>
    </w:p>
    <w:p w:rsidRPr="000E1911" w:rsidR="007F3ACA" w:rsidP="000E1911" w:rsidRDefault="007F3ACA" w14:paraId="37400D07" w14:textId="56095D3E">
      <w:pPr>
        <w:rPr>
          <w:rFonts w:ascii="Times New Roman" w:hAnsi="Times New Roman"/>
          <w:sz w:val="24"/>
          <w:szCs w:val="24"/>
        </w:rPr>
      </w:pPr>
      <w:r w:rsidRPr="007F3ACA">
        <w:rPr>
          <w:rFonts w:ascii="Times New Roman" w:hAnsi="Times New Roman"/>
          <w:bCs/>
          <w:sz w:val="24"/>
          <w:szCs w:val="24"/>
        </w:rPr>
        <w:t>Antwoord van staatssecretaris van Marum (Binnenlandse Zaken en Koninkrijksrelaties)</w:t>
      </w:r>
      <w:r w:rsidR="000E1911">
        <w:rPr>
          <w:rFonts w:ascii="Times New Roman" w:hAnsi="Times New Roman"/>
          <w:bCs/>
          <w:sz w:val="24"/>
          <w:szCs w:val="24"/>
        </w:rPr>
        <w:t xml:space="preserve">, mede namens de </w:t>
      </w:r>
      <w:r w:rsidRPr="00D31852" w:rsidR="000E1911">
        <w:rPr>
          <w:rFonts w:ascii="Times New Roman" w:hAnsi="Times New Roman"/>
          <w:sz w:val="24"/>
          <w:szCs w:val="24"/>
        </w:rPr>
        <w:t>staatssecretaris</w:t>
      </w:r>
      <w:r w:rsidR="000E1911">
        <w:rPr>
          <w:rFonts w:ascii="Times New Roman" w:hAnsi="Times New Roman"/>
          <w:sz w:val="24"/>
          <w:szCs w:val="24"/>
        </w:rPr>
        <w:t>sen</w:t>
      </w:r>
      <w:r w:rsidRPr="00D31852" w:rsidR="000E1911">
        <w:rPr>
          <w:rFonts w:ascii="Times New Roman" w:hAnsi="Times New Roman"/>
          <w:sz w:val="24"/>
          <w:szCs w:val="24"/>
        </w:rPr>
        <w:t xml:space="preserve"> van Financiën</w:t>
      </w:r>
      <w:r w:rsidRPr="007F3ACA">
        <w:rPr>
          <w:rFonts w:ascii="Times New Roman" w:hAnsi="Times New Roman"/>
          <w:bCs/>
          <w:sz w:val="24"/>
          <w:szCs w:val="24"/>
        </w:rPr>
        <w:t xml:space="preserve"> (ontvangen</w:t>
      </w:r>
      <w:r>
        <w:rPr>
          <w:rFonts w:ascii="Times New Roman" w:hAnsi="Times New Roman"/>
          <w:bCs/>
          <w:sz w:val="24"/>
          <w:szCs w:val="24"/>
        </w:rPr>
        <w:t xml:space="preserve"> 28 oktober 2024)</w:t>
      </w:r>
    </w:p>
    <w:p w:rsidR="00EA44B5" w:rsidP="00EA44B5" w:rsidRDefault="00EA44B5" w14:paraId="3BD1910F" w14:textId="77777777"/>
    <w:p w:rsidRPr="001D4184" w:rsidR="007F3ACA" w:rsidP="000B0079" w:rsidRDefault="007F3ACA" w14:paraId="66134E30" w14:textId="39C4B909">
      <w:pPr>
        <w:rPr>
          <w:sz w:val="24"/>
        </w:rPr>
      </w:pPr>
      <w:r w:rsidRPr="001D4184">
        <w:rPr>
          <w:rFonts w:ascii="Times New Roman" w:hAnsi="Times New Roman"/>
          <w:sz w:val="24"/>
        </w:rPr>
        <w:t>Zie ook Aanhangsel Handelingen, vergaderjaar 202</w:t>
      </w:r>
      <w:r>
        <w:rPr>
          <w:rFonts w:ascii="Times New Roman" w:hAnsi="Times New Roman"/>
          <w:sz w:val="24"/>
        </w:rPr>
        <w:t>3</w:t>
      </w:r>
      <w:r w:rsidRPr="001D4184">
        <w:rPr>
          <w:rFonts w:ascii="Times New Roman" w:hAnsi="Times New Roman"/>
          <w:sz w:val="24"/>
        </w:rPr>
        <w:t>-202</w:t>
      </w:r>
      <w:r>
        <w:rPr>
          <w:rFonts w:ascii="Times New Roman" w:hAnsi="Times New Roman"/>
          <w:sz w:val="24"/>
        </w:rPr>
        <w:t>4</w:t>
      </w:r>
      <w:r w:rsidRPr="001D4184">
        <w:rPr>
          <w:rFonts w:ascii="Times New Roman" w:hAnsi="Times New Roman"/>
          <w:sz w:val="24"/>
        </w:rPr>
        <w:t>, nr.</w:t>
      </w:r>
      <w:r>
        <w:rPr>
          <w:rFonts w:ascii="Times New Roman" w:hAnsi="Times New Roman"/>
          <w:sz w:val="24"/>
        </w:rPr>
        <w:t xml:space="preserve"> 1344</w:t>
      </w:r>
    </w:p>
    <w:p w:rsidR="007F3ACA" w:rsidP="00EA44B5" w:rsidRDefault="007F3ACA" w14:paraId="1703BBD6" w14:textId="64568403"/>
    <w:p w:rsidR="007F3ACA" w:rsidP="00EA44B5" w:rsidRDefault="007F3ACA" w14:paraId="25AC9D31" w14:textId="77777777"/>
    <w:p w:rsidR="00EA44B5" w:rsidP="00EA44B5" w:rsidRDefault="00EA44B5" w14:paraId="71B6D2F3" w14:textId="77777777">
      <w:r>
        <w:t>1.</w:t>
      </w:r>
    </w:p>
    <w:p w:rsidR="00EA44B5" w:rsidP="00EA44B5" w:rsidRDefault="00EA44B5" w14:paraId="0DC7A0B4" w14:textId="77777777">
      <w:r>
        <w:t>Klopt het dat het op een bankrekening hebben van immateriële schadevergoeding iemand uit kan sluiten van kwijtschelding voor waterschaps- en gemeentebelasting omdat dit gezien wordt als vermogen?</w:t>
      </w:r>
    </w:p>
    <w:p w:rsidR="00EA44B5" w:rsidP="00EA44B5" w:rsidRDefault="00EA44B5" w14:paraId="3E6CC693" w14:textId="77777777"/>
    <w:p w:rsidR="00EA44B5" w:rsidP="00EA44B5" w:rsidRDefault="00EA44B5" w14:paraId="6E0ABD2E" w14:textId="77777777">
      <w:r>
        <w:t>Ja, de immateriële schadevergoeding van het IMG wordt aangemerkt als vermogen. Gemeenten en waterschappen hebben de mogelijkheid – als iemand niet in aanmerking komt voor kwijtschelding − om niet over te gaan tot innen als voortzetting van de invordering van de openstaande lokale heffing niet gewenst is. Deze afweging wordt op gemeentelijk niveau of op niveau van het waterschap gemaakt. Hoewel dit raakt aan de autonomie van gemeenten en waterschappen waar ik niet in kan treden, is uit contacten met de desbetreffende gemeenten en het desbetreffende waterschap gebleken dat ze deze mogelijkheid in het geval van schadevergoeding door het IMG en de NCG welwillend toepassen. Gemeenten en het waterschap benaderen bewoners actief om na te gaan of het teveel aan vermogen samenhangt met de schadeafhandeling door het IMG en/of de versterkingsoperatie door de NCG. Als dit onverhoopt niet gebeurt, kunnen gedupeerden waarvan de aanvraag voor kwijtschelding van lokale heffingen is afgewezen, dit kenbaar maken bij het Noordelijk Belastingkantoor. Het Noordelijk Belastingkantoor, voert de inning van de lokale heffingen namens de desbetreffende gemeenten en het desbetreffende waterschap uit. Zie de beantwoording op de vraag van het Eerste Kamerlid Kluit (GroenLinks).</w:t>
      </w:r>
    </w:p>
    <w:p w:rsidR="00EA44B5" w:rsidP="00EA44B5" w:rsidRDefault="00EA44B5" w14:paraId="2D088E5D" w14:textId="77777777"/>
    <w:p w:rsidR="00EA44B5" w:rsidP="00EA44B5" w:rsidRDefault="00EA44B5" w14:paraId="3C4A5AFB" w14:textId="77777777">
      <w:r>
        <w:t>2.</w:t>
      </w:r>
    </w:p>
    <w:p w:rsidR="00EA44B5" w:rsidP="00EA44B5" w:rsidRDefault="00EA44B5" w14:paraId="0B9116D2" w14:textId="77777777">
      <w:r>
        <w:t>Indien dit klopt, bent u van mening dat dit rechtvaardig is richting Groningers? Zo nee, welke stappen neemt u om dit recht te zetten?</w:t>
      </w:r>
    </w:p>
    <w:p w:rsidR="00EA44B5" w:rsidP="00EA44B5" w:rsidRDefault="00EA44B5" w14:paraId="58251C47" w14:textId="77777777"/>
    <w:p w:rsidR="00EA44B5" w:rsidP="00EA44B5" w:rsidRDefault="00EA44B5" w14:paraId="22BAAD28" w14:textId="77777777">
      <w:r>
        <w:t xml:space="preserve">Zie het antwoord op vragen 1 en 3. </w:t>
      </w:r>
    </w:p>
    <w:p w:rsidR="00EA44B5" w:rsidP="00EA44B5" w:rsidRDefault="00EA44B5" w14:paraId="6E919771" w14:textId="77777777"/>
    <w:p w:rsidR="00EA44B5" w:rsidP="00EA44B5" w:rsidRDefault="00EA44B5" w14:paraId="626BC7EE" w14:textId="77777777">
      <w:r>
        <w:t>3.</w:t>
      </w:r>
    </w:p>
    <w:p w:rsidR="00EA44B5" w:rsidP="00EA44B5" w:rsidRDefault="00EA44B5" w14:paraId="5BE1D54B" w14:textId="77777777">
      <w:r>
        <w:t>Waar kunnen bewoners zich melden die hier tegenaan lopen?</w:t>
      </w:r>
    </w:p>
    <w:p w:rsidR="00EA44B5" w:rsidP="00EA44B5" w:rsidRDefault="00EA44B5" w14:paraId="01C0844D" w14:textId="77777777"/>
    <w:p w:rsidR="00EA44B5" w:rsidP="00EA44B5" w:rsidRDefault="00EA44B5" w14:paraId="51A04095" w14:textId="77777777">
      <w:r>
        <w:t xml:space="preserve">Zie ook het antwoord op vraag 1. </w:t>
      </w:r>
    </w:p>
    <w:p w:rsidR="00EA44B5" w:rsidP="00EA44B5" w:rsidRDefault="00EA44B5" w14:paraId="0BDA8055" w14:textId="77777777"/>
    <w:p w:rsidR="00EA44B5" w:rsidP="00EA44B5" w:rsidRDefault="00EA44B5" w14:paraId="5879EC15" w14:textId="77777777">
      <w:r>
        <w:t xml:space="preserve">4. </w:t>
      </w:r>
    </w:p>
    <w:p w:rsidR="00EA44B5" w:rsidP="00EA44B5" w:rsidRDefault="00EA44B5" w14:paraId="5862CC1A" w14:textId="77777777">
      <w:r>
        <w:t>Hoe zorgt u dat immateriële schadevergoeding net als de energietoeslag niet gezien wordt als vermogen bij het aanvragen van kwijtschelding van waterschaps- en gemeentebelasting?</w:t>
      </w:r>
    </w:p>
    <w:p w:rsidR="00EA44B5" w:rsidP="00EA44B5" w:rsidRDefault="00EA44B5" w14:paraId="613CDF8E" w14:textId="77777777"/>
    <w:p w:rsidR="00EA44B5" w:rsidP="00EA44B5" w:rsidRDefault="00EA44B5" w14:paraId="775929D1" w14:textId="77777777">
      <w:r>
        <w:t>De systematiek achter de energietoeslag is niet gelijk aan die van kwijtschelding van lokale heffingen, waardoor eenzelfde oplossing niet mogelijk is. Zie verder het antwoord op vraag 1.</w:t>
      </w:r>
    </w:p>
    <w:p w:rsidR="00EA44B5" w:rsidP="00EA44B5" w:rsidRDefault="00EA44B5" w14:paraId="32A631F6" w14:textId="77777777"/>
    <w:p w:rsidR="00EA44B5" w:rsidP="00EA44B5" w:rsidRDefault="00EA44B5" w14:paraId="2CD767BC" w14:textId="77777777">
      <w:r>
        <w:t>5.</w:t>
      </w:r>
    </w:p>
    <w:p w:rsidR="00EA44B5" w:rsidP="00EA44B5" w:rsidRDefault="00EA44B5" w14:paraId="5EB36811" w14:textId="77777777">
      <w:r>
        <w:t>Hoe wordt voorkomen dat inwoners te maken krijgen met terugvorderingen?</w:t>
      </w:r>
    </w:p>
    <w:p w:rsidR="00EA44B5" w:rsidP="00EA44B5" w:rsidRDefault="00EA44B5" w14:paraId="23AC4D0A" w14:textId="77777777"/>
    <w:p w:rsidR="00EA44B5" w:rsidP="00EA44B5" w:rsidRDefault="00EA44B5" w14:paraId="24142B96" w14:textId="77777777">
      <w:r>
        <w:t xml:space="preserve">Bij het aanvragen van kwijtschelding van waterschaps- en gemeentebelastingen vinden geen terugvorderingen plaats, het gaat immers om een heffing en geen uitbetaling aan de burger. Als wordt gevraagd naar hoe negatieve effecten voor burgers worden voorkomen, zie de antwoorden op vragen 1 en 3. </w:t>
      </w:r>
    </w:p>
    <w:p w:rsidR="00EA44B5" w:rsidP="00EA44B5" w:rsidRDefault="00EA44B5" w14:paraId="34D8E0C0" w14:textId="77777777"/>
    <w:p w:rsidR="00EA44B5" w:rsidP="00EA44B5" w:rsidRDefault="00EA44B5" w14:paraId="7F32F59F" w14:textId="77777777">
      <w:r>
        <w:t>6.</w:t>
      </w:r>
    </w:p>
    <w:p w:rsidR="00EA44B5" w:rsidP="00EA44B5" w:rsidRDefault="00EA44B5" w14:paraId="6105C6BA" w14:textId="77777777">
      <w:r>
        <w:t>Zijn er meer voorbeelden bekend van gedupeerden die problemen ervaren met belastingen en toeslagen door het ontvangen van compensatie en schadeloosstellingen?</w:t>
      </w:r>
    </w:p>
    <w:p w:rsidR="00EA44B5" w:rsidP="00EA44B5" w:rsidRDefault="00EA44B5" w14:paraId="35A5B20D" w14:textId="77777777"/>
    <w:p w:rsidR="00EA44B5" w:rsidP="00EA44B5" w:rsidRDefault="00EA44B5" w14:paraId="30AC6674" w14:textId="77777777">
      <w:r>
        <w:t xml:space="preserve">De NCG en het IMG zetten zich in om te voorkomen dat deze problemen zullen ontstaan. Zo houdt de NCG in haar besluitvorming al rekening met het peilmoment voor het bepalen van de hoogte van het bank- en spaartegoed in het kader van kwijtschelding van lokale heffingen en toeslagen. De NCG en het IMG hebben geen aanvragen voor compensatie van het verlies van kwijtschelding van lokale heffingen ontvangen. Deze aanvragen worden rechtstreeks bij het Noordelijk Belastingkantoor ingediend. </w:t>
      </w:r>
    </w:p>
    <w:p w:rsidR="00EA44B5" w:rsidP="00EA44B5" w:rsidRDefault="00EA44B5" w14:paraId="60E33FCA" w14:textId="77777777"/>
    <w:p w:rsidR="00EA44B5" w:rsidP="00EA44B5" w:rsidRDefault="00EA44B5" w14:paraId="09130573" w14:textId="77777777">
      <w:r>
        <w:t>De NCG heeft drie aanvragen ontvangen voor de compensatie van huurtoeslag. De NCG verwacht dat het aantal aanvragen voor compensatie zal blijven toenemen, omdat de NCG vanaf 1 juli 2023 veel meer en hogere vergoedingen rechtstreeks aan de gedupeerde betaalt. Het IMG ontvangt jaarlijks een klein aantal aanvragen voor het vergoeden van fiscale gevolgschade. Het IMG schat in dat het de afgelopen tweeëneenhalf jaar nog geen tien aanvragen van (fiscale) gevolgschade heeft behandeld. Het gaat om toegekende vergoedingen tussen de € 20 en € 400. Het IMG heeft een aanvraag ontvangen voor compensatie van het verlies van kindgebonden budget. De geleden fiscale gevolgschade is door het IMG en de NCG vergoed. Zie ook de beantwoording op de vraag van het Eerste Kamerlid Kluit (GroenLinks).</w:t>
      </w:r>
    </w:p>
    <w:p w:rsidR="00B665A3" w:rsidRDefault="00B665A3" w14:paraId="369EAA21" w14:textId="77777777"/>
    <w:sectPr w:rsidR="00B665A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4B5"/>
    <w:rsid w:val="000E1911"/>
    <w:rsid w:val="007F3ACA"/>
    <w:rsid w:val="00B665A3"/>
    <w:rsid w:val="00EA44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629CF"/>
  <w15:chartTrackingRefBased/>
  <w15:docId w15:val="{202E0E60-21CC-44E5-92FC-5E542D186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A44B5"/>
    <w:p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642</ap:Words>
  <ap:Characters>3535</ap:Characters>
  <ap:DocSecurity>0</ap:DocSecurity>
  <ap:Lines>29</ap:Lines>
  <ap:Paragraphs>8</ap:Paragraphs>
  <ap:ScaleCrop>false</ap:ScaleCrop>
  <ap:LinksUpToDate>false</ap:LinksUpToDate>
  <ap:CharactersWithSpaces>4169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2024-10-28T15:07:00.0000000Z</dcterms:created>
  <dcterms:modified xsi:type="dcterms:W3CDTF">2024-10-28T15:07:00.0000000Z</dcterms:modified>
  <version/>
  <category/>
</coreProperties>
</file>