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6B4" w:rsidP="001556B4" w:rsidRDefault="001556B4" w14:paraId="67D1F876" w14:textId="77777777">
      <w:r>
        <w:t xml:space="preserve">Op 11 april 2023 vond in de Eerste Kamer het debat plaats over het wetsvoorstel Versterking gebouwen in de provincie Groningen en de Novelle verbetering uitvoerbaarheid. Tijdens dit debat stelde het Eerste Kamerlid Kluit (GroenLinks) de vraag of de staatssecretaris van Economische Zaken en Klimaat kon aangeven welke mogelijkheden hij zag om te voorkomen dat de extra gelden die worden overgemaakt impact hebben op de toeslagenpositie, de uitkeringssituatie of de inkomenssituatie van mensen (kenmerk EK 35.603/36.094). De staatssecretaris van Economische Zaken en Klimaat heeft in dit debat toegezegd u hierover een Kamerbrief te sturen. Tijdens het proces voor de beantwoording van deze vraag stelde het Tweede Kamerlid Beckerman (SP) op 28 februari 2024 vragen over Groningers die door het ontvangen van een immateriële schadevergoeding buitengesloten worden van kwijtschelding van waterschaps- en gemeentebelasting (kenmerk TK 2024Z03120). Op 21 juni 2024 stelde het Tweede Kamerlid Beckerman (SP) aanvullende vragen over Groningers die door een ZAV-vergoeding uitgesloten worden van toeslagen (kenmerk TK 2024Z11072). Als gevolg van de kabinetswisseling willen wij bovenstaande vragen die op dezelfde problematiek toezien gezamenlijk in deze Kamerbrief beantwoorden. </w:t>
      </w:r>
    </w:p>
    <w:p w:rsidR="001556B4" w:rsidP="001556B4" w:rsidRDefault="001556B4" w14:paraId="7D35AFFD" w14:textId="77777777"/>
    <w:p w:rsidR="001556B4" w:rsidP="001556B4" w:rsidRDefault="001556B4" w14:paraId="0FAD770C" w14:textId="77777777">
      <w:r>
        <w:t xml:space="preserve">Mede namens de minister van Binnenlandse Zaken en Koninkrijksrelaties en de minister van Infrastructuur en Waterstaat. </w:t>
      </w:r>
    </w:p>
    <w:p w:rsidR="001556B4" w:rsidP="001556B4" w:rsidRDefault="001556B4" w14:paraId="0CBCBDD6" w14:textId="77777777"/>
    <w:p w:rsidR="001556B4" w:rsidP="001556B4" w:rsidRDefault="001556B4" w14:paraId="0460CF47" w14:textId="77777777"/>
    <w:p w:rsidR="001556B4" w:rsidP="001556B4" w:rsidRDefault="001556B4" w14:paraId="3FCB703E" w14:textId="77777777"/>
    <w:p w:rsidR="001556B4" w:rsidP="001556B4" w:rsidRDefault="001556B4" w14:paraId="201D5FDE" w14:textId="77777777"/>
    <w:p w:rsidR="001556B4" w:rsidP="001556B4" w:rsidRDefault="001556B4" w14:paraId="7A9DC885" w14:textId="77777777">
      <w:r>
        <w:t>Eddie van Marum</w:t>
      </w:r>
    </w:p>
    <w:p w:rsidR="001556B4" w:rsidP="001556B4" w:rsidRDefault="001556B4" w14:paraId="122299E5" w14:textId="77777777">
      <w:r>
        <w:t>Staatssecretaris Binnenlandse Zaken en Koninkrijksrelaties - Herstel Groningen</w:t>
      </w:r>
    </w:p>
    <w:p w:rsidR="001556B4" w:rsidP="001556B4" w:rsidRDefault="001556B4" w14:paraId="5476982B" w14:textId="77777777"/>
    <w:p w:rsidR="001556B4" w:rsidP="001556B4" w:rsidRDefault="001556B4" w14:paraId="4120C3F5" w14:textId="77777777"/>
    <w:p w:rsidR="001556B4" w:rsidP="001556B4" w:rsidRDefault="001556B4" w14:paraId="64B88961" w14:textId="77777777"/>
    <w:p w:rsidR="001556B4" w:rsidP="001556B4" w:rsidRDefault="001556B4" w14:paraId="2FE4F7EF" w14:textId="77777777"/>
    <w:p w:rsidR="001556B4" w:rsidP="001556B4" w:rsidRDefault="001556B4" w14:paraId="167B2D53" w14:textId="77777777">
      <w:r>
        <w:t xml:space="preserve">Folkert Idsinga </w:t>
      </w:r>
    </w:p>
    <w:p w:rsidR="001556B4" w:rsidP="001556B4" w:rsidRDefault="001556B4" w14:paraId="0E868FE3" w14:textId="77777777">
      <w:r>
        <w:t>Staatssecretaris Financiën - Fiscaliteit en Belastingdienst</w:t>
      </w:r>
    </w:p>
    <w:p w:rsidR="001556B4" w:rsidP="001556B4" w:rsidRDefault="001556B4" w14:paraId="5B4ABCEC" w14:textId="77777777"/>
    <w:p w:rsidR="001556B4" w:rsidP="001556B4" w:rsidRDefault="001556B4" w14:paraId="66B3AC20" w14:textId="77777777"/>
    <w:p w:rsidR="001556B4" w:rsidP="001556B4" w:rsidRDefault="001556B4" w14:paraId="26DFBF69" w14:textId="77777777"/>
    <w:p w:rsidR="001556B4" w:rsidP="001556B4" w:rsidRDefault="001556B4" w14:paraId="5D3E922F" w14:textId="77777777"/>
    <w:p w:rsidR="001556B4" w:rsidP="001556B4" w:rsidRDefault="001556B4" w14:paraId="447AF6DB" w14:textId="77777777">
      <w:r>
        <w:t xml:space="preserve">Nora </w:t>
      </w:r>
      <w:proofErr w:type="spellStart"/>
      <w:r>
        <w:t>Achahbar</w:t>
      </w:r>
      <w:proofErr w:type="spellEnd"/>
      <w:r>
        <w:t xml:space="preserve"> </w:t>
      </w:r>
    </w:p>
    <w:p w:rsidR="001556B4" w:rsidP="001556B4" w:rsidRDefault="001556B4" w14:paraId="3C5D0AF9" w14:textId="77777777">
      <w:r>
        <w:t>Staatssecretaris van Financiën – Toeslagen en Douane</w:t>
      </w:r>
    </w:p>
    <w:p w:rsidR="001556B4" w:rsidP="001556B4" w:rsidRDefault="001556B4" w14:paraId="587ABD02" w14:textId="77777777"/>
    <w:p w:rsidR="001556B4" w:rsidP="001556B4" w:rsidRDefault="001556B4" w14:paraId="7FAAAED9" w14:textId="59860A8B">
      <w:r>
        <w:lastRenderedPageBreak/>
        <w:t>EK 35.603/36.094</w:t>
      </w:r>
    </w:p>
    <w:p w:rsidR="001556B4" w:rsidP="001556B4" w:rsidRDefault="001556B4" w14:paraId="5202AFCB" w14:textId="77777777"/>
    <w:p w:rsidR="001556B4" w:rsidP="001556B4" w:rsidRDefault="001556B4" w14:paraId="4C1EED6A" w14:textId="77777777">
      <w:r>
        <w:t>Kan de staatssecretaris van Economische Zaken en Klimaat aangeven welke mogelijkheden hij ziet om te voorkomen dat de extra gelden die worden overgemaakt impact hebben op de toeslagenpositie, de uitkeringssituatie of de inkomenssituatie van mensen?</w:t>
      </w:r>
    </w:p>
    <w:p w:rsidR="001556B4" w:rsidP="001556B4" w:rsidRDefault="001556B4" w14:paraId="5986E036" w14:textId="77777777"/>
    <w:p w:rsidR="001556B4" w:rsidP="001556B4" w:rsidRDefault="001556B4" w14:paraId="26545641" w14:textId="72E8F246">
      <w:r>
        <w:t xml:space="preserve">De afhandeling van de aardbevingsschade door de gaswinning in Groningen en Noord-Drenthe (aardbevingsgebied) bestaat uit de schadeafhandeling en een versterkingsoperatie. De schadeafhandeling wordt uitgevoerd door het Instituut Mijnbouw Schade Groningen (IMG). De schadeafhandeling bestaat uit het uitkeren van schadevergoedingen in geld en het daadwerkelijk herstel van schade. De versterkingsoperatie wordt uitgevoerd door de Nationaal Coördinator Groningen (NCG). De versterkingsoperatie ziet toe opdat gebouwen worden versterkt of gesloopt en opnieuw gebouwd, zodat deze gebouwen aan de veiligheidsnorm voldoen. Deze twee operaties worden uitgevoerd door herstel in natura aan te bieden of gefinancierd in de vorm van vergoedingen in geld. </w:t>
      </w:r>
    </w:p>
    <w:p w:rsidR="001556B4" w:rsidP="001556B4" w:rsidRDefault="001556B4" w14:paraId="0C7DBEE7" w14:textId="77777777"/>
    <w:p w:rsidR="001556B4" w:rsidP="001556B4" w:rsidRDefault="001556B4" w14:paraId="4F115BBD" w14:textId="30052C99">
      <w:r>
        <w:t xml:space="preserve">Het vermogen van een gedupeerde kan toenemen als gevolg van de schadeafhandeling of versterkingsoperatie, dan wel herstel in natura en vergoedingen in de vorm van geld. Als het totale vermogen van een gedupeerde hoger ligt dan het </w:t>
      </w:r>
      <w:proofErr w:type="spellStart"/>
      <w:r>
        <w:t>heffingvrije</w:t>
      </w:r>
      <w:proofErr w:type="spellEnd"/>
      <w:r>
        <w:t xml:space="preserve"> vermogen in de inkomstenbelasting of de vermogensgrens voor inkomensafhankelijke regelingen kan dit effect hebben op de fiscale positie en de toeslagen- en uitkeringssituatie van de gedupeerde. Dit wordt fiscale gevolgschade genoemd. Omdat het niet wenselijk is dat de gedupeerde (grote) negatieve effecten ervaren van de schadeafhandeling en versterkingsoperatie, zijn er in 2018 afspraken gemaakt over de compensatie van de geleden fiscale gevolgschade aan de gedupeerde.  Op grond van deze afspraken is het beleidsverantwoordelijke ministerie voor het aardbevingsdossier verantwoordelijk voor de compensatie van deze fiscale gevolgschade. Doordat de schadeafhandeling en versterkingsoperatie in omvang en systematiek zijn veranderd, is er behoefte aan preventieve oplossingen voor fiscale gevolgschade. Deze preventieve oplossing draagt bij aan een verlaging van de lasten voor de gedupeerde. Daarom zijn de afspraken uit 2018 gedeeltelijk aangepast. Hieronder worden de verschillende situaties met bijbehorende afspraken toegelicht. </w:t>
      </w:r>
    </w:p>
    <w:p w:rsidR="001556B4" w:rsidP="001556B4" w:rsidRDefault="001556B4" w14:paraId="67F947DC" w14:textId="77777777"/>
    <w:p w:rsidRPr="001556B4" w:rsidR="001556B4" w:rsidP="001556B4" w:rsidRDefault="001556B4" w14:paraId="6146B9D5" w14:textId="77777777">
      <w:pPr>
        <w:rPr>
          <w:i/>
          <w:iCs/>
        </w:rPr>
      </w:pPr>
      <w:r w:rsidRPr="001556B4">
        <w:rPr>
          <w:i/>
          <w:iCs/>
        </w:rPr>
        <w:t>Tegemoetkomingen in natura</w:t>
      </w:r>
    </w:p>
    <w:p w:rsidR="001556B4" w:rsidP="001556B4" w:rsidRDefault="001556B4" w14:paraId="71540455" w14:textId="77777777">
      <w:r>
        <w:t xml:space="preserve">In de schadeafhandeling en de versterkingsoperatie worden verschillende herstelacties uitgevoerd via trekkingsrechten. In dit geval betaalt het IMG of de NCG de facturen voor het herstel van de schade rechtstreeks aan de aannemer of uitvoerende partij en niet aan de gedupeerde. Dit is onder andere het geval bij herstel in natura, duurzaam herstel of daadwerkelijk herstel zonder onderzoek naar de oorzaak bij herstelkosten tot € 60.000 door het IMG. De NCG maakt gebruik van deze aanpak bij versterkingen onder regie van de NCG of versterkingen uitgevoerd in eigen beheer (door de eigenaar). </w:t>
      </w:r>
    </w:p>
    <w:p w:rsidR="001556B4" w:rsidP="001556B4" w:rsidRDefault="001556B4" w14:paraId="3F37168F" w14:textId="77777777"/>
    <w:p w:rsidR="001556B4" w:rsidP="001556B4" w:rsidRDefault="001556B4" w14:paraId="3F693228" w14:textId="77777777">
      <w:r>
        <w:t xml:space="preserve">In het wetsvoorstel Belastingplan 2025 wordt voorgesteld om de hierboven beschreven trekkingsrechten uit te zonderen van de rendementsgrondslag in box 3. De trekkingsrechten zouden zonder de voorgestelde vrijstelling </w:t>
      </w:r>
      <w:r>
        <w:lastRenderedPageBreak/>
        <w:t>vermogensrechten vormen die in box 3 als overige bezittingen moeten worden aangemerkt. Wanneer de voorgestelde maatregel in het Belastingplan 2025 door uw Kamers wordt aangenomen, hoeven gedupeerden deze trekkingsrechten niet in hun aangifte inkomstenbelasting op te geven. Hierdoor wordt voorkomen dat er fiscale gevolgschade optreedt. Daarnaast zorgt deze maatregel ervoor dat deze tegemoetkomingen in natura geen negatief effect hebben op de toeslagenpositie van en de slaagkans voor het aanvragen van kwijtschelding van lokale heffingen voor gedupeerden. De reden hiervoor is dat deze trekkingsrechten door middel van de fiscale vrijstelling geen onderdeel meer vormen van de vermogenstoets voor de toekenning van toeslagen en kwijtschelding van lokale heffingen. Deze maatregelen vervangen voor trekkingsrechten de voorheen gehanteerde afspraak dat fiscale gevolgschade door de beleidsverantwoordelijke minister wordt vergoed.</w:t>
      </w:r>
    </w:p>
    <w:p w:rsidR="001556B4" w:rsidP="001556B4" w:rsidRDefault="001556B4" w14:paraId="41B609F0" w14:textId="77777777"/>
    <w:p w:rsidRPr="001556B4" w:rsidR="001556B4" w:rsidP="001556B4" w:rsidRDefault="001556B4" w14:paraId="7FA81B1E" w14:textId="77777777">
      <w:pPr>
        <w:rPr>
          <w:i/>
          <w:iCs/>
        </w:rPr>
      </w:pPr>
      <w:r w:rsidRPr="001556B4">
        <w:rPr>
          <w:i/>
          <w:iCs/>
        </w:rPr>
        <w:t>Vergoedingen in geld</w:t>
      </w:r>
    </w:p>
    <w:p w:rsidR="001556B4" w:rsidP="001556B4" w:rsidRDefault="001556B4" w14:paraId="6F25536B" w14:textId="77777777">
      <w:r>
        <w:t xml:space="preserve">De vergoedingen die rechtstreeks op de (spaar)rekening van de gedupeerde worden overgemaakt, vallen niet onder de hierboven omschreven vrijstelling. Voorbeelden van vergoedingen in geld zijn de vergoeding voor zelf aangebrachte voorzieningen (ZAV), subsidies voor verduurzaming en B-delen  van de NCG en de schadevergoedingen van het IMG. </w:t>
      </w:r>
    </w:p>
    <w:p w:rsidR="001556B4" w:rsidP="001556B4" w:rsidRDefault="001556B4" w14:paraId="05FE2417" w14:textId="77777777"/>
    <w:p w:rsidR="001556B4" w:rsidP="001556B4" w:rsidRDefault="001556B4" w14:paraId="01BB2F58" w14:textId="77777777">
      <w:r>
        <w:t xml:space="preserve">Als deze vergoedingen op de peildatum voor box 3  op de (spaar)rekening van de gedupeerde staan, wordt dit banktegoed aangemerkt als bezitting in box 3. Als het gehele vermogen dan boven de grens voor het </w:t>
      </w:r>
      <w:proofErr w:type="spellStart"/>
      <w:r>
        <w:t>heffingvrije</w:t>
      </w:r>
      <w:proofErr w:type="spellEnd"/>
      <w:r>
        <w:t xml:space="preserve"> vermogen  uitkomt, telt dit mee in de rendementsgrondslag van box 3. Daarnaast kunnen er ook gevolgen ontstaan voor de toeslagenpositie van de gedupeerde. De huurtoeslag, zorgtoeslag en het </w:t>
      </w:r>
      <w:proofErr w:type="spellStart"/>
      <w:r>
        <w:t>kindgebonden</w:t>
      </w:r>
      <w:proofErr w:type="spellEnd"/>
      <w:r>
        <w:t xml:space="preserve"> budget kennen een vermogensgrens.  Als toeslagaanvragers een vermogen hebben dat boven deze grens ligt, verliezen zij het recht op de toeslag. </w:t>
      </w:r>
    </w:p>
    <w:p w:rsidR="001556B4" w:rsidP="001556B4" w:rsidRDefault="001556B4" w14:paraId="05140429" w14:textId="77777777"/>
    <w:p w:rsidR="001556B4" w:rsidP="001556B4" w:rsidRDefault="001556B4" w14:paraId="6BF04D6B" w14:textId="77777777">
      <w:r>
        <w:t xml:space="preserve">Om te voorkomen dat de gedupeerde door het ontvangen van vergoedingen box 3-heffing moeten betalen of hun recht op toeslagen verliezen, zijn verschillende waarborgen ingebouwd. De immateriële schadevergoeding van het IMG kan op verzoek worden uitgezonderd van de vermogenstoets voor de toekenning van toeslagen. Dit is op basis van de generieke uitzondering voor immateriële schadevergoedingen. De NCG keert geen vergoedingen uit vlak voor de peildatum voor box 3. Omdat deze vergoedingen doorgaans in hetzelfde jaar worden uitgegeven is de kans klein dat deze vergoedingen meetellen voor de volgende peildatum. De NCG heeft tot nu toe drie aanvragen voor compensatie van huurtoeslag en meerdere vragen over het voorkomen van het verlies van toeslagen ontvangen. De NCG verwacht wel dat het aantal aanvragen voor compensatie zal blijven toenemen, omdat de NCG vanaf 1 juli 2023 veel meer en hogere vergoedingen rechtstreeks aan de gedupeerde betaalt. Het IMG heeft tot nu toe één aanvraag ontvangen voor compensatie van het verlies van </w:t>
      </w:r>
      <w:proofErr w:type="spellStart"/>
      <w:r>
        <w:t>kindgebonden</w:t>
      </w:r>
      <w:proofErr w:type="spellEnd"/>
      <w:r>
        <w:t xml:space="preserve"> budget.</w:t>
      </w:r>
    </w:p>
    <w:p w:rsidR="001556B4" w:rsidP="001556B4" w:rsidRDefault="001556B4" w14:paraId="7CD6FF5D" w14:textId="77777777"/>
    <w:p w:rsidR="001556B4" w:rsidP="001556B4" w:rsidRDefault="001556B4" w14:paraId="5F0F8D4B" w14:textId="77777777">
      <w:r>
        <w:t xml:space="preserve">De NCG en het IMG kunnen daarnaast kosteloos een onafhankelijk financieel adviseur voor huurders en eigenaren beschikbaar stellen. Hiervoor kan een aanvraag worden gedaan bij de NCG en het IMG. Ook is er kosteloos rechtsbijstand beschikbaar voor eigenaren. Als gedupeerden onverhoopt toch hun </w:t>
      </w:r>
      <w:r>
        <w:lastRenderedPageBreak/>
        <w:t>recht op toeslagen verliezen als gevolg van deze vergoedingen, vergoeden de NCG en het IMG de fiscale gevolgschade die hierdoor ontstaat.</w:t>
      </w:r>
    </w:p>
    <w:p w:rsidR="001556B4" w:rsidP="001556B4" w:rsidRDefault="001556B4" w14:paraId="72AC4F7C" w14:textId="77777777"/>
    <w:p w:rsidRPr="001556B4" w:rsidR="001556B4" w:rsidP="001556B4" w:rsidRDefault="001556B4" w14:paraId="57722EB3" w14:textId="77777777">
      <w:pPr>
        <w:rPr>
          <w:i/>
          <w:iCs/>
        </w:rPr>
      </w:pPr>
      <w:r w:rsidRPr="001556B4">
        <w:rPr>
          <w:i/>
          <w:iCs/>
        </w:rPr>
        <w:t xml:space="preserve">Overige gevolgen </w:t>
      </w:r>
    </w:p>
    <w:p w:rsidRPr="001556B4" w:rsidR="001556B4" w:rsidP="001556B4" w:rsidRDefault="001556B4" w14:paraId="52765D2C" w14:textId="77777777">
      <w:pPr>
        <w:rPr>
          <w:u w:val="single"/>
        </w:rPr>
      </w:pPr>
      <w:r w:rsidRPr="001556B4">
        <w:rPr>
          <w:u w:val="single"/>
        </w:rPr>
        <w:t xml:space="preserve">Bijstand </w:t>
      </w:r>
    </w:p>
    <w:p w:rsidR="001556B4" w:rsidP="001556B4" w:rsidRDefault="001556B4" w14:paraId="21E13A27" w14:textId="77777777">
      <w:r>
        <w:t xml:space="preserve">De gemeente beoordeelt het recht op bijstand en de hoogte van de daaruit volgende uitkering. De hoogte van de bijstandsuitkering is afhankelijk van de leeftijd en de leefsituatie van een bewoner. De bijstand vult het inkomen aan tot de bijstandsnorm die voor deze persoon geldt. Tussen de aardbevingsgemeenten is de afspraak gemaakt dat vergoedingen ten behoeve van de schadeafhandeling en versterkingsoperatie niet meetellen in de vermogenstoets voor het toekennen van bijstand. In overleg met het ministerie van Sociale Zaken en Werkgelegenheid wordt bezien of deze afspraak wettelijk kan worden verankerd in o.a. de Participatiewet. </w:t>
      </w:r>
    </w:p>
    <w:p w:rsidR="001556B4" w:rsidP="001556B4" w:rsidRDefault="001556B4" w14:paraId="5880A37D" w14:textId="77777777"/>
    <w:p w:rsidRPr="001556B4" w:rsidR="001556B4" w:rsidP="001556B4" w:rsidRDefault="001556B4" w14:paraId="5A0CCA86" w14:textId="77777777">
      <w:pPr>
        <w:rPr>
          <w:u w:val="single"/>
        </w:rPr>
      </w:pPr>
      <w:r w:rsidRPr="001556B4">
        <w:rPr>
          <w:u w:val="single"/>
        </w:rPr>
        <w:t>Kwijtschelding van lokale heffingen</w:t>
      </w:r>
    </w:p>
    <w:p w:rsidR="001556B4" w:rsidP="001556B4" w:rsidRDefault="001556B4" w14:paraId="37C267E6" w14:textId="77777777">
      <w:r>
        <w:t>De gedupeerde ontvangt mogelijk kwijtschelding van lokale heffingen. Dit is het geval als de gedupeerde niet over betalingscapaciteit en vermogen beschikt om de openstaande schuld te voldoen. Voor kwijtschelding van lokale heffingen geldt dat tot een bepaald bedrag aan financiële middelen (hieronder valt hetgeen dat op de bank- en spaarrekening staat) niet als bezitting in aanmerking wordt genomen, de zogenaamde spaargeldnorm.  Als de gedupeerde meer geld op zijn (spaar)rekening heeft staan dan de vastgestelde norm, bijvoorbeeld door ontvangst van een schadevergoeding, kan het voorkomen dat deze gedupeerde niet (langer) in aanmerking komt voor (volledige) kwijtschelding van zijn lokale heffingen.</w:t>
      </w:r>
    </w:p>
    <w:p w:rsidR="001556B4" w:rsidP="001556B4" w:rsidRDefault="001556B4" w14:paraId="3818A7A4" w14:textId="77777777"/>
    <w:p w:rsidR="001556B4" w:rsidP="001556B4" w:rsidRDefault="001556B4" w14:paraId="24E40430" w14:textId="1ED8E76D">
      <w:r>
        <w:t>Om te voorkomen dat de gedupeerde door het ontvangen van vergoedingen van het IMG en de NCG het recht op kwijtschelding van lokale heffingen verliest, zijn er in overleg met gemeenten en het waterschap verschillende waarborgen ingebouwd. De NCG betaalt geen hoge vergoedingen meer uit rond het peilmoment voor het bepalen van de hoogte van het bank- en spaartegoed in het kader van de geautomatiseerde kwijtschelding van lokale heffingen. Gemeenten en waterschappen hebben de mogelijkheid – als iemand niet in aanmerking komt voor kwijtschelding − om niet over te gaan tot innen als voortzetting van de invordering van de openstaande lokale heffing niet gewenst is. Deze afweging wordt op gemeentelijk niveau of op niveau van het waterschap gemaakt. Hoewel dit raakt aan de autonomie van gemeenten en waterschappen waar ik niet in kan treden, is uit contacten met de betreffende gemeenten en het betreffende waterschap gebleken dat ze deze mogelijkheid in het geval van schadevergoeding door het IMG en de NCG welwillend toepassen. Gemeenten en het waterschap benaderen bewoners actief om na te gaan of het teveel aan vermogen samenhangt met de schadeafhandeling door het IMG en/of de versterkingsoperatie door de NCG. Als dit onverhoopt niet gebeurt, kunnen gedupeerden waarvan de aanvraag voor kwijtschelding van lokale heffingen is afgewezen, dit kenbaar maken bij het Noordelijk Belastingkantoor. Het Noordelijk Belastingkantoor voert de inning van de lokale heffingen namens de desbetreffende gemeenten en het desbetreffende waterschap uit.</w:t>
      </w:r>
    </w:p>
    <w:p w:rsidR="001556B4" w:rsidP="001556B4" w:rsidRDefault="001556B4" w14:paraId="5A817576" w14:textId="77777777"/>
    <w:p w:rsidRPr="001556B4" w:rsidR="001556B4" w:rsidP="001556B4" w:rsidRDefault="001556B4" w14:paraId="33840968" w14:textId="77777777">
      <w:pPr>
        <w:rPr>
          <w:u w:val="single"/>
        </w:rPr>
      </w:pPr>
      <w:r w:rsidRPr="001556B4">
        <w:rPr>
          <w:u w:val="single"/>
        </w:rPr>
        <w:lastRenderedPageBreak/>
        <w:t>WOZ-waarde</w:t>
      </w:r>
    </w:p>
    <w:p w:rsidR="001556B4" w:rsidP="001556B4" w:rsidRDefault="001556B4" w14:paraId="6B69B6F1" w14:textId="77777777">
      <w:r>
        <w:t>De stijging van de waarde van een onroerende zaak (WOZ-waarde) door de versterkingsopgave of het schadeherstel levert mogelijk een risico op voor eigenaren van een woning met een bijstandsuitkering. In het geval dat de overwaarde van een woning in 2024 door de versterking of het schadeherstel stijgt tot boven de € 63.900, kan de bijstandsuitkering van de eigenaar door de gemeente worden omgezet in een lening. Deze afweging wordt op gemeentelijk niveau gemaakt. Een gedupeerde kan tegen dit besluit in bezwaar gaan bij de desbetreffende gemeente. De gedupeerde met een gebouw in de schadeafhandeling of versterking kan in dit geval kosteloos worden ondersteund door een financieel adviseur. Hiervoor kan een aanvraag worden gedaan bij de NCG en het IMG.</w:t>
      </w:r>
    </w:p>
    <w:p w:rsidR="001556B4" w:rsidP="001556B4" w:rsidRDefault="001556B4" w14:paraId="519C256C" w14:textId="77777777"/>
    <w:p w:rsidRPr="001556B4" w:rsidR="001556B4" w:rsidP="001556B4" w:rsidRDefault="001556B4" w14:paraId="6E549366" w14:textId="77777777">
      <w:pPr>
        <w:rPr>
          <w:u w:val="single"/>
        </w:rPr>
      </w:pPr>
      <w:r w:rsidRPr="001556B4">
        <w:rPr>
          <w:u w:val="single"/>
        </w:rPr>
        <w:t>Onroerendezaakbelasting</w:t>
      </w:r>
    </w:p>
    <w:p w:rsidR="001556B4" w:rsidP="001556B4" w:rsidRDefault="001556B4" w14:paraId="3DA790DD" w14:textId="77777777">
      <w:r>
        <w:t xml:space="preserve">Ook heeft de stijging van de WOZ-waarde mogelijk tot gevolg dat de hoogte van de lokale heffingen stijgt. In de Kamerbrief stijging WOZ-waarde  is aangegeven dat in het geval de WOZ-waarde stijgt dit niet direct tot gevolg heeft dat de onroerendezaakbelasting (OZB) evenredig stijgt. Omdat de hoogte van de OZB afhankelijk is van meer dan een waardestijging van de woning en daarmee een uniforme oplossing geen soelaas biedt, zullen de gemeenten bij een onevenredige stijging maatwerk toepassen. </w:t>
      </w:r>
    </w:p>
    <w:p w:rsidR="001556B4" w:rsidP="001556B4" w:rsidRDefault="001556B4" w14:paraId="606D3BD6" w14:textId="77777777"/>
    <w:p w:rsidRPr="001556B4" w:rsidR="001556B4" w:rsidP="001556B4" w:rsidRDefault="001556B4" w14:paraId="599D5A81" w14:textId="77777777">
      <w:pPr>
        <w:rPr>
          <w:u w:val="single"/>
        </w:rPr>
      </w:pPr>
      <w:r w:rsidRPr="001556B4">
        <w:rPr>
          <w:u w:val="single"/>
        </w:rPr>
        <w:t>Ondernemers</w:t>
      </w:r>
    </w:p>
    <w:p w:rsidR="001556B4" w:rsidP="001556B4" w:rsidRDefault="001556B4" w14:paraId="04A5F7EF" w14:textId="77777777">
      <w:r>
        <w:t>Naast bewoners van een gebouw hebben ook ondernemers te maken met fiscale gevolgen van de versterkingsoperatie en schadeafhandeling. Dit ziet op ondernemers in de inkomstenbelasting en vennootschapsbelastingplichtige lichamen. Alle vergoedingen van de NCG en het IMG aan dergelijke ondernemers behoren tot de winst. Daar staat tegenover dat de kosten voor het herstel van de schade in mindering op de winst kunnen worden gebracht. Als de vergoeding ziet op kosten die in latere jaren zullen worden gemaakt, kan voor de vergoeding een passiefpost in de vorm van een transitorische post of – onder voorwaarden – een voorziening, worden gevormd.  In bepaalde gevallen is ook de toepassing van een herinvesteringsreserve mogelijk.  Als een dergelijke passiefpost kan worden gevormd, verlaagt deze de winst in het jaar waarin die passiefpost wordt gevormd. De daadwerkelijke kosten in latere jaren kunnen vanuit deze passiefpost worden voldaan en komen dan in die latere jaren niet meer in aanmerking voor aftrek van de winst. Voor ondernemers in de inkomstenbelasting geldt dit evenzeer als het gaat om versterkingen van of schade aan tot het ondernemingsvermogen behorende bestanddelen. Een voorbeeld hiervan is het gebouw dat de ondernemer uitsluitend gebruikt voor de uitoefening van zijn onderneming.</w:t>
      </w:r>
    </w:p>
    <w:p w:rsidR="001556B4" w:rsidP="001556B4" w:rsidRDefault="001556B4" w14:paraId="6E2542F8" w14:textId="77777777"/>
    <w:p w:rsidR="001556B4" w:rsidP="001556B4" w:rsidRDefault="001556B4" w14:paraId="2687184F" w14:textId="77777777">
      <w:r>
        <w:t xml:space="preserve">Daarnaast moeten ondernemers de btw die leveranciers van schadeherstelprestaties bij een versterking uitgevoerd in eigen beheer in rekening brengen zelf voorfinancieren. Het btw-bedrag kan niet altijd door de onderneming worden voorgefinancierd. Als dit het geval is, betaalt de NCG de factuur inclusief btw aan bijvoorbeeld de aannemer. Daarnaast wordt er tussen de NCG en de ondernemer een leningsovereenkomst afgesloten. De lening van de NCG aan de ondernemer kan door de ondernemer worden afgelost met het btw-bedrag dat </w:t>
      </w:r>
      <w:r>
        <w:lastRenderedPageBreak/>
        <w:t xml:space="preserve">door de Belastingdienst aan de ondernemer wordt terugbetaald. Bij het IMG komt deze btw-problematiek niet voor. </w:t>
      </w:r>
    </w:p>
    <w:p w:rsidR="001556B4" w:rsidP="001556B4" w:rsidRDefault="001556B4" w14:paraId="27BC5E0D" w14:textId="77777777"/>
    <w:p w:rsidRPr="001556B4" w:rsidR="00D35B0F" w:rsidP="007339C6" w:rsidRDefault="001556B4" w14:paraId="6349617A" w14:textId="46594086">
      <w:r>
        <w:t>Ook ondernemers met fiscale gevolgschade kunnen zich melden bij het IMG en de NCG. Ook kunnen ondernemers die eigenaar zijn van een gebouw in de schadeafhandeling of versterking een aanvraag bij de NCG en het IMG indienen voor een financieel adviseur. Het IMG en de NCG betalen de rekening. Daarnaast is er kosteloze rechtsbijstand beschikbaar voor ondernemers, niet zijnde corporaties.</w:t>
      </w:r>
    </w:p>
    <w:sectPr w:rsidRPr="001556B4" w:rsidR="00D35B0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DDE4" w14:textId="77777777" w:rsidR="001556B4" w:rsidRDefault="001556B4">
      <w:pPr>
        <w:spacing w:line="240" w:lineRule="auto"/>
      </w:pPr>
      <w:r>
        <w:separator/>
      </w:r>
    </w:p>
  </w:endnote>
  <w:endnote w:type="continuationSeparator" w:id="0">
    <w:p w14:paraId="38AE17BE" w14:textId="77777777" w:rsidR="001556B4" w:rsidRDefault="00155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EEFB" w14:textId="77777777" w:rsidR="00CB4ABB" w:rsidRDefault="00CB4ABB">
    <w:pPr>
      <w:pStyle w:val="Voettekst"/>
    </w:pPr>
    <w:r>
      <w:rPr>
        <w:noProof/>
      </w:rPr>
      <mc:AlternateContent>
        <mc:Choice Requires="wps">
          <w:drawing>
            <wp:anchor distT="0" distB="0" distL="0" distR="0" simplePos="0" relativeHeight="251665408" behindDoc="0" locked="0" layoutInCell="1" allowOverlap="1" wp14:anchorId="4A05EA25" wp14:editId="5FF47A03">
              <wp:simplePos x="635" y="635"/>
              <wp:positionH relativeFrom="page">
                <wp:align>left</wp:align>
              </wp:positionH>
              <wp:positionV relativeFrom="page">
                <wp:align>bottom</wp:align>
              </wp:positionV>
              <wp:extent cx="986155" cy="345440"/>
              <wp:effectExtent l="0" t="0" r="4445" b="0"/>
              <wp:wrapNone/>
              <wp:docPr id="120276070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62E9525" w14:textId="77777777" w:rsidR="00CB4ABB" w:rsidRPr="00CB4ABB" w:rsidRDefault="00CB4ABB" w:rsidP="00CB4ABB">
                          <w:pPr>
                            <w:rPr>
                              <w:rFonts w:ascii="Calibri" w:eastAsia="Calibri" w:hAnsi="Calibri" w:cs="Calibri"/>
                              <w:noProof/>
                              <w:sz w:val="20"/>
                              <w:szCs w:val="20"/>
                            </w:rPr>
                          </w:pPr>
                          <w:r w:rsidRPr="00CB4AB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05EA25"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562E9525" w14:textId="77777777" w:rsidR="00CB4ABB" w:rsidRPr="00CB4ABB" w:rsidRDefault="00CB4ABB" w:rsidP="00CB4ABB">
                    <w:pPr>
                      <w:rPr>
                        <w:rFonts w:ascii="Calibri" w:eastAsia="Calibri" w:hAnsi="Calibri" w:cs="Calibri"/>
                        <w:noProof/>
                        <w:sz w:val="20"/>
                        <w:szCs w:val="20"/>
                      </w:rPr>
                    </w:pPr>
                    <w:r w:rsidRPr="00CB4ABB">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682F" w14:textId="77777777" w:rsidR="00CB4ABB" w:rsidRDefault="00CB4ABB">
    <w:pPr>
      <w:pStyle w:val="Voettekst"/>
    </w:pPr>
    <w:r>
      <w:rPr>
        <w:noProof/>
      </w:rPr>
      <mc:AlternateContent>
        <mc:Choice Requires="wps">
          <w:drawing>
            <wp:anchor distT="0" distB="0" distL="0" distR="0" simplePos="0" relativeHeight="251666432" behindDoc="0" locked="0" layoutInCell="1" allowOverlap="1" wp14:anchorId="40F9A67F" wp14:editId="44753512">
              <wp:simplePos x="1009650" y="10553700"/>
              <wp:positionH relativeFrom="page">
                <wp:align>left</wp:align>
              </wp:positionH>
              <wp:positionV relativeFrom="page">
                <wp:align>bottom</wp:align>
              </wp:positionV>
              <wp:extent cx="986155" cy="345440"/>
              <wp:effectExtent l="0" t="0" r="4445" b="0"/>
              <wp:wrapNone/>
              <wp:docPr id="75895022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5CB44A7" w14:textId="794508AC" w:rsidR="00CB4ABB" w:rsidRPr="00CB4ABB" w:rsidRDefault="00CB4ABB" w:rsidP="00CB4ABB">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F9A67F"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65CB44A7" w14:textId="794508AC" w:rsidR="00CB4ABB" w:rsidRPr="00CB4ABB" w:rsidRDefault="00CB4ABB" w:rsidP="00CB4ABB">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4E4B" w14:textId="77777777" w:rsidR="00CB4ABB" w:rsidRDefault="00CB4ABB">
    <w:pPr>
      <w:pStyle w:val="Voettekst"/>
    </w:pPr>
    <w:r>
      <w:rPr>
        <w:noProof/>
      </w:rPr>
      <mc:AlternateContent>
        <mc:Choice Requires="wps">
          <w:drawing>
            <wp:anchor distT="0" distB="0" distL="0" distR="0" simplePos="0" relativeHeight="251664384" behindDoc="0" locked="0" layoutInCell="1" allowOverlap="1" wp14:anchorId="4E346B25" wp14:editId="4BFF4E18">
              <wp:simplePos x="1008380" y="10553065"/>
              <wp:positionH relativeFrom="page">
                <wp:align>left</wp:align>
              </wp:positionH>
              <wp:positionV relativeFrom="page">
                <wp:align>bottom</wp:align>
              </wp:positionV>
              <wp:extent cx="986155" cy="345440"/>
              <wp:effectExtent l="0" t="0" r="4445" b="0"/>
              <wp:wrapNone/>
              <wp:docPr id="16049792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823CC02" w14:textId="0CC56474" w:rsidR="00CB4ABB" w:rsidRPr="00CB4ABB" w:rsidRDefault="00CB4ABB" w:rsidP="00CB4ABB">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346B25"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MG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N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2BMG&#10;FAIAACIEAAAOAAAAAAAAAAAAAAAAAC4CAABkcnMvZTJvRG9jLnhtbFBLAQItABQABgAIAAAAIQBH&#10;zAyJ2gAAAAQBAAAPAAAAAAAAAAAAAAAAAG4EAABkcnMvZG93bnJldi54bWxQSwUGAAAAAAQABADz&#10;AAAAdQUAAAAA&#10;" filled="f" stroked="f">
              <v:textbox style="mso-fit-shape-to-text:t" inset="20pt,0,0,15pt">
                <w:txbxContent>
                  <w:p w14:paraId="4823CC02" w14:textId="0CC56474" w:rsidR="00CB4ABB" w:rsidRPr="00CB4ABB" w:rsidRDefault="00CB4ABB" w:rsidP="00CB4ABB">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207B" w14:textId="77777777" w:rsidR="001556B4" w:rsidRDefault="001556B4">
      <w:pPr>
        <w:spacing w:line="240" w:lineRule="auto"/>
      </w:pPr>
      <w:r>
        <w:separator/>
      </w:r>
    </w:p>
  </w:footnote>
  <w:footnote w:type="continuationSeparator" w:id="0">
    <w:p w14:paraId="7907E6BC" w14:textId="77777777" w:rsidR="001556B4" w:rsidRDefault="001556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02A4" w14:textId="77777777" w:rsidR="00037A59" w:rsidRDefault="00037A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EF4B" w14:textId="77777777" w:rsidR="00D35B0F" w:rsidRDefault="00E31669">
    <w:r>
      <w:rPr>
        <w:noProof/>
      </w:rPr>
      <mc:AlternateContent>
        <mc:Choice Requires="wps">
          <w:drawing>
            <wp:anchor distT="0" distB="0" distL="0" distR="0" simplePos="0" relativeHeight="251652096" behindDoc="0" locked="1" layoutInCell="1" allowOverlap="1" wp14:anchorId="0EF009A8" wp14:editId="29AF247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2ABA1B" w14:textId="7B256E2C" w:rsidR="00D35B0F" w:rsidRDefault="00E3166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EF009A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52ABA1B" w14:textId="7B256E2C" w:rsidR="00D35B0F" w:rsidRDefault="00E3166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F167FB6" wp14:editId="5D2E2F7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DE0195" w14:textId="77777777" w:rsidR="00D35B0F" w:rsidRDefault="00D35B0F">
                          <w:pPr>
                            <w:pStyle w:val="WitregelW2"/>
                          </w:pPr>
                        </w:p>
                        <w:p w14:paraId="6AEF5AB6" w14:textId="756681A2" w:rsidR="00D35B0F" w:rsidRDefault="00D35B0F">
                          <w:pPr>
                            <w:pStyle w:val="Referentiegegevensbold"/>
                          </w:pPr>
                        </w:p>
                        <w:p w14:paraId="43676028" w14:textId="77777777" w:rsidR="00D35B0F" w:rsidRDefault="00D35B0F">
                          <w:pPr>
                            <w:pStyle w:val="WitregelW1"/>
                          </w:pPr>
                        </w:p>
                        <w:p w14:paraId="1EB3E67D" w14:textId="77777777" w:rsidR="00353EE9" w:rsidRDefault="00353EE9" w:rsidP="00353EE9"/>
                        <w:p w14:paraId="2599A689" w14:textId="77777777" w:rsidR="00353EE9" w:rsidRPr="00353EE9" w:rsidRDefault="00353EE9" w:rsidP="00353EE9"/>
                        <w:p w14:paraId="6FE0AFAD" w14:textId="77777777" w:rsidR="00D35B0F" w:rsidRDefault="00E31669">
                          <w:pPr>
                            <w:pStyle w:val="Referentiegegevensbold"/>
                          </w:pPr>
                          <w:r>
                            <w:t>Onze referentie</w:t>
                          </w:r>
                        </w:p>
                        <w:p w14:paraId="19C07530" w14:textId="3B19FEB0" w:rsidR="00D35B0F" w:rsidRDefault="007339C6">
                          <w:pPr>
                            <w:pStyle w:val="Referentiegegevens"/>
                          </w:pPr>
                          <w:r>
                            <w:fldChar w:fldCharType="begin"/>
                          </w:r>
                          <w:r>
                            <w:instrText xml:space="preserve"> DOCPROPERTY  "Kenmerk"  \* MERGEFORMAT </w:instrText>
                          </w:r>
                          <w:r>
                            <w:fldChar w:fldCharType="separate"/>
                          </w:r>
                          <w:r w:rsidR="00277F2F">
                            <w:t>2024-0000834726</w:t>
                          </w:r>
                          <w:r>
                            <w:fldChar w:fldCharType="end"/>
                          </w:r>
                        </w:p>
                      </w:txbxContent>
                    </wps:txbx>
                    <wps:bodyPr vert="horz" wrap="square" lIns="0" tIns="0" rIns="0" bIns="0" anchor="t" anchorCtr="0"/>
                  </wps:wsp>
                </a:graphicData>
              </a:graphic>
            </wp:anchor>
          </w:drawing>
        </mc:Choice>
        <mc:Fallback>
          <w:pict>
            <v:shape w14:anchorId="3F167FB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7DE0195" w14:textId="77777777" w:rsidR="00D35B0F" w:rsidRDefault="00D35B0F">
                    <w:pPr>
                      <w:pStyle w:val="WitregelW2"/>
                    </w:pPr>
                  </w:p>
                  <w:p w14:paraId="6AEF5AB6" w14:textId="756681A2" w:rsidR="00D35B0F" w:rsidRDefault="00D35B0F">
                    <w:pPr>
                      <w:pStyle w:val="Referentiegegevensbold"/>
                    </w:pPr>
                  </w:p>
                  <w:p w14:paraId="43676028" w14:textId="77777777" w:rsidR="00D35B0F" w:rsidRDefault="00D35B0F">
                    <w:pPr>
                      <w:pStyle w:val="WitregelW1"/>
                    </w:pPr>
                  </w:p>
                  <w:p w14:paraId="1EB3E67D" w14:textId="77777777" w:rsidR="00353EE9" w:rsidRDefault="00353EE9" w:rsidP="00353EE9"/>
                  <w:p w14:paraId="2599A689" w14:textId="77777777" w:rsidR="00353EE9" w:rsidRPr="00353EE9" w:rsidRDefault="00353EE9" w:rsidP="00353EE9"/>
                  <w:p w14:paraId="6FE0AFAD" w14:textId="77777777" w:rsidR="00D35B0F" w:rsidRDefault="00E31669">
                    <w:pPr>
                      <w:pStyle w:val="Referentiegegevensbold"/>
                    </w:pPr>
                    <w:r>
                      <w:t>Onze referentie</w:t>
                    </w:r>
                  </w:p>
                  <w:p w14:paraId="19C07530" w14:textId="3B19FEB0" w:rsidR="00D35B0F" w:rsidRDefault="007339C6">
                    <w:pPr>
                      <w:pStyle w:val="Referentiegegevens"/>
                    </w:pPr>
                    <w:r>
                      <w:fldChar w:fldCharType="begin"/>
                    </w:r>
                    <w:r>
                      <w:instrText xml:space="preserve"> DOCPROPERTY  "Kenmerk"  \* MERGEFORMAT </w:instrText>
                    </w:r>
                    <w:r>
                      <w:fldChar w:fldCharType="separate"/>
                    </w:r>
                    <w:r w:rsidR="00277F2F">
                      <w:t>2024-0000834726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FE0244D" wp14:editId="64DD74A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5975AE" w14:textId="0BB6C3D1" w:rsidR="00D35B0F" w:rsidRDefault="00E3166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FE0244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15975AE" w14:textId="0BB6C3D1" w:rsidR="00D35B0F" w:rsidRDefault="00E3166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ED17DAB" wp14:editId="65CECFC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FA0B837" w14:textId="77777777" w:rsidR="00D35B0F" w:rsidRDefault="00E31669">
                          <w:pPr>
                            <w:pStyle w:val="Referentiegegevens"/>
                          </w:pPr>
                          <w:r>
                            <w:t xml:space="preserve">Pagina </w:t>
                          </w:r>
                          <w:r>
                            <w:fldChar w:fldCharType="begin"/>
                          </w:r>
                          <w:r>
                            <w:instrText>PAGE</w:instrText>
                          </w:r>
                          <w:r>
                            <w:fldChar w:fldCharType="separate"/>
                          </w:r>
                          <w:r w:rsidR="00CB4ABB">
                            <w:rPr>
                              <w:noProof/>
                            </w:rPr>
                            <w:t>2</w:t>
                          </w:r>
                          <w:r>
                            <w:fldChar w:fldCharType="end"/>
                          </w:r>
                          <w:r>
                            <w:t xml:space="preserve"> van </w:t>
                          </w:r>
                          <w:r>
                            <w:fldChar w:fldCharType="begin"/>
                          </w:r>
                          <w:r>
                            <w:instrText>NUMPAGES</w:instrText>
                          </w:r>
                          <w:r>
                            <w:fldChar w:fldCharType="separate"/>
                          </w:r>
                          <w:r w:rsidR="00CB4ABB">
                            <w:rPr>
                              <w:noProof/>
                            </w:rPr>
                            <w:t>3</w:t>
                          </w:r>
                          <w:r>
                            <w:fldChar w:fldCharType="end"/>
                          </w:r>
                        </w:p>
                      </w:txbxContent>
                    </wps:txbx>
                    <wps:bodyPr vert="horz" wrap="square" lIns="0" tIns="0" rIns="0" bIns="0" anchor="t" anchorCtr="0"/>
                  </wps:wsp>
                </a:graphicData>
              </a:graphic>
            </wp:anchor>
          </w:drawing>
        </mc:Choice>
        <mc:Fallback>
          <w:pict>
            <v:shape w14:anchorId="1ED17DA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FA0B837" w14:textId="77777777" w:rsidR="00D35B0F" w:rsidRDefault="00E31669">
                    <w:pPr>
                      <w:pStyle w:val="Referentiegegevens"/>
                    </w:pPr>
                    <w:r>
                      <w:t xml:space="preserve">Pagina </w:t>
                    </w:r>
                    <w:r>
                      <w:fldChar w:fldCharType="begin"/>
                    </w:r>
                    <w:r>
                      <w:instrText>PAGE</w:instrText>
                    </w:r>
                    <w:r>
                      <w:fldChar w:fldCharType="separate"/>
                    </w:r>
                    <w:r w:rsidR="00CB4ABB">
                      <w:rPr>
                        <w:noProof/>
                      </w:rPr>
                      <w:t>2</w:t>
                    </w:r>
                    <w:r>
                      <w:fldChar w:fldCharType="end"/>
                    </w:r>
                    <w:r>
                      <w:t xml:space="preserve"> van </w:t>
                    </w:r>
                    <w:r>
                      <w:fldChar w:fldCharType="begin"/>
                    </w:r>
                    <w:r>
                      <w:instrText>NUMPAGES</w:instrText>
                    </w:r>
                    <w:r>
                      <w:fldChar w:fldCharType="separate"/>
                    </w:r>
                    <w:r w:rsidR="00CB4ABB">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8A4D" w14:textId="77777777" w:rsidR="00D35B0F" w:rsidRDefault="00E31669">
    <w:pPr>
      <w:spacing w:after="6377" w:line="14" w:lineRule="exact"/>
    </w:pPr>
    <w:r>
      <w:rPr>
        <w:noProof/>
      </w:rPr>
      <mc:AlternateContent>
        <mc:Choice Requires="wps">
          <w:drawing>
            <wp:anchor distT="0" distB="0" distL="0" distR="0" simplePos="0" relativeHeight="251656192" behindDoc="0" locked="1" layoutInCell="1" allowOverlap="1" wp14:anchorId="5F81D2B2" wp14:editId="127CEAB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4E8A31E" w14:textId="77777777" w:rsidR="00D35B0F" w:rsidRDefault="00E31669">
                          <w:pPr>
                            <w:spacing w:line="240" w:lineRule="auto"/>
                          </w:pPr>
                          <w:r>
                            <w:rPr>
                              <w:noProof/>
                            </w:rPr>
                            <w:drawing>
                              <wp:inline distT="0" distB="0" distL="0" distR="0" wp14:anchorId="4AA0D21F" wp14:editId="16A9D20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F81D2B2" id="_x0000_t202" coordsize="21600,21600" o:spt="202" path="m,l,21600r21600,l21600,xe">
              <v:stroke joinstyle="miter"/>
              <v:path gradientshapeok="t" o:connecttype="rect"/>
            </v:shapetype>
            <v:shape id="8cd303e7-05ab-474b-9412-44e5272a8f7f" o:spid="_x0000_s1032"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AURsXjlQEAABQDAAAO&#10;AAAAAAAAAAAAAAAAAC4CAABkcnMvZTJvRG9jLnhtbFBLAQItABQABgAIAAAAIQCnA+Yu3gAAAAgB&#10;AAAPAAAAAAAAAAAAAAAAAO8DAABkcnMvZG93bnJldi54bWxQSwUGAAAAAAQABADzAAAA+gQAAAAA&#10;" filled="f" stroked="f">
              <v:textbox inset="0,0,0,0">
                <w:txbxContent>
                  <w:p w14:paraId="54E8A31E" w14:textId="77777777" w:rsidR="00D35B0F" w:rsidRDefault="00E31669">
                    <w:pPr>
                      <w:spacing w:line="240" w:lineRule="auto"/>
                    </w:pPr>
                    <w:r>
                      <w:rPr>
                        <w:noProof/>
                      </w:rPr>
                      <w:drawing>
                        <wp:inline distT="0" distB="0" distL="0" distR="0" wp14:anchorId="4AA0D21F" wp14:editId="16A9D20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D45C945" wp14:editId="594744E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4B99EC" w14:textId="77777777" w:rsidR="00D35B0F" w:rsidRDefault="00E31669">
                          <w:pPr>
                            <w:spacing w:line="240" w:lineRule="auto"/>
                          </w:pPr>
                          <w:r>
                            <w:rPr>
                              <w:noProof/>
                            </w:rPr>
                            <w:drawing>
                              <wp:inline distT="0" distB="0" distL="0" distR="0" wp14:anchorId="0BEACCBB" wp14:editId="49BCDD47">
                                <wp:extent cx="2339975" cy="1582834"/>
                                <wp:effectExtent l="0" t="0" r="0" b="0"/>
                                <wp:docPr id="8" name="Logotype_BZK"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45C945" id="583cb846-a587-474e-9efc-17a024d629a0" o:spid="_x0000_s1033"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0B4B99EC" w14:textId="77777777" w:rsidR="00D35B0F" w:rsidRDefault="00E31669">
                    <w:pPr>
                      <w:spacing w:line="240" w:lineRule="auto"/>
                    </w:pPr>
                    <w:r>
                      <w:rPr>
                        <w:noProof/>
                      </w:rPr>
                      <w:drawing>
                        <wp:inline distT="0" distB="0" distL="0" distR="0" wp14:anchorId="0BEACCBB" wp14:editId="49BCDD47">
                          <wp:extent cx="2339975" cy="1582834"/>
                          <wp:effectExtent l="0" t="0" r="0" b="0"/>
                          <wp:docPr id="8" name="Logotype_BZK"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E2ABD17" wp14:editId="68A4E229">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302DFA" w14:textId="77777777" w:rsidR="00D35B0F" w:rsidRDefault="00E31669">
                          <w:pPr>
                            <w:pStyle w:val="Referentiegegevens"/>
                          </w:pPr>
                          <w:r>
                            <w:t xml:space="preserve">&gt; Retouradres Postbus   </w:t>
                          </w:r>
                        </w:p>
                      </w:txbxContent>
                    </wps:txbx>
                    <wps:bodyPr vert="horz" wrap="square" lIns="0" tIns="0" rIns="0" bIns="0" anchor="t" anchorCtr="0"/>
                  </wps:wsp>
                </a:graphicData>
              </a:graphic>
            </wp:anchor>
          </w:drawing>
        </mc:Choice>
        <mc:Fallback>
          <w:pict>
            <v:shape w14:anchorId="1E2ABD17" id="f053fe88-db2b-430b-bcc5-fbb915a19314" o:spid="_x0000_s1034"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PzlSqOTAQAAFAMAAA4A&#10;AAAAAAAAAAAAAAAALgIAAGRycy9lMm9Eb2MueG1sUEsBAi0AFAAGAAgAAAAhACgNMVrfAAAACwEA&#10;AA8AAAAAAAAAAAAAAAAA7QMAAGRycy9kb3ducmV2LnhtbFBLBQYAAAAABAAEAPMAAAD5BAAAAAA=&#10;" filled="f" stroked="f">
              <v:textbox inset="0,0,0,0">
                <w:txbxContent>
                  <w:p w14:paraId="74302DFA" w14:textId="77777777" w:rsidR="00D35B0F" w:rsidRDefault="00E31669">
                    <w:pPr>
                      <w:pStyle w:val="Referentiegegevens"/>
                    </w:pPr>
                    <w:r>
                      <w:t xml:space="preserve">&gt; Retouradres Postbus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88531B0" wp14:editId="48CFEAE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tbl>
                          <w:tblPr>
                            <w:tblW w:w="7371" w:type="dxa"/>
                            <w:tblLayout w:type="fixed"/>
                            <w:tblCellMar>
                              <w:left w:w="0" w:type="dxa"/>
                              <w:right w:w="0" w:type="dxa"/>
                            </w:tblCellMar>
                            <w:tblLook w:val="0000" w:firstRow="0" w:lastRow="0" w:firstColumn="0" w:lastColumn="0" w:noHBand="0" w:noVBand="0"/>
                          </w:tblPr>
                          <w:tblGrid>
                            <w:gridCol w:w="7371"/>
                          </w:tblGrid>
                          <w:tr w:rsidR="008F0B74" w:rsidRPr="00983E8F" w14:paraId="2C640114" w14:textId="77777777" w:rsidTr="00853F0E">
                            <w:tc>
                              <w:tcPr>
                                <w:tcW w:w="7520" w:type="dxa"/>
                                <w:shd w:val="clear" w:color="auto" w:fill="auto"/>
                              </w:tcPr>
                              <w:p w14:paraId="53D4F912" w14:textId="77777777" w:rsidR="008F0B74" w:rsidRPr="00983E8F" w:rsidRDefault="008F0B74" w:rsidP="008F0B74">
                                <w:pPr>
                                  <w:pStyle w:val="Huisstijl-Rubricering"/>
                                </w:pPr>
                              </w:p>
                            </w:tc>
                          </w:tr>
                          <w:tr w:rsidR="008F0B74" w14:paraId="59CADA0B" w14:textId="77777777" w:rsidTr="00853F0E">
                            <w:trPr>
                              <w:trHeight w:hRule="exact" w:val="2440"/>
                            </w:trPr>
                            <w:tc>
                              <w:tcPr>
                                <w:tcW w:w="7520" w:type="dxa"/>
                                <w:shd w:val="clear" w:color="auto" w:fill="auto"/>
                              </w:tcPr>
                              <w:p w14:paraId="138A386E" w14:textId="77777777" w:rsidR="008F0B74" w:rsidRDefault="008F0B74" w:rsidP="008F0B74">
                                <w:pPr>
                                  <w:pStyle w:val="Huisstijl-NAW"/>
                                </w:pPr>
                                <w:r>
                                  <w:t>de Voorzitter van de Tweede Kamer</w:t>
                                </w:r>
                              </w:p>
                              <w:p w14:paraId="38A39779" w14:textId="77777777" w:rsidR="008F0B74" w:rsidRDefault="008F0B74" w:rsidP="008F0B74">
                                <w:pPr>
                                  <w:pStyle w:val="Huisstijl-NAW"/>
                                </w:pPr>
                                <w:r>
                                  <w:t xml:space="preserve">der Staten-Generaal </w:t>
                                </w:r>
                              </w:p>
                              <w:p w14:paraId="76F6C9AE" w14:textId="77777777" w:rsidR="008F0B74" w:rsidRDefault="008F0B74" w:rsidP="008F0B74">
                                <w:pPr>
                                  <w:pStyle w:val="Huisstijl-NAW"/>
                                </w:pPr>
                                <w:r>
                                  <w:t>Postbus 20018</w:t>
                                </w:r>
                              </w:p>
                              <w:p w14:paraId="74A41869" w14:textId="77777777" w:rsidR="008F0B74" w:rsidRDefault="008F0B74" w:rsidP="008F0B74">
                                <w:pPr>
                                  <w:pStyle w:val="Huisstijl-NAW"/>
                                </w:pPr>
                                <w:r>
                                  <w:t>2500 EA Den Haag</w:t>
                                </w:r>
                              </w:p>
                              <w:p w14:paraId="56496C41" w14:textId="77777777" w:rsidR="008F0B74" w:rsidRDefault="008F0B74" w:rsidP="008F0B74">
                                <w:pPr>
                                  <w:pStyle w:val="Huisstijl-NAW"/>
                                </w:pPr>
                              </w:p>
                            </w:tc>
                          </w:tr>
                        </w:tbl>
                        <w:p w14:paraId="561BCF6E" w14:textId="77777777" w:rsidR="00D35B0F" w:rsidRDefault="00E31669">
                          <w:r>
                            <w:t xml:space="preserve"> </w:t>
                          </w:r>
                        </w:p>
                      </w:txbxContent>
                    </wps:txbx>
                    <wps:bodyPr vert="horz" wrap="square" lIns="0" tIns="0" rIns="0" bIns="0" anchor="t" anchorCtr="0"/>
                  </wps:wsp>
                </a:graphicData>
              </a:graphic>
            </wp:anchor>
          </w:drawing>
        </mc:Choice>
        <mc:Fallback>
          <w:pict>
            <v:shape w14:anchorId="188531B0" id="d302f2a1-bb28-4417-9701-e3b1450e5fb6" o:spid="_x0000_s1035"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WQp7FlQEAABUD&#10;AAAOAAAAAAAAAAAAAAAAAC4CAABkcnMvZTJvRG9jLnhtbFBLAQItABQABgAIAAAAIQBXpUVN4QAA&#10;AAsBAAAPAAAAAAAAAAAAAAAAAO8DAABkcnMvZG93bnJldi54bWxQSwUGAAAAAAQABADzAAAA/QQA&#10;AAAA&#10;" filled="f" stroked="f">
              <v:textbox inset="0,0,0,0">
                <w:txbxContent>
                  <w:tbl>
                    <w:tblPr>
                      <w:tblW w:w="7371" w:type="dxa"/>
                      <w:tblLayout w:type="fixed"/>
                      <w:tblCellMar>
                        <w:left w:w="0" w:type="dxa"/>
                        <w:right w:w="0" w:type="dxa"/>
                      </w:tblCellMar>
                      <w:tblLook w:val="0000" w:firstRow="0" w:lastRow="0" w:firstColumn="0" w:lastColumn="0" w:noHBand="0" w:noVBand="0"/>
                    </w:tblPr>
                    <w:tblGrid>
                      <w:gridCol w:w="7371"/>
                    </w:tblGrid>
                    <w:tr w:rsidR="008F0B74" w:rsidRPr="00983E8F" w14:paraId="2C640114" w14:textId="77777777" w:rsidTr="00853F0E">
                      <w:tc>
                        <w:tcPr>
                          <w:tcW w:w="7520" w:type="dxa"/>
                          <w:shd w:val="clear" w:color="auto" w:fill="auto"/>
                        </w:tcPr>
                        <w:p w14:paraId="53D4F912" w14:textId="77777777" w:rsidR="008F0B74" w:rsidRPr="00983E8F" w:rsidRDefault="008F0B74" w:rsidP="008F0B74">
                          <w:pPr>
                            <w:pStyle w:val="Huisstijl-Rubricering"/>
                          </w:pPr>
                        </w:p>
                      </w:tc>
                    </w:tr>
                    <w:tr w:rsidR="008F0B74" w14:paraId="59CADA0B" w14:textId="77777777" w:rsidTr="00853F0E">
                      <w:trPr>
                        <w:trHeight w:hRule="exact" w:val="2440"/>
                      </w:trPr>
                      <w:tc>
                        <w:tcPr>
                          <w:tcW w:w="7520" w:type="dxa"/>
                          <w:shd w:val="clear" w:color="auto" w:fill="auto"/>
                        </w:tcPr>
                        <w:p w14:paraId="138A386E" w14:textId="77777777" w:rsidR="008F0B74" w:rsidRDefault="008F0B74" w:rsidP="008F0B74">
                          <w:pPr>
                            <w:pStyle w:val="Huisstijl-NAW"/>
                          </w:pPr>
                          <w:r>
                            <w:t>de Voorzitter van de Tweede Kamer</w:t>
                          </w:r>
                        </w:p>
                        <w:p w14:paraId="38A39779" w14:textId="77777777" w:rsidR="008F0B74" w:rsidRDefault="008F0B74" w:rsidP="008F0B74">
                          <w:pPr>
                            <w:pStyle w:val="Huisstijl-NAW"/>
                          </w:pPr>
                          <w:r>
                            <w:t xml:space="preserve">der Staten-Generaal </w:t>
                          </w:r>
                        </w:p>
                        <w:p w14:paraId="76F6C9AE" w14:textId="77777777" w:rsidR="008F0B74" w:rsidRDefault="008F0B74" w:rsidP="008F0B74">
                          <w:pPr>
                            <w:pStyle w:val="Huisstijl-NAW"/>
                          </w:pPr>
                          <w:r>
                            <w:t>Postbus 20018</w:t>
                          </w:r>
                        </w:p>
                        <w:p w14:paraId="74A41869" w14:textId="77777777" w:rsidR="008F0B74" w:rsidRDefault="008F0B74" w:rsidP="008F0B74">
                          <w:pPr>
                            <w:pStyle w:val="Huisstijl-NAW"/>
                          </w:pPr>
                          <w:r>
                            <w:t>2500 EA Den Haag</w:t>
                          </w:r>
                        </w:p>
                        <w:p w14:paraId="56496C41" w14:textId="77777777" w:rsidR="008F0B74" w:rsidRDefault="008F0B74" w:rsidP="008F0B74">
                          <w:pPr>
                            <w:pStyle w:val="Huisstijl-NAW"/>
                          </w:pPr>
                        </w:p>
                      </w:tc>
                    </w:tr>
                  </w:tbl>
                  <w:p w14:paraId="561BCF6E" w14:textId="77777777" w:rsidR="00D35B0F" w:rsidRDefault="00E3166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B738212" wp14:editId="4951EACB">
              <wp:simplePos x="0" y="0"/>
              <wp:positionH relativeFrom="page">
                <wp:posOffset>1019175</wp:posOffset>
              </wp:positionH>
              <wp:positionV relativeFrom="page">
                <wp:posOffset>3342640</wp:posOffset>
              </wp:positionV>
              <wp:extent cx="4772025" cy="6762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762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35B0F" w14:paraId="6A37C327" w14:textId="77777777" w:rsidTr="008F0B74">
                            <w:trPr>
                              <w:trHeight w:val="6521"/>
                            </w:trPr>
                            <w:tc>
                              <w:tcPr>
                                <w:tcW w:w="1140" w:type="dxa"/>
                              </w:tcPr>
                              <w:p w14:paraId="672D8EB5" w14:textId="77777777" w:rsidR="00D35B0F" w:rsidRDefault="00E31669">
                                <w:r>
                                  <w:t>Datum</w:t>
                                </w:r>
                              </w:p>
                              <w:p w14:paraId="59C8A4DF" w14:textId="77777777" w:rsidR="008F0B74" w:rsidRDefault="008F0B74">
                                <w:r>
                                  <w:t>Betreft</w:t>
                                </w:r>
                              </w:p>
                            </w:tc>
                            <w:tc>
                              <w:tcPr>
                                <w:tcW w:w="5918" w:type="dxa"/>
                              </w:tcPr>
                              <w:p w14:paraId="0169E72B" w14:textId="154C7A05" w:rsidR="008F0B74" w:rsidRDefault="00037A59">
                                <w:r>
                                  <w:t>28 oktober 2024</w:t>
                                </w:r>
                              </w:p>
                              <w:p w14:paraId="56D5FC2A" w14:textId="77777777" w:rsidR="008F0B74" w:rsidRDefault="008F0B74">
                                <w:r>
                                  <w:t>Beantwoording vragen Eerste Kamerlid Kluit over fiscale gevolgschade en Tweede Kamerlid Beckerman over kwijtschelding en de ZAV.</w:t>
                                </w:r>
                              </w:p>
                            </w:tc>
                          </w:tr>
                          <w:tr w:rsidR="00D35B0F" w14:paraId="1227034E" w14:textId="77777777">
                            <w:trPr>
                              <w:trHeight w:val="240"/>
                            </w:trPr>
                            <w:tc>
                              <w:tcPr>
                                <w:tcW w:w="1140" w:type="dxa"/>
                              </w:tcPr>
                              <w:p w14:paraId="7846AA0C" w14:textId="77777777" w:rsidR="00D35B0F" w:rsidRDefault="00E31669">
                                <w:r>
                                  <w:t>Betreft</w:t>
                                </w:r>
                              </w:p>
                            </w:tc>
                            <w:tc>
                              <w:tcPr>
                                <w:tcW w:w="5918" w:type="dxa"/>
                              </w:tcPr>
                              <w:p w14:paraId="49F68A5E" w14:textId="228193BE" w:rsidR="00D35B0F" w:rsidRDefault="00277F2F">
                                <w:fldSimple w:instr=" DOCPROPERTY  &quot;Onderwerp&quot;  \* MERGEFORMAT ">
                                  <w:r>
                                    <w:t>-</w:t>
                                  </w:r>
                                </w:fldSimple>
                              </w:p>
                            </w:tc>
                          </w:tr>
                        </w:tbl>
                        <w:p w14:paraId="7DB681ED" w14:textId="77777777" w:rsidR="00E31669" w:rsidRDefault="00E3166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B738212" id="1670fa0c-13cb-45ec-92be-ef1f34d237c5" o:spid="_x0000_s1036" type="#_x0000_t202" style="position:absolute;margin-left:80.25pt;margin-top:263.2pt;width:375.75pt;height:53.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D35B0F" w14:paraId="6A37C327" w14:textId="77777777" w:rsidTr="008F0B74">
                      <w:trPr>
                        <w:trHeight w:val="6521"/>
                      </w:trPr>
                      <w:tc>
                        <w:tcPr>
                          <w:tcW w:w="1140" w:type="dxa"/>
                        </w:tcPr>
                        <w:p w14:paraId="672D8EB5" w14:textId="77777777" w:rsidR="00D35B0F" w:rsidRDefault="00E31669">
                          <w:r>
                            <w:t>Datum</w:t>
                          </w:r>
                        </w:p>
                        <w:p w14:paraId="59C8A4DF" w14:textId="77777777" w:rsidR="008F0B74" w:rsidRDefault="008F0B74">
                          <w:r>
                            <w:t>Betreft</w:t>
                          </w:r>
                        </w:p>
                      </w:tc>
                      <w:tc>
                        <w:tcPr>
                          <w:tcW w:w="5918" w:type="dxa"/>
                        </w:tcPr>
                        <w:p w14:paraId="0169E72B" w14:textId="154C7A05" w:rsidR="008F0B74" w:rsidRDefault="00037A59">
                          <w:r>
                            <w:t>28 oktober 2024</w:t>
                          </w:r>
                        </w:p>
                        <w:p w14:paraId="56D5FC2A" w14:textId="77777777" w:rsidR="008F0B74" w:rsidRDefault="008F0B74">
                          <w:r>
                            <w:t>Beantwoording vragen Eerste Kamerlid Kluit over fiscale gevolgschade en Tweede Kamerlid Beckerman over kwijtschelding en de ZAV.</w:t>
                          </w:r>
                        </w:p>
                      </w:tc>
                    </w:tr>
                    <w:tr w:rsidR="00D35B0F" w14:paraId="1227034E" w14:textId="77777777">
                      <w:trPr>
                        <w:trHeight w:val="240"/>
                      </w:trPr>
                      <w:tc>
                        <w:tcPr>
                          <w:tcW w:w="1140" w:type="dxa"/>
                        </w:tcPr>
                        <w:p w14:paraId="7846AA0C" w14:textId="77777777" w:rsidR="00D35B0F" w:rsidRDefault="00E31669">
                          <w:r>
                            <w:t>Betreft</w:t>
                          </w:r>
                        </w:p>
                      </w:tc>
                      <w:tc>
                        <w:tcPr>
                          <w:tcW w:w="5918" w:type="dxa"/>
                        </w:tcPr>
                        <w:p w14:paraId="49F68A5E" w14:textId="228193BE" w:rsidR="00D35B0F" w:rsidRDefault="00277F2F">
                          <w:fldSimple w:instr=" DOCPROPERTY  &quot;Onderwerp&quot;  \* MERGEFORMAT ">
                            <w:r>
                              <w:t>-</w:t>
                            </w:r>
                          </w:fldSimple>
                        </w:p>
                      </w:tc>
                    </w:tr>
                  </w:tbl>
                  <w:p w14:paraId="7DB681ED" w14:textId="77777777" w:rsidR="00E31669" w:rsidRDefault="00E3166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6A94A21" wp14:editId="078DD2C5">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AE9874" w14:textId="24AF7A29" w:rsidR="00D35B0F" w:rsidRDefault="00353EE9">
                          <w:pPr>
                            <w:pStyle w:val="Referentiegegevens"/>
                          </w:pPr>
                          <w:r>
                            <w:t>Ministerie van Binnenlandse Zaken en Koninkrijksrelaties</w:t>
                          </w:r>
                        </w:p>
                        <w:p w14:paraId="6C1B8BE1" w14:textId="77777777" w:rsidR="00D35B0F" w:rsidRDefault="00D35B0F">
                          <w:pPr>
                            <w:pStyle w:val="WitregelW1"/>
                          </w:pPr>
                        </w:p>
                        <w:p w14:paraId="77D22C99" w14:textId="77777777" w:rsidR="00D35B0F" w:rsidRDefault="00E31669">
                          <w:pPr>
                            <w:pStyle w:val="Referentiegegevens"/>
                          </w:pPr>
                          <w:r>
                            <w:t>Turfmarkt 147</w:t>
                          </w:r>
                        </w:p>
                        <w:p w14:paraId="5505DF25" w14:textId="77777777" w:rsidR="00D35B0F" w:rsidRDefault="00E31669">
                          <w:pPr>
                            <w:pStyle w:val="Referentiegegevens"/>
                          </w:pPr>
                          <w:r>
                            <w:t>2511 DP  Den Haag</w:t>
                          </w:r>
                        </w:p>
                        <w:p w14:paraId="5D4E6821" w14:textId="77777777" w:rsidR="00D35B0F" w:rsidRDefault="00E31669">
                          <w:pPr>
                            <w:pStyle w:val="Referentiegegevens"/>
                          </w:pPr>
                          <w:r>
                            <w:t>Postbus</w:t>
                          </w:r>
                        </w:p>
                        <w:p w14:paraId="23FDA417" w14:textId="77777777" w:rsidR="00D35B0F" w:rsidRDefault="00D35B0F">
                          <w:pPr>
                            <w:pStyle w:val="WitregelW1"/>
                          </w:pPr>
                        </w:p>
                        <w:p w14:paraId="0CA82DFC" w14:textId="77777777" w:rsidR="00D35B0F" w:rsidRDefault="00D35B0F">
                          <w:pPr>
                            <w:pStyle w:val="WitregelW2"/>
                          </w:pPr>
                        </w:p>
                        <w:p w14:paraId="2AF8D0C6" w14:textId="77777777" w:rsidR="00D35B0F" w:rsidRDefault="00E31669">
                          <w:pPr>
                            <w:pStyle w:val="Referentiegegevensbold"/>
                          </w:pPr>
                          <w:r>
                            <w:t>Onze referentie</w:t>
                          </w:r>
                        </w:p>
                        <w:p w14:paraId="266E068F" w14:textId="09442919" w:rsidR="00D35B0F" w:rsidRDefault="007339C6">
                          <w:pPr>
                            <w:pStyle w:val="Referentiegegevens"/>
                          </w:pPr>
                          <w:r>
                            <w:fldChar w:fldCharType="begin"/>
                          </w:r>
                          <w:r>
                            <w:instrText xml:space="preserve"> DOCPROPERTY  "Kenmerk"  \* MERGEFORMAT </w:instrText>
                          </w:r>
                          <w:r>
                            <w:fldChar w:fldCharType="separate"/>
                          </w:r>
                          <w:r w:rsidR="00277F2F">
                            <w:t>2024-0000834726</w:t>
                          </w:r>
                          <w:r>
                            <w:fldChar w:fldCharType="end"/>
                          </w:r>
                        </w:p>
                        <w:p w14:paraId="65FE727D" w14:textId="77777777" w:rsidR="00D35B0F" w:rsidRDefault="00D35B0F">
                          <w:pPr>
                            <w:pStyle w:val="WitregelW1"/>
                          </w:pPr>
                        </w:p>
                        <w:p w14:paraId="6D7B1DBE" w14:textId="77777777" w:rsidR="00D35B0F" w:rsidRDefault="00E31669">
                          <w:pPr>
                            <w:pStyle w:val="Referentiegegevensbold"/>
                          </w:pPr>
                          <w:r>
                            <w:t>Uw referentie</w:t>
                          </w:r>
                        </w:p>
                        <w:p w14:paraId="2730F74A" w14:textId="13437E6E" w:rsidR="00D35B0F" w:rsidRDefault="00E3166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6A94A21" id="aa29ef58-fa5a-4ef1-bc47-43f659f7c670" o:spid="_x0000_s1037"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FkwEAABY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Zc8Et1Cd2D+vIKM2wO+SjHyOFtJzy8KjRTDj8B65dnPDs7OdnZU&#10;0JzayiTFu3uTyo7MDFj8wvFjUfJ0/7wXnqd13rw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JmTG0WTAQAAFgMA&#10;AA4AAAAAAAAAAAAAAAAALgIAAGRycy9lMm9Eb2MueG1sUEsBAi0AFAAGAAgAAAAhAEmIUcviAAAA&#10;DQEAAA8AAAAAAAAAAAAAAAAA7QMAAGRycy9kb3ducmV2LnhtbFBLBQYAAAAABAAEAPMAAAD8BAAA&#10;AAA=&#10;" filled="f" stroked="f">
              <v:textbox inset="0,0,0,0">
                <w:txbxContent>
                  <w:p w14:paraId="53AE9874" w14:textId="24AF7A29" w:rsidR="00D35B0F" w:rsidRDefault="00353EE9">
                    <w:pPr>
                      <w:pStyle w:val="Referentiegegevens"/>
                    </w:pPr>
                    <w:r>
                      <w:t>Ministerie van Binnenlandse Zaken en Koninkrijksrelaties</w:t>
                    </w:r>
                  </w:p>
                  <w:p w14:paraId="6C1B8BE1" w14:textId="77777777" w:rsidR="00D35B0F" w:rsidRDefault="00D35B0F">
                    <w:pPr>
                      <w:pStyle w:val="WitregelW1"/>
                    </w:pPr>
                  </w:p>
                  <w:p w14:paraId="77D22C99" w14:textId="77777777" w:rsidR="00D35B0F" w:rsidRDefault="00E31669">
                    <w:pPr>
                      <w:pStyle w:val="Referentiegegevens"/>
                    </w:pPr>
                    <w:r>
                      <w:t>Turfmarkt 147</w:t>
                    </w:r>
                  </w:p>
                  <w:p w14:paraId="5505DF25" w14:textId="77777777" w:rsidR="00D35B0F" w:rsidRDefault="00E31669">
                    <w:pPr>
                      <w:pStyle w:val="Referentiegegevens"/>
                    </w:pPr>
                    <w:r>
                      <w:t>2511 DP  Den Haag</w:t>
                    </w:r>
                  </w:p>
                  <w:p w14:paraId="5D4E6821" w14:textId="77777777" w:rsidR="00D35B0F" w:rsidRDefault="00E31669">
                    <w:pPr>
                      <w:pStyle w:val="Referentiegegevens"/>
                    </w:pPr>
                    <w:r>
                      <w:t>Postbus</w:t>
                    </w:r>
                  </w:p>
                  <w:p w14:paraId="23FDA417" w14:textId="77777777" w:rsidR="00D35B0F" w:rsidRDefault="00D35B0F">
                    <w:pPr>
                      <w:pStyle w:val="WitregelW1"/>
                    </w:pPr>
                  </w:p>
                  <w:p w14:paraId="0CA82DFC" w14:textId="77777777" w:rsidR="00D35B0F" w:rsidRDefault="00D35B0F">
                    <w:pPr>
                      <w:pStyle w:val="WitregelW2"/>
                    </w:pPr>
                  </w:p>
                  <w:p w14:paraId="2AF8D0C6" w14:textId="77777777" w:rsidR="00D35B0F" w:rsidRDefault="00E31669">
                    <w:pPr>
                      <w:pStyle w:val="Referentiegegevensbold"/>
                    </w:pPr>
                    <w:r>
                      <w:t>Onze referentie</w:t>
                    </w:r>
                  </w:p>
                  <w:p w14:paraId="266E068F" w14:textId="09442919" w:rsidR="00D35B0F" w:rsidRDefault="007339C6">
                    <w:pPr>
                      <w:pStyle w:val="Referentiegegevens"/>
                    </w:pPr>
                    <w:r>
                      <w:fldChar w:fldCharType="begin"/>
                    </w:r>
                    <w:r>
                      <w:instrText xml:space="preserve"> DOCPROPERTY  "Kenmerk"  \* MERGEFORMAT </w:instrText>
                    </w:r>
                    <w:r>
                      <w:fldChar w:fldCharType="separate"/>
                    </w:r>
                    <w:r w:rsidR="00277F2F">
                      <w:t>2024-0000834726</w:t>
                    </w:r>
                    <w:r>
                      <w:fldChar w:fldCharType="end"/>
                    </w:r>
                  </w:p>
                  <w:p w14:paraId="65FE727D" w14:textId="77777777" w:rsidR="00D35B0F" w:rsidRDefault="00D35B0F">
                    <w:pPr>
                      <w:pStyle w:val="WitregelW1"/>
                    </w:pPr>
                  </w:p>
                  <w:p w14:paraId="6D7B1DBE" w14:textId="77777777" w:rsidR="00D35B0F" w:rsidRDefault="00E31669">
                    <w:pPr>
                      <w:pStyle w:val="Referentiegegevensbold"/>
                    </w:pPr>
                    <w:r>
                      <w:t>Uw referentie</w:t>
                    </w:r>
                  </w:p>
                  <w:p w14:paraId="2730F74A" w14:textId="13437E6E" w:rsidR="00D35B0F" w:rsidRDefault="00E3166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6DB8FEE" wp14:editId="102D786D">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1149A3F" w14:textId="77777777" w:rsidR="00D35B0F" w:rsidRDefault="00E31669">
                          <w:pPr>
                            <w:pStyle w:val="Referentiegegevens"/>
                          </w:pPr>
                          <w:r>
                            <w:t xml:space="preserve">Pagina </w:t>
                          </w:r>
                          <w:r>
                            <w:fldChar w:fldCharType="begin"/>
                          </w:r>
                          <w:r>
                            <w:instrText>PAGE</w:instrText>
                          </w:r>
                          <w:r>
                            <w:fldChar w:fldCharType="separate"/>
                          </w:r>
                          <w:r w:rsidR="008F0B74">
                            <w:rPr>
                              <w:noProof/>
                            </w:rPr>
                            <w:t>1</w:t>
                          </w:r>
                          <w:r>
                            <w:fldChar w:fldCharType="end"/>
                          </w:r>
                          <w:r>
                            <w:t xml:space="preserve"> van </w:t>
                          </w:r>
                          <w:r>
                            <w:fldChar w:fldCharType="begin"/>
                          </w:r>
                          <w:r>
                            <w:instrText>NUMPAGES</w:instrText>
                          </w:r>
                          <w:r>
                            <w:fldChar w:fldCharType="separate"/>
                          </w:r>
                          <w:r w:rsidR="008F0B74">
                            <w:rPr>
                              <w:noProof/>
                            </w:rPr>
                            <w:t>1</w:t>
                          </w:r>
                          <w:r>
                            <w:fldChar w:fldCharType="end"/>
                          </w:r>
                        </w:p>
                      </w:txbxContent>
                    </wps:txbx>
                    <wps:bodyPr vert="horz" wrap="square" lIns="0" tIns="0" rIns="0" bIns="0" anchor="t" anchorCtr="0"/>
                  </wps:wsp>
                </a:graphicData>
              </a:graphic>
            </wp:anchor>
          </w:drawing>
        </mc:Choice>
        <mc:Fallback>
          <w:pict>
            <v:shape w14:anchorId="66DB8FEE" id="fc795519-edb4-40fa-b772-922592680a29" o:spid="_x0000_s1038"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vi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NleceO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E3b4pMBAAAVAwAA&#10;DgAAAAAAAAAAAAAAAAAuAgAAZHJzL2Uyb0RvYy54bWxQSwECLQAUAAYACAAAACEAvJgIjuEAAAAO&#10;AQAADwAAAAAAAAAAAAAAAADtAwAAZHJzL2Rvd25yZXYueG1sUEsFBgAAAAAEAAQA8wAAAPsEAAAA&#10;AA==&#10;" filled="f" stroked="f">
              <v:textbox inset="0,0,0,0">
                <w:txbxContent>
                  <w:p w14:paraId="31149A3F" w14:textId="77777777" w:rsidR="00D35B0F" w:rsidRDefault="00E31669">
                    <w:pPr>
                      <w:pStyle w:val="Referentiegegevens"/>
                    </w:pPr>
                    <w:r>
                      <w:t xml:space="preserve">Pagina </w:t>
                    </w:r>
                    <w:r>
                      <w:fldChar w:fldCharType="begin"/>
                    </w:r>
                    <w:r>
                      <w:instrText>PAGE</w:instrText>
                    </w:r>
                    <w:r>
                      <w:fldChar w:fldCharType="separate"/>
                    </w:r>
                    <w:r w:rsidR="008F0B74">
                      <w:rPr>
                        <w:noProof/>
                      </w:rPr>
                      <w:t>1</w:t>
                    </w:r>
                    <w:r>
                      <w:fldChar w:fldCharType="end"/>
                    </w:r>
                    <w:r>
                      <w:t xml:space="preserve"> van </w:t>
                    </w:r>
                    <w:r>
                      <w:fldChar w:fldCharType="begin"/>
                    </w:r>
                    <w:r>
                      <w:instrText>NUMPAGES</w:instrText>
                    </w:r>
                    <w:r>
                      <w:fldChar w:fldCharType="separate"/>
                    </w:r>
                    <w:r w:rsidR="008F0B7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B71B4B5" wp14:editId="142E45B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0DF260" w14:textId="77777777" w:rsidR="00E31669" w:rsidRDefault="00E31669"/>
                      </w:txbxContent>
                    </wps:txbx>
                    <wps:bodyPr vert="horz" wrap="square" lIns="0" tIns="0" rIns="0" bIns="0" anchor="t" anchorCtr="0"/>
                  </wps:wsp>
                </a:graphicData>
              </a:graphic>
            </wp:anchor>
          </w:drawing>
        </mc:Choice>
        <mc:Fallback>
          <w:pict>
            <v:shape w14:anchorId="3B71B4B5" id="ea113d41-b39a-4e3b-9a6a-dce66e72abe4" o:spid="_x0000_s1039"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2hPZAZQBAAAVAwAA&#10;DgAAAAAAAAAAAAAAAAAuAgAAZHJzL2Uyb0RvYy54bWxQSwECLQAUAAYACAAAACEAfoQYGuAAAAAN&#10;AQAADwAAAAAAAAAAAAAAAADuAwAAZHJzL2Rvd25yZXYueG1sUEsFBgAAAAAEAAQA8wAAAPsEAAAA&#10;AA==&#10;" filled="f" stroked="f">
              <v:textbox inset="0,0,0,0">
                <w:txbxContent>
                  <w:p w14:paraId="670DF260" w14:textId="77777777" w:rsidR="00E31669" w:rsidRDefault="00E3166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73E86371"/>
    <w:multiLevelType w:val="hybridMultilevel"/>
    <w:tmpl w:val="9C34E8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E9F6981"/>
    <w:multiLevelType w:val="hybridMultilevel"/>
    <w:tmpl w:val="0E8093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29485087">
    <w:abstractNumId w:val="3"/>
  </w:num>
  <w:num w:numId="2" w16cid:durableId="1279802133">
    <w:abstractNumId w:val="0"/>
  </w:num>
  <w:num w:numId="3" w16cid:durableId="850795841">
    <w:abstractNumId w:val="2"/>
  </w:num>
  <w:num w:numId="4" w16cid:durableId="1592664667">
    <w:abstractNumId w:val="1"/>
  </w:num>
  <w:num w:numId="5" w16cid:durableId="1742361797">
    <w:abstractNumId w:val="4"/>
  </w:num>
  <w:num w:numId="6" w16cid:durableId="943078969">
    <w:abstractNumId w:val="5"/>
  </w:num>
  <w:num w:numId="7" w16cid:durableId="1376538579">
    <w:abstractNumId w:val="7"/>
  </w:num>
  <w:num w:numId="8" w16cid:durableId="2018455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B4"/>
    <w:rsid w:val="00037A59"/>
    <w:rsid w:val="001556B4"/>
    <w:rsid w:val="00277F2F"/>
    <w:rsid w:val="00353EE9"/>
    <w:rsid w:val="00374E48"/>
    <w:rsid w:val="007339C6"/>
    <w:rsid w:val="00895873"/>
    <w:rsid w:val="008F0B74"/>
    <w:rsid w:val="00CB4ABB"/>
    <w:rsid w:val="00D35B0F"/>
    <w:rsid w:val="00E31669"/>
    <w:rsid w:val="00EE60E3"/>
    <w:rsid w:val="00F640FC"/>
    <w:rsid w:val="00F84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F0FD6"/>
  <w15:docId w15:val="{9D7528AA-223B-44F0-B3FC-1E9BCB90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F0B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0B74"/>
    <w:rPr>
      <w:rFonts w:ascii="Verdana" w:hAnsi="Verdana"/>
      <w:color w:val="000000"/>
      <w:sz w:val="18"/>
      <w:szCs w:val="18"/>
    </w:rPr>
  </w:style>
  <w:style w:type="paragraph" w:styleId="Voettekst">
    <w:name w:val="footer"/>
    <w:basedOn w:val="Standaard"/>
    <w:link w:val="VoettekstChar"/>
    <w:uiPriority w:val="99"/>
    <w:unhideWhenUsed/>
    <w:rsid w:val="008F0B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F0B74"/>
    <w:rPr>
      <w:rFonts w:ascii="Verdana" w:hAnsi="Verdana"/>
      <w:color w:val="000000"/>
      <w:sz w:val="18"/>
      <w:szCs w:val="18"/>
    </w:rPr>
  </w:style>
  <w:style w:type="paragraph" w:customStyle="1" w:styleId="Huisstijl-Rubricering">
    <w:name w:val="Huisstijl-Rubricering"/>
    <w:basedOn w:val="Standaard"/>
    <w:rsid w:val="008F0B74"/>
    <w:pPr>
      <w:autoSpaceDN/>
      <w:adjustRightInd w:val="0"/>
      <w:spacing w:line="180" w:lineRule="exact"/>
      <w:textAlignment w:val="auto"/>
    </w:pPr>
    <w:rPr>
      <w:rFonts w:eastAsia="Times New Roman" w:cs="Verdana-Bold"/>
      <w:b/>
      <w:bCs/>
      <w:smallCaps/>
      <w:noProof/>
      <w:color w:val="auto"/>
      <w:sz w:val="13"/>
      <w:szCs w:val="13"/>
    </w:rPr>
  </w:style>
  <w:style w:type="paragraph" w:customStyle="1" w:styleId="Huisstijl-NAW">
    <w:name w:val="Huisstijl-NAW"/>
    <w:basedOn w:val="Standaard"/>
    <w:rsid w:val="008F0B74"/>
    <w:pPr>
      <w:autoSpaceDN/>
      <w:adjustRightInd w:val="0"/>
      <w:textAlignment w:val="auto"/>
    </w:pPr>
    <w:rPr>
      <w:rFonts w:eastAsia="Times New Roman" w:cs="Verdana"/>
      <w:noProof/>
      <w:color w:val="auto"/>
    </w:rPr>
  </w:style>
  <w:style w:type="paragraph" w:styleId="Voetnoottekst">
    <w:name w:val="footnote text"/>
    <w:basedOn w:val="Standaard"/>
    <w:link w:val="VoetnoottekstChar"/>
    <w:uiPriority w:val="99"/>
    <w:unhideWhenUsed/>
    <w:rsid w:val="00CB4ABB"/>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rsid w:val="00CB4ABB"/>
    <w:rPr>
      <w:rFonts w:ascii="Verdana" w:eastAsia="Times New Roman" w:hAnsi="Verdana" w:cs="Times New Roman"/>
      <w:sz w:val="13"/>
    </w:rPr>
  </w:style>
  <w:style w:type="paragraph" w:styleId="Lijstalinea">
    <w:name w:val="List Paragraph"/>
    <w:basedOn w:val="Standaard"/>
    <w:uiPriority w:val="34"/>
    <w:qFormat/>
    <w:rsid w:val="00CB4ABB"/>
    <w:pPr>
      <w:autoSpaceDN/>
      <w:ind w:left="720"/>
      <w:contextualSpacing/>
      <w:textAlignment w:val="auto"/>
    </w:pPr>
    <w:rPr>
      <w:rFonts w:eastAsia="Times New Roman" w:cs="Times New Roman"/>
      <w:color w:val="auto"/>
      <w:szCs w:val="24"/>
    </w:rPr>
  </w:style>
  <w:style w:type="character" w:styleId="Voetnootmarkering">
    <w:name w:val="footnote reference"/>
    <w:basedOn w:val="Standaardalinea-lettertype"/>
    <w:uiPriority w:val="99"/>
    <w:semiHidden/>
    <w:unhideWhenUsed/>
    <w:rsid w:val="00CB4ABB"/>
    <w:rPr>
      <w:vertAlign w:val="superscript"/>
    </w:rPr>
  </w:style>
  <w:style w:type="paragraph" w:styleId="Geenafstand">
    <w:name w:val="No Spacing"/>
    <w:uiPriority w:val="1"/>
    <w:qFormat/>
    <w:rsid w:val="00CB4ABB"/>
    <w:pPr>
      <w:autoSpaceDN/>
      <w:textAlignment w:val="auto"/>
    </w:pPr>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84043">
      <w:bodyDiv w:val="1"/>
      <w:marLeft w:val="0"/>
      <w:marRight w:val="0"/>
      <w:marTop w:val="0"/>
      <w:marBottom w:val="0"/>
      <w:divBdr>
        <w:top w:val="none" w:sz="0" w:space="0" w:color="auto"/>
        <w:left w:val="none" w:sz="0" w:space="0" w:color="auto"/>
        <w:bottom w:val="none" w:sz="0" w:space="0" w:color="auto"/>
        <w:right w:val="none" w:sz="0" w:space="0" w:color="auto"/>
      </w:divBdr>
    </w:div>
    <w:div w:id="125285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Fiscale%20gevolgschade\TK%20brief%20fiscale%20gevolgschade%20(BZK%20format)%20versie%20D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2265</ap:Words>
  <ap:Characters>12458</ap:Characters>
  <ap:DocSecurity>4</ap:DocSecurity>
  <ap:Lines>103</ap:Lines>
  <ap:Paragraphs>29</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14694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2024-10-28T14:37:00.0000000Z</dcterms:created>
  <dcterms:modified xsi:type="dcterms:W3CDTF">2024-10-28T14:37:00.0000000Z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Kamer_x000d_
 _x000d_
 </vt:lpwstr>
  </property>
  <property fmtid="{D5CDD505-2E9C-101B-9397-08002B2CF9AE}" pid="11" name="Van">
    <vt:lpwstr/>
  </property>
  <property fmtid="{D5CDD505-2E9C-101B-9397-08002B2CF9AE}" pid="12" name="Datum">
    <vt:lpwstr>18 september 2024</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2024-0000834726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lassificationContentMarkingFooterShapeIds">
    <vt:lpwstr>9910102,47b0abfc,2d3ca954</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