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767C" w:rsidR="00567BB0" w:rsidP="30CDB650" w:rsidRDefault="30CDB650" w14:paraId="2AC598AB" w14:textId="0CFBCF72">
      <w:pPr>
        <w:spacing w:after="0" w:line="240" w:lineRule="auto"/>
        <w:rPr>
          <w:rFonts w:ascii="Verdana" w:hAnsi="Verdana"/>
          <w:b/>
          <w:bCs/>
          <w:i/>
          <w:iCs/>
          <w:sz w:val="18"/>
          <w:szCs w:val="18"/>
        </w:rPr>
      </w:pPr>
      <w:r w:rsidRPr="30CDB650">
        <w:rPr>
          <w:rFonts w:ascii="Verdana" w:hAnsi="Verdana"/>
          <w:b/>
          <w:bCs/>
          <w:i/>
          <w:iCs/>
          <w:sz w:val="18"/>
          <w:szCs w:val="18"/>
        </w:rPr>
        <w:t>EU-wetgevingsonderhandelingen BZ/BHO</w:t>
      </w:r>
      <w:r w:rsidR="00567BB0">
        <w:br/>
      </w:r>
      <w:r w:rsidRPr="30CDB650">
        <w:rPr>
          <w:rFonts w:ascii="Verdana" w:hAnsi="Verdana"/>
          <w:b/>
          <w:bCs/>
          <w:sz w:val="18"/>
          <w:szCs w:val="18"/>
        </w:rPr>
        <w:t xml:space="preserve">Kwartaalrapportage, </w:t>
      </w:r>
      <w:r w:rsidR="007917F3">
        <w:rPr>
          <w:rFonts w:ascii="Verdana" w:hAnsi="Verdana"/>
          <w:b/>
          <w:bCs/>
          <w:sz w:val="18"/>
          <w:szCs w:val="18"/>
        </w:rPr>
        <w:t>juli-september</w:t>
      </w:r>
      <w:r w:rsidRPr="30CDB650">
        <w:rPr>
          <w:rFonts w:ascii="Verdana" w:hAnsi="Verdana"/>
          <w:b/>
          <w:bCs/>
          <w:sz w:val="18"/>
          <w:szCs w:val="18"/>
        </w:rPr>
        <w:t xml:space="preserve"> 2024</w:t>
      </w:r>
    </w:p>
    <w:tbl>
      <w:tblPr>
        <w:tblStyle w:val="TableGrid"/>
        <w:tblpPr w:leftFromText="141" w:rightFromText="141" w:vertAnchor="page" w:horzAnchor="margin" w:tblpY="2611"/>
        <w:tblW w:w="0" w:type="auto"/>
        <w:tblLayout w:type="fixed"/>
        <w:tblLook w:val="04A0" w:firstRow="1" w:lastRow="0" w:firstColumn="1" w:lastColumn="0" w:noHBand="0" w:noVBand="1"/>
      </w:tblPr>
      <w:tblGrid>
        <w:gridCol w:w="2515"/>
        <w:gridCol w:w="2158"/>
        <w:gridCol w:w="3544"/>
        <w:gridCol w:w="4733"/>
      </w:tblGrid>
      <w:tr w:rsidRPr="003A767C" w:rsidR="000C5D84" w:rsidTr="30CDB650" w14:paraId="4A413750" w14:textId="77777777">
        <w:tc>
          <w:tcPr>
            <w:tcW w:w="2515" w:type="dxa"/>
          </w:tcPr>
          <w:p w:rsidRPr="003A767C" w:rsidR="009C2838" w:rsidP="30CDB650" w:rsidRDefault="30CDB650" w14:paraId="79433CB1" w14:textId="77777777">
            <w:pPr>
              <w:rPr>
                <w:rFonts w:ascii="Verdana" w:hAnsi="Verdana" w:cstheme="minorBidi"/>
                <w:b/>
                <w:bCs/>
                <w:sz w:val="18"/>
                <w:szCs w:val="18"/>
              </w:rPr>
            </w:pPr>
            <w:r w:rsidRPr="30CDB650">
              <w:rPr>
                <w:rFonts w:ascii="Verdana" w:hAnsi="Verdana" w:cstheme="minorBidi"/>
                <w:b/>
                <w:bCs/>
                <w:sz w:val="18"/>
                <w:szCs w:val="18"/>
              </w:rPr>
              <w:t>Titel</w:t>
            </w:r>
          </w:p>
        </w:tc>
        <w:tc>
          <w:tcPr>
            <w:tcW w:w="2158" w:type="dxa"/>
          </w:tcPr>
          <w:p w:rsidRPr="003A767C" w:rsidR="009C2838" w:rsidP="30CDB650" w:rsidRDefault="30CDB650" w14:paraId="237C59A0" w14:textId="4C5351B0">
            <w:pPr>
              <w:rPr>
                <w:rFonts w:ascii="Verdana" w:hAnsi="Verdana" w:cstheme="minorBidi"/>
                <w:b/>
                <w:bCs/>
                <w:sz w:val="18"/>
                <w:szCs w:val="18"/>
              </w:rPr>
            </w:pPr>
            <w:r w:rsidRPr="30CDB650">
              <w:rPr>
                <w:rFonts w:ascii="Verdana" w:hAnsi="Verdana" w:cstheme="minorBidi"/>
                <w:b/>
                <w:bCs/>
                <w:sz w:val="18"/>
                <w:szCs w:val="18"/>
              </w:rPr>
              <w:t>Document nummers</w:t>
            </w:r>
          </w:p>
        </w:tc>
        <w:tc>
          <w:tcPr>
            <w:tcW w:w="3544" w:type="dxa"/>
          </w:tcPr>
          <w:p w:rsidRPr="006569B4" w:rsidR="009C2838" w:rsidP="30CDB650" w:rsidRDefault="30CDB650" w14:paraId="74870465" w14:textId="77777777">
            <w:pPr>
              <w:rPr>
                <w:rFonts w:ascii="Verdana" w:hAnsi="Verdana" w:cstheme="minorBidi"/>
                <w:b/>
                <w:bCs/>
                <w:sz w:val="18"/>
                <w:szCs w:val="18"/>
              </w:rPr>
            </w:pPr>
            <w:r w:rsidRPr="30CDB650">
              <w:rPr>
                <w:rFonts w:ascii="Verdana" w:hAnsi="Verdana" w:cstheme="minorBidi"/>
                <w:b/>
                <w:bCs/>
                <w:sz w:val="18"/>
                <w:szCs w:val="18"/>
              </w:rPr>
              <w:t>Korte beschrijving</w:t>
            </w:r>
          </w:p>
        </w:tc>
        <w:tc>
          <w:tcPr>
            <w:tcW w:w="4733" w:type="dxa"/>
          </w:tcPr>
          <w:p w:rsidRPr="006569B4" w:rsidR="009C2838" w:rsidP="30CDB650" w:rsidRDefault="30CDB650" w14:paraId="7AC09C83" w14:textId="11B34E47">
            <w:pPr>
              <w:rPr>
                <w:rFonts w:ascii="Verdana" w:hAnsi="Verdana" w:cstheme="minorBidi"/>
                <w:b/>
                <w:bCs/>
                <w:sz w:val="18"/>
                <w:szCs w:val="18"/>
              </w:rPr>
            </w:pPr>
            <w:r w:rsidRPr="30CDB650">
              <w:rPr>
                <w:rFonts w:ascii="Verdana" w:hAnsi="Verdana" w:cstheme="minorBidi"/>
                <w:b/>
                <w:bCs/>
                <w:sz w:val="18"/>
                <w:szCs w:val="18"/>
              </w:rPr>
              <w:t xml:space="preserve">Stand van Zaken </w:t>
            </w:r>
          </w:p>
        </w:tc>
      </w:tr>
      <w:tr w:rsidRPr="003A767C" w:rsidR="003C2C77" w:rsidTr="00270445" w14:paraId="5332663C" w14:textId="77777777">
        <w:tc>
          <w:tcPr>
            <w:tcW w:w="2515" w:type="dxa"/>
          </w:tcPr>
          <w:p w:rsidRPr="003A767C" w:rsidR="003C2C77" w:rsidP="30CDB650" w:rsidRDefault="30CDB650" w14:paraId="1B025110" w14:textId="6DCFC0A8">
            <w:pPr>
              <w:rPr>
                <w:rFonts w:ascii="Verdana" w:hAnsi="Verdana" w:cstheme="minorBidi"/>
                <w:sz w:val="18"/>
                <w:szCs w:val="18"/>
              </w:rPr>
            </w:pPr>
            <w:r w:rsidRPr="30CDB650">
              <w:rPr>
                <w:rFonts w:ascii="Verdana" w:hAnsi="Verdana" w:cstheme="minorBidi"/>
                <w:sz w:val="18"/>
                <w:szCs w:val="18"/>
              </w:rPr>
              <w:t xml:space="preserve">Verordening tot wijziging van het Meerjarig Financieel Kader (MFK) 2021-2027 </w:t>
            </w:r>
          </w:p>
        </w:tc>
        <w:tc>
          <w:tcPr>
            <w:tcW w:w="2158" w:type="dxa"/>
          </w:tcPr>
          <w:p w:rsidRPr="003A767C" w:rsidR="003C2C77" w:rsidP="30CDB650" w:rsidRDefault="30CDB650" w14:paraId="42EC9640" w14:textId="04C0E8C2">
            <w:pPr>
              <w:shd w:val="clear" w:color="auto" w:fill="FFFFFF" w:themeFill="background1"/>
              <w:outlineLvl w:val="0"/>
              <w:rPr>
                <w:rFonts w:ascii="Verdana" w:hAnsi="Verdana" w:cstheme="minorBidi"/>
                <w:sz w:val="18"/>
                <w:szCs w:val="18"/>
              </w:rPr>
            </w:pPr>
            <w:r w:rsidRPr="30CDB650">
              <w:rPr>
                <w:rFonts w:ascii="Verdana" w:hAnsi="Verdana" w:cstheme="minorBidi"/>
                <w:sz w:val="18"/>
                <w:szCs w:val="18"/>
              </w:rPr>
              <w:t>COM(2023)337, BNC-fiche (2023), Kamerstuk 22112, nr. 3757</w:t>
            </w:r>
          </w:p>
        </w:tc>
        <w:tc>
          <w:tcPr>
            <w:tcW w:w="3544" w:type="dxa"/>
          </w:tcPr>
          <w:p w:rsidRPr="006569B4" w:rsidR="003C2C77" w:rsidP="30CDB650" w:rsidRDefault="30CDB650" w14:paraId="094CDB03" w14:textId="57FADC97">
            <w:pPr>
              <w:rPr>
                <w:rFonts w:ascii="Verdana" w:hAnsi="Verdana" w:cstheme="minorBidi"/>
                <w:sz w:val="18"/>
                <w:szCs w:val="18"/>
              </w:rPr>
            </w:pPr>
            <w:r w:rsidRPr="30CDB650">
              <w:rPr>
                <w:rFonts w:ascii="Verdana" w:hAnsi="Verdana" w:cstheme="minorBidi"/>
                <w:color w:val="000000" w:themeColor="text1"/>
                <w:sz w:val="18"/>
                <w:szCs w:val="18"/>
              </w:rPr>
              <w:t xml:space="preserve">In totaal heeft de Commissie 66 mld. hogere uitgaven plus 33 mld. aan leningen voor Oekraïne voorgesteld, via ophoging van de MFK-plafonds en daarnaast speciale instrumenten. </w:t>
            </w:r>
          </w:p>
        </w:tc>
        <w:tc>
          <w:tcPr>
            <w:tcW w:w="4733" w:type="dxa"/>
            <w:shd w:val="clear" w:color="auto" w:fill="auto"/>
          </w:tcPr>
          <w:p w:rsidR="009E18DF" w:rsidP="30CDB650" w:rsidRDefault="009E18DF" w14:paraId="3FA66792" w14:textId="77777777">
            <w:pPr>
              <w:rPr>
                <w:rFonts w:ascii="Verdana" w:hAnsi="Verdana"/>
                <w:sz w:val="18"/>
                <w:szCs w:val="18"/>
                <w:lang w:eastAsia="en-US"/>
              </w:rPr>
            </w:pPr>
            <w:r w:rsidRPr="00270445">
              <w:rPr>
                <w:rFonts w:ascii="Verdana" w:hAnsi="Verdana"/>
                <w:sz w:val="18"/>
                <w:szCs w:val="18"/>
                <w:lang w:eastAsia="en-US"/>
              </w:rPr>
              <w:t>Nadat de Europese Raad op 1 februari jl. overeenstemming bereikte over een tussentijdse herziening van het MFK</w:t>
            </w:r>
            <w:r w:rsidRPr="00270445">
              <w:rPr>
                <w:rStyle w:val="FootnoteReference"/>
                <w:rFonts w:ascii="Verdana" w:hAnsi="Verdana" w:cstheme="minorBidi"/>
                <w:color w:val="000000"/>
                <w:sz w:val="18"/>
                <w:szCs w:val="18"/>
              </w:rPr>
              <w:footnoteReference w:id="2"/>
            </w:r>
            <w:r w:rsidRPr="00270445">
              <w:rPr>
                <w:rFonts w:ascii="Verdana" w:hAnsi="Verdana"/>
                <w:sz w:val="18"/>
                <w:szCs w:val="18"/>
                <w:lang w:eastAsia="en-US"/>
              </w:rPr>
              <w:t xml:space="preserve">, </w:t>
            </w:r>
            <w:r w:rsidRPr="00270445" w:rsidR="00270445">
              <w:rPr>
                <w:rFonts w:ascii="Verdana" w:hAnsi="Verdana"/>
                <w:sz w:val="18"/>
                <w:szCs w:val="18"/>
                <w:lang w:eastAsia="en-US"/>
              </w:rPr>
              <w:t>is er gewerkt aan de verwerking van de relevante elementen van dit akkoord in een aanpassing van de MFK-verordening. Deze aanpassing is in het voorjaar doorgevoerd. De exacte budgettaire verwerking vindt plaats via de jaarbegroting van 2025 en de bijbehorende financiële programmering van 2026 en 2027. Zodra het EP en de Raad overeenstemming vinden over deze verwerking, zal de wijziging naar verwachting (uiterlijk) in het najaar worden aangenomen in het kader van de reguliere begrotingscyclus.</w:t>
            </w:r>
          </w:p>
          <w:p w:rsidRPr="009E18DF" w:rsidR="00640EEC" w:rsidP="30CDB650" w:rsidRDefault="00640EEC" w14:paraId="647AB9AF" w14:textId="141C40E8">
            <w:pPr>
              <w:rPr>
                <w:rFonts w:ascii="Verdana" w:hAnsi="Verdana"/>
                <w:sz w:val="18"/>
                <w:szCs w:val="18"/>
                <w:lang w:eastAsia="en-US"/>
              </w:rPr>
            </w:pPr>
          </w:p>
        </w:tc>
      </w:tr>
      <w:tr w:rsidRPr="003A767C" w:rsidR="000E5EE1" w:rsidTr="30CDB650" w14:paraId="7303B462" w14:textId="77777777">
        <w:tc>
          <w:tcPr>
            <w:tcW w:w="2515" w:type="dxa"/>
          </w:tcPr>
          <w:p w:rsidRPr="003A767C" w:rsidR="000E5EE1" w:rsidP="30CDB650" w:rsidRDefault="30CDB650" w14:paraId="6ABE4B7A" w14:textId="17ECF3A0">
            <w:pPr>
              <w:rPr>
                <w:rFonts w:ascii="Verdana" w:hAnsi="Verdana" w:cstheme="minorBidi"/>
                <w:sz w:val="18"/>
                <w:szCs w:val="18"/>
              </w:rPr>
            </w:pPr>
            <w:r w:rsidRPr="30CDB650">
              <w:rPr>
                <w:rFonts w:ascii="Verdana" w:hAnsi="Verdana" w:cstheme="minorBidi"/>
                <w:sz w:val="18"/>
                <w:szCs w:val="18"/>
              </w:rPr>
              <w:t xml:space="preserve">Herziening verordening opschortingsmechanisme voor visumvrije derde landen </w:t>
            </w:r>
          </w:p>
        </w:tc>
        <w:tc>
          <w:tcPr>
            <w:tcW w:w="2158" w:type="dxa"/>
          </w:tcPr>
          <w:p w:rsidRPr="003A767C" w:rsidR="000E5EE1" w:rsidP="30CDB650" w:rsidRDefault="30CDB650" w14:paraId="21627F5C" w14:textId="37DA343A">
            <w:pPr>
              <w:shd w:val="clear" w:color="auto" w:fill="FFFFFF" w:themeFill="background1"/>
              <w:outlineLvl w:val="0"/>
              <w:rPr>
                <w:rFonts w:ascii="Verdana" w:hAnsi="Verdana" w:cstheme="minorBidi"/>
                <w:sz w:val="18"/>
                <w:szCs w:val="18"/>
              </w:rPr>
            </w:pPr>
            <w:r w:rsidRPr="30CDB650">
              <w:rPr>
                <w:rFonts w:ascii="Verdana" w:hAnsi="Verdana" w:cstheme="minorBidi"/>
                <w:sz w:val="18"/>
                <w:szCs w:val="18"/>
              </w:rPr>
              <w:t>COM(2023)642, BNC-fiche (2023), Kamerstuk 22112, nr. 3840</w:t>
            </w:r>
          </w:p>
        </w:tc>
        <w:tc>
          <w:tcPr>
            <w:tcW w:w="3544" w:type="dxa"/>
          </w:tcPr>
          <w:p w:rsidRPr="0028648D" w:rsidR="0028648D" w:rsidP="30CDB650" w:rsidRDefault="30CDB650" w14:paraId="14D3F662" w14:textId="559E7806">
            <w:pPr>
              <w:rPr>
                <w:rFonts w:ascii="Verdana" w:hAnsi="Verdana" w:cstheme="minorBidi"/>
                <w:color w:val="000000" w:themeColor="text1"/>
                <w:sz w:val="18"/>
                <w:szCs w:val="18"/>
              </w:rPr>
            </w:pPr>
            <w:r w:rsidRPr="30CDB650">
              <w:rPr>
                <w:rFonts w:ascii="Verdana" w:hAnsi="Verdana" w:cstheme="minorBidi"/>
                <w:color w:val="000000" w:themeColor="text1"/>
                <w:sz w:val="18"/>
                <w:szCs w:val="18"/>
              </w:rPr>
              <w:t>Herziening ziet toe op: aanvullende gronden voor opschorting</w:t>
            </w:r>
          </w:p>
          <w:p w:rsidRPr="0028648D" w:rsidR="0028648D" w:rsidP="30CDB650" w:rsidRDefault="30CDB650" w14:paraId="229FDCCE" w14:textId="3AC598BD">
            <w:pPr>
              <w:rPr>
                <w:rFonts w:ascii="Verdana" w:hAnsi="Verdana" w:cstheme="minorBidi"/>
                <w:color w:val="000000" w:themeColor="text1"/>
                <w:sz w:val="18"/>
                <w:szCs w:val="18"/>
              </w:rPr>
            </w:pPr>
            <w:r w:rsidRPr="30CDB650">
              <w:rPr>
                <w:rFonts w:ascii="Verdana" w:hAnsi="Verdana" w:cstheme="minorBidi"/>
                <w:color w:val="000000" w:themeColor="text1"/>
                <w:sz w:val="18"/>
                <w:szCs w:val="18"/>
              </w:rPr>
              <w:t>(zogenaamde triggers), aangepaste drempelwaardes, de opschortingsprocedure zelf en de monitorings- en</w:t>
            </w:r>
          </w:p>
          <w:p w:rsidR="0028648D" w:rsidP="30CDB650" w:rsidRDefault="30CDB650" w14:paraId="315C9D74" w14:textId="77777777">
            <w:pPr>
              <w:rPr>
                <w:rFonts w:ascii="Verdana" w:hAnsi="Verdana" w:cstheme="minorBidi"/>
                <w:color w:val="000000" w:themeColor="text1"/>
                <w:sz w:val="18"/>
                <w:szCs w:val="18"/>
              </w:rPr>
            </w:pPr>
            <w:r w:rsidRPr="30CDB650">
              <w:rPr>
                <w:rFonts w:ascii="Verdana" w:hAnsi="Verdana" w:cstheme="minorBidi"/>
                <w:color w:val="000000" w:themeColor="text1"/>
                <w:sz w:val="18"/>
                <w:szCs w:val="18"/>
              </w:rPr>
              <w:t>rapporteringsverplichtingen.</w:t>
            </w:r>
          </w:p>
          <w:p w:rsidRPr="003A767C" w:rsidR="00DC7F62" w:rsidP="30CDB650" w:rsidRDefault="00DC7F62" w14:paraId="5ABCAAE9" w14:textId="69E67E16">
            <w:pPr>
              <w:rPr>
                <w:rFonts w:ascii="Verdana" w:hAnsi="Verdana" w:cstheme="minorBidi"/>
                <w:color w:val="000000" w:themeColor="text1"/>
                <w:sz w:val="18"/>
                <w:szCs w:val="18"/>
              </w:rPr>
            </w:pPr>
          </w:p>
        </w:tc>
        <w:tc>
          <w:tcPr>
            <w:tcW w:w="4733" w:type="dxa"/>
          </w:tcPr>
          <w:p w:rsidRPr="00640EEC" w:rsidR="009E18DF" w:rsidP="009E18DF" w:rsidRDefault="005B4DEB" w14:paraId="12F59938" w14:textId="2E77502B">
            <w:pPr>
              <w:rPr>
                <w:rFonts w:ascii="Verdana" w:hAnsi="Verdana" w:cstheme="minorBidi"/>
                <w:sz w:val="18"/>
                <w:szCs w:val="18"/>
              </w:rPr>
            </w:pPr>
            <w:bookmarkStart w:name="_Hlk171006898" w:id="0"/>
            <w:r w:rsidRPr="00640EEC">
              <w:rPr>
                <w:rFonts w:ascii="Verdana" w:hAnsi="Verdana" w:cstheme="minorBidi"/>
                <w:sz w:val="18"/>
                <w:szCs w:val="18"/>
              </w:rPr>
              <w:t>Op 13 maart jl. werd in Coreper een Raadspositie bereikt op het herzieningsvoorstel</w:t>
            </w:r>
            <w:r w:rsidRPr="00640EEC">
              <w:rPr>
                <w:rStyle w:val="FootnoteReference"/>
                <w:rFonts w:ascii="Verdana" w:hAnsi="Verdana" w:cstheme="minorBidi"/>
                <w:sz w:val="18"/>
                <w:szCs w:val="18"/>
              </w:rPr>
              <w:footnoteReference w:id="3"/>
            </w:r>
            <w:r w:rsidRPr="00640EEC">
              <w:rPr>
                <w:rFonts w:ascii="Verdana" w:hAnsi="Verdana" w:cstheme="minorBidi"/>
                <w:sz w:val="18"/>
                <w:szCs w:val="18"/>
              </w:rPr>
              <w:t xml:space="preserve">. </w:t>
            </w:r>
            <w:r w:rsidRPr="00640EEC" w:rsidR="009E18DF">
              <w:rPr>
                <w:rFonts w:ascii="Verdana" w:hAnsi="Verdana" w:cstheme="minorBidi"/>
                <w:sz w:val="18"/>
                <w:szCs w:val="18"/>
              </w:rPr>
              <w:t xml:space="preserve">De verdere behandeling van het herzieningsvoorstel </w:t>
            </w:r>
            <w:r w:rsidRPr="00640EEC" w:rsidR="00027E36">
              <w:rPr>
                <w:rFonts w:ascii="Verdana" w:hAnsi="Verdana" w:cstheme="minorBidi"/>
                <w:sz w:val="18"/>
                <w:szCs w:val="18"/>
              </w:rPr>
              <w:t>werd</w:t>
            </w:r>
            <w:r w:rsidRPr="00640EEC" w:rsidR="009E18DF">
              <w:rPr>
                <w:rFonts w:ascii="Verdana" w:hAnsi="Verdana" w:cstheme="minorBidi"/>
                <w:sz w:val="18"/>
                <w:szCs w:val="18"/>
              </w:rPr>
              <w:t xml:space="preserve"> tot na de EP-verkiezingen uitgesteld.</w:t>
            </w:r>
            <w:bookmarkEnd w:id="0"/>
            <w:r w:rsidRPr="00640EEC" w:rsidR="009E18DF">
              <w:rPr>
                <w:rStyle w:val="FootnoteReference"/>
                <w:rFonts w:ascii="Verdana" w:hAnsi="Verdana" w:cstheme="minorBidi"/>
                <w:sz w:val="18"/>
                <w:szCs w:val="18"/>
              </w:rPr>
              <w:footnoteReference w:id="4"/>
            </w:r>
            <w:r w:rsidRPr="00640EEC" w:rsidR="00640EEC">
              <w:rPr>
                <w:rFonts w:ascii="Verdana" w:hAnsi="Verdana" w:cstheme="minorBidi"/>
                <w:sz w:val="18"/>
                <w:szCs w:val="18"/>
              </w:rPr>
              <w:t xml:space="preserve"> </w:t>
            </w:r>
            <w:r w:rsidRPr="00640EEC" w:rsidR="00027E36">
              <w:rPr>
                <w:rFonts w:ascii="Verdana" w:hAnsi="Verdana" w:cstheme="minorBidi"/>
                <w:sz w:val="18"/>
                <w:szCs w:val="18"/>
              </w:rPr>
              <w:t xml:space="preserve">Rapporteur </w:t>
            </w:r>
            <w:proofErr w:type="spellStart"/>
            <w:r w:rsidRPr="00640EEC" w:rsidR="00027E36">
              <w:rPr>
                <w:rFonts w:ascii="Verdana" w:hAnsi="Verdana" w:cstheme="minorBidi"/>
                <w:sz w:val="18"/>
                <w:szCs w:val="18"/>
              </w:rPr>
              <w:t>Nemec</w:t>
            </w:r>
            <w:proofErr w:type="spellEnd"/>
            <w:r w:rsidRPr="00640EEC" w:rsidR="00027E36">
              <w:rPr>
                <w:rFonts w:ascii="Verdana" w:hAnsi="Verdana" w:cstheme="minorBidi"/>
                <w:sz w:val="18"/>
                <w:szCs w:val="18"/>
              </w:rPr>
              <w:t xml:space="preserve"> is </w:t>
            </w:r>
            <w:r w:rsidRPr="00640EEC" w:rsidR="00640EEC">
              <w:rPr>
                <w:rFonts w:ascii="Verdana" w:hAnsi="Verdana" w:cstheme="minorBidi"/>
                <w:sz w:val="18"/>
                <w:szCs w:val="18"/>
              </w:rPr>
              <w:t xml:space="preserve">in het Europees Parlement </w:t>
            </w:r>
            <w:r w:rsidRPr="00640EEC" w:rsidR="00027E36">
              <w:rPr>
                <w:rFonts w:ascii="Verdana" w:hAnsi="Verdana" w:cstheme="minorBidi"/>
                <w:sz w:val="18"/>
                <w:szCs w:val="18"/>
              </w:rPr>
              <w:t>herkozen en zal dit dossier weer oppakken in het LIBE comité.</w:t>
            </w:r>
          </w:p>
        </w:tc>
      </w:tr>
      <w:tr w:rsidRPr="003A767C" w:rsidR="00036121" w:rsidTr="30CDB650" w14:paraId="2A817D5F" w14:textId="77777777">
        <w:tc>
          <w:tcPr>
            <w:tcW w:w="2515" w:type="dxa"/>
          </w:tcPr>
          <w:p w:rsidR="00036121" w:rsidP="30CDB650" w:rsidRDefault="30CDB650" w14:paraId="7111C421" w14:textId="4D8B19B3">
            <w:pPr>
              <w:rPr>
                <w:rFonts w:ascii="Verdana" w:hAnsi="Verdana" w:cstheme="minorBidi"/>
                <w:sz w:val="18"/>
                <w:szCs w:val="18"/>
              </w:rPr>
            </w:pPr>
            <w:r w:rsidRPr="30CDB650">
              <w:rPr>
                <w:rFonts w:ascii="Verdana" w:hAnsi="Verdana" w:cstheme="minorBidi"/>
                <w:sz w:val="18"/>
                <w:szCs w:val="18"/>
              </w:rPr>
              <w:t>Herziening richtlijn consulaire bescherming niet-vertegenwoordigde EU-burgers in derde landen</w:t>
            </w:r>
          </w:p>
        </w:tc>
        <w:tc>
          <w:tcPr>
            <w:tcW w:w="2158" w:type="dxa"/>
          </w:tcPr>
          <w:p w:rsidR="00036121" w:rsidP="30CDB650" w:rsidRDefault="30CDB650" w14:paraId="519E08F8" w14:textId="2C6D96AF">
            <w:pPr>
              <w:shd w:val="clear" w:color="auto" w:fill="FFFFFF" w:themeFill="background1"/>
              <w:outlineLvl w:val="0"/>
              <w:rPr>
                <w:rFonts w:ascii="Verdana" w:hAnsi="Verdana" w:cstheme="minorBidi"/>
                <w:sz w:val="18"/>
                <w:szCs w:val="18"/>
              </w:rPr>
            </w:pPr>
            <w:r w:rsidRPr="30CDB650">
              <w:rPr>
                <w:rFonts w:ascii="Verdana" w:hAnsi="Verdana" w:cstheme="minorBidi"/>
                <w:sz w:val="18"/>
                <w:szCs w:val="18"/>
              </w:rPr>
              <w:t>COM(2023)930, BNC-fiche (2024), Kamerstuk 22112, nr. 3877</w:t>
            </w:r>
          </w:p>
        </w:tc>
        <w:tc>
          <w:tcPr>
            <w:tcW w:w="3544" w:type="dxa"/>
          </w:tcPr>
          <w:p w:rsidR="00036121" w:rsidP="30CDB650" w:rsidRDefault="30CDB650" w14:paraId="4B45036A" w14:textId="77777777">
            <w:pPr>
              <w:rPr>
                <w:rFonts w:ascii="Verdana" w:hAnsi="Verdana"/>
                <w:sz w:val="18"/>
                <w:szCs w:val="18"/>
              </w:rPr>
            </w:pPr>
            <w:r w:rsidRPr="30CDB650">
              <w:rPr>
                <w:rFonts w:ascii="Verdana" w:hAnsi="Verdana" w:cstheme="minorBidi"/>
                <w:color w:val="000000" w:themeColor="text1"/>
                <w:sz w:val="18"/>
                <w:szCs w:val="18"/>
              </w:rPr>
              <w:t xml:space="preserve">Herziening ziet toe op het verbeteren van het </w:t>
            </w:r>
            <w:r w:rsidRPr="30CDB650">
              <w:rPr>
                <w:rFonts w:ascii="Verdana" w:hAnsi="Verdana"/>
                <w:sz w:val="18"/>
                <w:szCs w:val="18"/>
              </w:rPr>
              <w:t xml:space="preserve">recht op consulaire bescherming door niet-vertegenwoordigde EU-burgers in derde landen, d.m.v. de introductie van een uitgewerkte definitie van niet-vertegenwoordigd-zijn, geherdefinieerde </w:t>
            </w:r>
            <w:r w:rsidRPr="30CDB650">
              <w:rPr>
                <w:rFonts w:ascii="Verdana" w:hAnsi="Verdana"/>
                <w:sz w:val="18"/>
                <w:szCs w:val="18"/>
              </w:rPr>
              <w:lastRenderedPageBreak/>
              <w:t>samenwerkingsmechanismen en rol voor de EU-delegaties, nieuwe informatievoorzieningseisen en een herziening van de financiële procedures.</w:t>
            </w:r>
          </w:p>
          <w:p w:rsidRPr="00256BC0" w:rsidR="00DC7F62" w:rsidP="30CDB650" w:rsidRDefault="00DC7F62" w14:paraId="36CAE9FC" w14:textId="74A37631">
            <w:pPr>
              <w:rPr>
                <w:rFonts w:ascii="Verdana" w:hAnsi="Verdana"/>
                <w:sz w:val="18"/>
                <w:szCs w:val="18"/>
                <w:lang w:val="en-US"/>
              </w:rPr>
            </w:pPr>
          </w:p>
        </w:tc>
        <w:tc>
          <w:tcPr>
            <w:tcW w:w="4733" w:type="dxa"/>
          </w:tcPr>
          <w:p w:rsidRPr="00DC442F" w:rsidR="00BA7348" w:rsidP="004733CB" w:rsidRDefault="30CDB650" w14:paraId="217F44DC" w14:textId="551B26F4">
            <w:pPr>
              <w:rPr>
                <w:rFonts w:ascii="Verdana" w:hAnsi="Verdana" w:cstheme="minorBidi"/>
                <w:color w:val="000000" w:themeColor="text1"/>
                <w:sz w:val="18"/>
                <w:szCs w:val="18"/>
                <w:highlight w:val="yellow"/>
              </w:rPr>
            </w:pPr>
            <w:r w:rsidRPr="00A041DA">
              <w:rPr>
                <w:rFonts w:ascii="Verdana" w:hAnsi="Verdana" w:cstheme="minorBidi"/>
                <w:color w:val="000000" w:themeColor="text1"/>
                <w:sz w:val="18"/>
                <w:szCs w:val="18"/>
              </w:rPr>
              <w:lastRenderedPageBreak/>
              <w:t xml:space="preserve">De onderhandelingen in de Raadswerkgroep Consulaire Zaken (COCON) </w:t>
            </w:r>
            <w:r w:rsidRPr="00A041DA" w:rsidR="00C24DE9">
              <w:rPr>
                <w:rFonts w:ascii="Verdana" w:hAnsi="Verdana" w:cstheme="minorBidi"/>
                <w:color w:val="000000" w:themeColor="text1"/>
                <w:sz w:val="18"/>
                <w:szCs w:val="18"/>
              </w:rPr>
              <w:t xml:space="preserve">zijn nog </w:t>
            </w:r>
            <w:r w:rsidR="00640EEC">
              <w:rPr>
                <w:rFonts w:ascii="Verdana" w:hAnsi="Verdana" w:cstheme="minorBidi"/>
                <w:color w:val="000000" w:themeColor="text1"/>
                <w:sz w:val="18"/>
                <w:szCs w:val="18"/>
              </w:rPr>
              <w:t xml:space="preserve">steeds </w:t>
            </w:r>
            <w:r w:rsidRPr="00A041DA" w:rsidR="00C24DE9">
              <w:rPr>
                <w:rFonts w:ascii="Verdana" w:hAnsi="Verdana" w:cstheme="minorBidi"/>
                <w:color w:val="000000" w:themeColor="text1"/>
                <w:sz w:val="18"/>
                <w:szCs w:val="18"/>
              </w:rPr>
              <w:t>verkennend van aard</w:t>
            </w:r>
            <w:r w:rsidRPr="00A041DA" w:rsidR="00220DAF">
              <w:rPr>
                <w:rFonts w:ascii="Verdana" w:hAnsi="Verdana" w:cstheme="minorBidi"/>
                <w:color w:val="000000" w:themeColor="text1"/>
                <w:sz w:val="18"/>
                <w:szCs w:val="18"/>
              </w:rPr>
              <w:t xml:space="preserve">. </w:t>
            </w:r>
            <w:r w:rsidR="00A041DA">
              <w:rPr>
                <w:rFonts w:ascii="Verdana" w:hAnsi="Verdana" w:cstheme="minorBidi"/>
                <w:color w:val="000000" w:themeColor="text1"/>
                <w:sz w:val="18"/>
                <w:szCs w:val="18"/>
              </w:rPr>
              <w:t>Sinds februari jl. hebben geen onderhandelingsbijeenkomsten meer plaatsgevonden</w:t>
            </w:r>
            <w:r w:rsidRPr="00A041DA" w:rsidR="000B288A">
              <w:rPr>
                <w:rFonts w:ascii="Verdana" w:hAnsi="Verdana" w:cstheme="minorBidi"/>
                <w:color w:val="000000" w:themeColor="text1"/>
                <w:sz w:val="18"/>
                <w:szCs w:val="18"/>
              </w:rPr>
              <w:t xml:space="preserve">. </w:t>
            </w:r>
            <w:r w:rsidRPr="00A041DA" w:rsidR="00220DAF">
              <w:rPr>
                <w:rFonts w:ascii="Verdana" w:hAnsi="Verdana" w:cstheme="minorBidi"/>
                <w:color w:val="000000" w:themeColor="text1"/>
                <w:sz w:val="18"/>
                <w:szCs w:val="18"/>
              </w:rPr>
              <w:t xml:space="preserve">Meerdere lidstaten hebben aangegeven het nader te ontvangen </w:t>
            </w:r>
            <w:r w:rsidRPr="00A041DA">
              <w:rPr>
                <w:rFonts w:ascii="Verdana" w:hAnsi="Verdana" w:cstheme="minorBidi"/>
                <w:color w:val="000000" w:themeColor="text1"/>
                <w:sz w:val="18"/>
                <w:szCs w:val="18"/>
              </w:rPr>
              <w:t>juridisch advies</w:t>
            </w:r>
            <w:r w:rsidRPr="00A041DA" w:rsidR="00875EBC">
              <w:rPr>
                <w:rFonts w:ascii="Verdana" w:hAnsi="Verdana" w:cstheme="minorBidi"/>
                <w:color w:val="000000" w:themeColor="text1"/>
                <w:sz w:val="18"/>
                <w:szCs w:val="18"/>
              </w:rPr>
              <w:t xml:space="preserve"> over het voorstel</w:t>
            </w:r>
            <w:r w:rsidRPr="00A041DA">
              <w:rPr>
                <w:rFonts w:ascii="Verdana" w:hAnsi="Verdana" w:cstheme="minorBidi"/>
                <w:color w:val="000000" w:themeColor="text1"/>
                <w:sz w:val="18"/>
                <w:szCs w:val="18"/>
              </w:rPr>
              <w:t xml:space="preserve"> van de Juridische Dienst van de Raad (JDR) </w:t>
            </w:r>
            <w:r w:rsidRPr="00A041DA" w:rsidR="00220DAF">
              <w:rPr>
                <w:rFonts w:ascii="Verdana" w:hAnsi="Verdana" w:cstheme="minorBidi"/>
                <w:color w:val="000000" w:themeColor="text1"/>
                <w:sz w:val="18"/>
                <w:szCs w:val="18"/>
              </w:rPr>
              <w:t>af te willen wachten</w:t>
            </w:r>
            <w:r w:rsidRPr="00A041DA">
              <w:rPr>
                <w:rFonts w:ascii="Verdana" w:hAnsi="Verdana" w:cstheme="minorBidi"/>
                <w:color w:val="000000" w:themeColor="text1"/>
                <w:sz w:val="18"/>
                <w:szCs w:val="18"/>
              </w:rPr>
              <w:t xml:space="preserve">. Naar </w:t>
            </w:r>
            <w:r w:rsidRPr="00A041DA">
              <w:rPr>
                <w:rFonts w:ascii="Verdana" w:hAnsi="Verdana" w:cstheme="minorBidi"/>
                <w:color w:val="000000" w:themeColor="text1"/>
                <w:sz w:val="18"/>
                <w:szCs w:val="18"/>
              </w:rPr>
              <w:lastRenderedPageBreak/>
              <w:t>verwachting worden de onderhandelingen hervat</w:t>
            </w:r>
            <w:r w:rsidR="0016051B">
              <w:rPr>
                <w:rFonts w:ascii="Verdana" w:hAnsi="Verdana" w:cstheme="minorBidi"/>
                <w:color w:val="000000" w:themeColor="text1"/>
                <w:sz w:val="18"/>
                <w:szCs w:val="18"/>
              </w:rPr>
              <w:t xml:space="preserve"> </w:t>
            </w:r>
            <w:r w:rsidRPr="0016051B" w:rsidR="0016051B">
              <w:rPr>
                <w:rFonts w:ascii="Verdana" w:hAnsi="Verdana" w:cstheme="minorBidi"/>
                <w:color w:val="000000" w:themeColor="text1"/>
                <w:sz w:val="18"/>
                <w:szCs w:val="18"/>
              </w:rPr>
              <w:t xml:space="preserve"> aan de hand van een nader te ontvangen compromisvoorstel</w:t>
            </w:r>
            <w:r w:rsidR="0016051B">
              <w:rPr>
                <w:rFonts w:ascii="Verdana" w:hAnsi="Verdana" w:cstheme="minorBidi"/>
                <w:color w:val="000000" w:themeColor="text1"/>
                <w:sz w:val="18"/>
                <w:szCs w:val="18"/>
              </w:rPr>
              <w:t xml:space="preserve"> van het Hongaars voorzitterschap</w:t>
            </w:r>
            <w:r w:rsidRPr="00A041DA" w:rsidR="00220DAF">
              <w:rPr>
                <w:rFonts w:ascii="Verdana" w:hAnsi="Verdana" w:cstheme="minorBidi"/>
                <w:color w:val="000000" w:themeColor="text1"/>
                <w:sz w:val="18"/>
                <w:szCs w:val="18"/>
              </w:rPr>
              <w:t xml:space="preserve"> </w:t>
            </w:r>
            <w:r w:rsidR="00A041DA">
              <w:rPr>
                <w:rFonts w:ascii="Verdana" w:hAnsi="Verdana" w:cstheme="minorBidi"/>
                <w:color w:val="000000" w:themeColor="text1"/>
                <w:sz w:val="18"/>
                <w:szCs w:val="18"/>
              </w:rPr>
              <w:t>in begin december</w:t>
            </w:r>
            <w:r w:rsidRPr="00A041DA">
              <w:rPr>
                <w:rFonts w:ascii="Verdana" w:hAnsi="Verdana" w:cstheme="minorBidi"/>
                <w:color w:val="000000" w:themeColor="text1"/>
                <w:sz w:val="18"/>
                <w:szCs w:val="18"/>
              </w:rPr>
              <w:t xml:space="preserve"> a.s.</w:t>
            </w:r>
          </w:p>
        </w:tc>
      </w:tr>
      <w:tr w:rsidRPr="003A767C" w:rsidR="00677C39" w:rsidTr="30CDB650" w14:paraId="17CB2775" w14:textId="77777777">
        <w:tc>
          <w:tcPr>
            <w:tcW w:w="2515" w:type="dxa"/>
          </w:tcPr>
          <w:p w:rsidRPr="003A767C" w:rsidR="00677C39" w:rsidP="30CDB650" w:rsidRDefault="30CDB650" w14:paraId="25CEB0DE" w14:textId="77777777">
            <w:pPr>
              <w:rPr>
                <w:rFonts w:ascii="Verdana" w:hAnsi="Verdana" w:cstheme="minorBidi"/>
                <w:sz w:val="18"/>
                <w:szCs w:val="18"/>
              </w:rPr>
            </w:pPr>
            <w:bookmarkStart w:name="_Hlk170814842" w:id="1"/>
            <w:r w:rsidRPr="30CDB650">
              <w:rPr>
                <w:rFonts w:ascii="Verdana" w:hAnsi="Verdana" w:cstheme="minorBidi"/>
                <w:sz w:val="18"/>
                <w:szCs w:val="18"/>
              </w:rPr>
              <w:lastRenderedPageBreak/>
              <w:t xml:space="preserve">Herziening Verordening Algemeen </w:t>
            </w:r>
          </w:p>
          <w:p w:rsidRPr="003A767C" w:rsidR="00677C39" w:rsidP="30CDB650" w:rsidRDefault="30CDB650" w14:paraId="0563F611" w14:textId="77777777">
            <w:pPr>
              <w:rPr>
                <w:rFonts w:ascii="Verdana" w:hAnsi="Verdana" w:cstheme="minorBidi"/>
                <w:sz w:val="18"/>
                <w:szCs w:val="18"/>
              </w:rPr>
            </w:pPr>
            <w:r w:rsidRPr="30CDB650">
              <w:rPr>
                <w:rFonts w:ascii="Verdana" w:hAnsi="Verdana" w:cstheme="minorBidi"/>
                <w:sz w:val="18"/>
                <w:szCs w:val="18"/>
              </w:rPr>
              <w:t xml:space="preserve">Preferentieel </w:t>
            </w:r>
          </w:p>
          <w:p w:rsidRPr="003A767C" w:rsidR="00677C39" w:rsidP="30CDB650" w:rsidRDefault="30CDB650" w14:paraId="6F1F7BE5" w14:textId="66E38D3D">
            <w:pPr>
              <w:rPr>
                <w:rFonts w:ascii="Verdana" w:hAnsi="Verdana" w:cstheme="minorBidi"/>
                <w:sz w:val="18"/>
                <w:szCs w:val="18"/>
              </w:rPr>
            </w:pPr>
            <w:r w:rsidRPr="30CDB650">
              <w:rPr>
                <w:rFonts w:ascii="Verdana" w:hAnsi="Verdana" w:cstheme="minorBidi"/>
                <w:sz w:val="18"/>
                <w:szCs w:val="18"/>
              </w:rPr>
              <w:t>Stelsel (APS)</w:t>
            </w:r>
          </w:p>
        </w:tc>
        <w:tc>
          <w:tcPr>
            <w:tcW w:w="2158" w:type="dxa"/>
          </w:tcPr>
          <w:p w:rsidRPr="003A767C" w:rsidR="00677C39" w:rsidP="30CDB650" w:rsidRDefault="30CDB650" w14:paraId="25E0E80B" w14:textId="1E9FEFDD">
            <w:pPr>
              <w:shd w:val="clear" w:color="auto" w:fill="FFFFFF" w:themeFill="background1"/>
              <w:outlineLvl w:val="0"/>
              <w:rPr>
                <w:rFonts w:ascii="Verdana" w:hAnsi="Verdana" w:cstheme="minorBidi"/>
                <w:sz w:val="18"/>
                <w:szCs w:val="18"/>
              </w:rPr>
            </w:pPr>
            <w:r w:rsidRPr="30CDB650">
              <w:rPr>
                <w:rFonts w:ascii="Verdana" w:hAnsi="Verdana" w:cstheme="minorBidi"/>
                <w:sz w:val="18"/>
                <w:szCs w:val="18"/>
              </w:rPr>
              <w:t>COM(2021)579, BNC-fiche (2021), Kamerstuk 22112, nr. 3237, Kamerstuk 22112, nr. 3593, COM(2023)426 en Kamerstuk 22112, nr. 3755</w:t>
            </w:r>
          </w:p>
        </w:tc>
        <w:tc>
          <w:tcPr>
            <w:tcW w:w="3544" w:type="dxa"/>
          </w:tcPr>
          <w:p w:rsidRPr="003A767C" w:rsidR="00B37425" w:rsidP="30CDB650" w:rsidRDefault="30CDB650" w14:paraId="7FD3C0E1" w14:textId="1B9DA6CA">
            <w:pPr>
              <w:rPr>
                <w:rFonts w:ascii="Verdana" w:hAnsi="Verdana" w:cstheme="minorBidi"/>
                <w:sz w:val="18"/>
                <w:szCs w:val="18"/>
              </w:rPr>
            </w:pPr>
            <w:r w:rsidRPr="30CDB650">
              <w:rPr>
                <w:rFonts w:ascii="Verdana" w:hAnsi="Verdana" w:cstheme="minorBidi"/>
                <w:sz w:val="18"/>
                <w:szCs w:val="18"/>
              </w:rPr>
              <w:t xml:space="preserve">Vanwege het uitblijven van een akkoord over de herziening van het APS, is de huidige APS verordening – als tussenoplossing – op 27 november 2023 verlengd tot 31 december 2027. Op die manier blijven de tariefpreferenties voor ontwikkelingslanden behouden. </w:t>
            </w:r>
          </w:p>
          <w:p w:rsidRPr="003A767C" w:rsidR="00677C39" w:rsidP="00677C39" w:rsidRDefault="00677C39" w14:paraId="4032BE8B" w14:textId="21F99B9E">
            <w:pPr>
              <w:rPr>
                <w:rFonts w:ascii="Verdana" w:hAnsi="Verdana" w:cstheme="minorHAnsi"/>
                <w:color w:val="000000"/>
                <w:sz w:val="18"/>
                <w:szCs w:val="18"/>
              </w:rPr>
            </w:pPr>
          </w:p>
        </w:tc>
        <w:tc>
          <w:tcPr>
            <w:tcW w:w="4733" w:type="dxa"/>
            <w:shd w:val="clear" w:color="auto" w:fill="auto"/>
          </w:tcPr>
          <w:p w:rsidRPr="00D36E02" w:rsidR="00677C39" w:rsidP="30CDB650" w:rsidRDefault="30CDB650" w14:paraId="75C4BE73" w14:textId="68032638">
            <w:pPr>
              <w:rPr>
                <w:rFonts w:ascii="Verdana" w:hAnsi="Verdana" w:cstheme="minorBidi"/>
                <w:color w:val="000000" w:themeColor="text1"/>
                <w:sz w:val="18"/>
                <w:szCs w:val="18"/>
                <w:highlight w:val="yellow"/>
              </w:rPr>
            </w:pPr>
            <w:r w:rsidRPr="000323A9">
              <w:rPr>
                <w:rFonts w:ascii="Verdana" w:hAnsi="Verdana" w:cstheme="minorBidi"/>
                <w:sz w:val="18"/>
                <w:szCs w:val="18"/>
              </w:rPr>
              <w:t xml:space="preserve">Vooralsnog is er geen politiek akkoord bereikt in de </w:t>
            </w:r>
            <w:proofErr w:type="spellStart"/>
            <w:r w:rsidRPr="000323A9">
              <w:rPr>
                <w:rFonts w:ascii="Verdana" w:hAnsi="Verdana" w:cstheme="minorBidi"/>
                <w:sz w:val="18"/>
                <w:szCs w:val="18"/>
              </w:rPr>
              <w:t>triloogonderhandelingen</w:t>
            </w:r>
            <w:proofErr w:type="spellEnd"/>
            <w:r w:rsidRPr="000323A9">
              <w:rPr>
                <w:rFonts w:ascii="Verdana" w:hAnsi="Verdana" w:cstheme="minorBidi"/>
                <w:sz w:val="18"/>
                <w:szCs w:val="18"/>
              </w:rPr>
              <w:t xml:space="preserve"> over de herziening van het APS. </w:t>
            </w:r>
          </w:p>
        </w:tc>
      </w:tr>
      <w:bookmarkEnd w:id="1"/>
    </w:tbl>
    <w:p w:rsidRPr="002D5561" w:rsidR="007626BB" w:rsidP="0008734C" w:rsidRDefault="007626BB" w14:paraId="46BEA0B7" w14:textId="77777777">
      <w:pPr>
        <w:spacing w:line="240" w:lineRule="auto"/>
        <w:rPr>
          <w:rFonts w:ascii="Verdana" w:hAnsi="Verdana"/>
          <w:b/>
          <w:bCs/>
          <w:sz w:val="18"/>
          <w:szCs w:val="18"/>
        </w:rPr>
      </w:pPr>
    </w:p>
    <w:sectPr w:rsidRPr="002D5561" w:rsidR="007626BB" w:rsidSect="009C2838">
      <w:footerReference w:type="default" r:id="rId12"/>
      <w:pgSz w:w="15840" w:h="12240" w:orient="landscape"/>
      <w:pgMar w:top="1440" w:right="1440" w:bottom="1440" w:left="1440" w:header="708" w:footer="708" w:gutter="0"/>
      <w:cols w:space="708"/>
      <w:noEndnote/>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40E9" w14:textId="77777777" w:rsidR="00FB4906" w:rsidRDefault="00FB4906" w:rsidP="00AC25EB">
      <w:pPr>
        <w:spacing w:after="0" w:line="240" w:lineRule="auto"/>
      </w:pPr>
      <w:r>
        <w:separator/>
      </w:r>
    </w:p>
  </w:endnote>
  <w:endnote w:type="continuationSeparator" w:id="0">
    <w:p w14:paraId="4FDD2756" w14:textId="77777777" w:rsidR="00FB4906" w:rsidRDefault="00FB4906" w:rsidP="00AC25EB">
      <w:pPr>
        <w:spacing w:after="0" w:line="240" w:lineRule="auto"/>
      </w:pPr>
      <w:r>
        <w:continuationSeparator/>
      </w:r>
    </w:p>
  </w:endnote>
  <w:endnote w:type="continuationNotice" w:id="1">
    <w:p w14:paraId="592E1C11" w14:textId="77777777" w:rsidR="00FB4906" w:rsidRDefault="00FB4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821621"/>
      <w:docPartObj>
        <w:docPartGallery w:val="Page Numbers (Bottom of Page)"/>
        <w:docPartUnique/>
      </w:docPartObj>
    </w:sdtPr>
    <w:sdtEndPr/>
    <w:sdtContent>
      <w:p w14:paraId="5D32B0E5" w14:textId="6784EE97" w:rsidR="004C7596" w:rsidRDefault="004C7596">
        <w:pPr>
          <w:pStyle w:val="Footer"/>
          <w:jc w:val="center"/>
        </w:pPr>
        <w:r>
          <w:fldChar w:fldCharType="begin"/>
        </w:r>
        <w:r>
          <w:instrText>PAGE   \* MERGEFORMAT</w:instrText>
        </w:r>
        <w:r>
          <w:fldChar w:fldCharType="separate"/>
        </w:r>
        <w:r>
          <w:t>2</w:t>
        </w:r>
        <w:r>
          <w:fldChar w:fldCharType="end"/>
        </w:r>
      </w:p>
    </w:sdtContent>
  </w:sdt>
  <w:p w14:paraId="0CB6D8CA" w14:textId="77777777" w:rsidR="004C7596" w:rsidRDefault="004C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6F2D" w14:textId="77777777" w:rsidR="00FB4906" w:rsidRDefault="00FB4906" w:rsidP="00AC25EB">
      <w:pPr>
        <w:spacing w:after="0" w:line="240" w:lineRule="auto"/>
      </w:pPr>
      <w:r>
        <w:separator/>
      </w:r>
    </w:p>
  </w:footnote>
  <w:footnote w:type="continuationSeparator" w:id="0">
    <w:p w14:paraId="7D02C9AE" w14:textId="77777777" w:rsidR="00FB4906" w:rsidRDefault="00FB4906" w:rsidP="00AC25EB">
      <w:pPr>
        <w:spacing w:after="0" w:line="240" w:lineRule="auto"/>
      </w:pPr>
      <w:r>
        <w:continuationSeparator/>
      </w:r>
    </w:p>
  </w:footnote>
  <w:footnote w:type="continuationNotice" w:id="1">
    <w:p w14:paraId="70E67590" w14:textId="77777777" w:rsidR="00FB4906" w:rsidRDefault="00FB4906">
      <w:pPr>
        <w:spacing w:after="0" w:line="240" w:lineRule="auto"/>
      </w:pPr>
    </w:p>
  </w:footnote>
  <w:footnote w:id="2">
    <w:p w14:paraId="5194E291" w14:textId="77777777" w:rsidR="009E18DF" w:rsidRPr="00561F00" w:rsidRDefault="009E18DF" w:rsidP="009E18DF">
      <w:pPr>
        <w:pStyle w:val="FootnoteText"/>
        <w:rPr>
          <w:rFonts w:ascii="Verdana" w:hAnsi="Verdana" w:cstheme="minorHAnsi"/>
          <w:sz w:val="16"/>
          <w:szCs w:val="16"/>
        </w:rPr>
      </w:pPr>
      <w:r w:rsidRPr="00561F00">
        <w:rPr>
          <w:rStyle w:val="FootnoteReference"/>
          <w:rFonts w:ascii="Verdana" w:hAnsi="Verdana" w:cstheme="minorHAnsi"/>
          <w:sz w:val="16"/>
          <w:szCs w:val="16"/>
        </w:rPr>
        <w:footnoteRef/>
      </w:r>
      <w:r w:rsidRPr="00561F00">
        <w:rPr>
          <w:rFonts w:ascii="Verdana" w:hAnsi="Verdana" w:cstheme="minorHAnsi"/>
          <w:sz w:val="16"/>
          <w:szCs w:val="16"/>
        </w:rPr>
        <w:t xml:space="preserve"> Zie verslag van de buitengewone Europese Raad van 1 februari 2024, Kamerstukken II 2023/24, 21501-20, nr. 2018. </w:t>
      </w:r>
    </w:p>
  </w:footnote>
  <w:footnote w:id="3">
    <w:p w14:paraId="1E70CCA6" w14:textId="6BA5A152" w:rsidR="005B4DEB" w:rsidRPr="00561F00" w:rsidRDefault="005B4DEB">
      <w:pPr>
        <w:pStyle w:val="FootnoteText"/>
        <w:rPr>
          <w:rFonts w:ascii="Verdana" w:hAnsi="Verdana"/>
          <w:sz w:val="16"/>
          <w:szCs w:val="16"/>
        </w:rPr>
      </w:pPr>
      <w:r w:rsidRPr="00561F00">
        <w:rPr>
          <w:rStyle w:val="FootnoteReference"/>
          <w:rFonts w:ascii="Verdana" w:hAnsi="Verdana" w:cstheme="minorHAnsi"/>
          <w:sz w:val="16"/>
          <w:szCs w:val="16"/>
        </w:rPr>
        <w:footnoteRef/>
      </w:r>
      <w:r w:rsidRPr="00561F00">
        <w:rPr>
          <w:rFonts w:ascii="Verdana" w:hAnsi="Verdana" w:cstheme="minorHAnsi"/>
          <w:sz w:val="16"/>
          <w:szCs w:val="16"/>
        </w:rPr>
        <w:t xml:space="preserve"> Zie ook Kabinetsappreciatie Commissierapport inzake het opschortingsmechanisme voor visumvrijstelling, Kamerstuk</w:t>
      </w:r>
      <w:r w:rsidR="007C0227" w:rsidRPr="00561F00">
        <w:rPr>
          <w:rFonts w:ascii="Verdana" w:hAnsi="Verdana" w:cstheme="minorHAnsi"/>
          <w:sz w:val="16"/>
          <w:szCs w:val="16"/>
        </w:rPr>
        <w:t>ken II 2023/24,</w:t>
      </w:r>
      <w:r w:rsidRPr="00561F00">
        <w:rPr>
          <w:rFonts w:ascii="Verdana" w:hAnsi="Verdana" w:cstheme="minorHAnsi"/>
          <w:sz w:val="16"/>
          <w:szCs w:val="16"/>
        </w:rPr>
        <w:t xml:space="preserve"> 32317</w:t>
      </w:r>
      <w:r w:rsidR="007C0227" w:rsidRPr="00561F00">
        <w:rPr>
          <w:rFonts w:ascii="Verdana" w:hAnsi="Verdana" w:cstheme="minorHAnsi"/>
          <w:sz w:val="16"/>
          <w:szCs w:val="16"/>
        </w:rPr>
        <w:t xml:space="preserve">, nr. </w:t>
      </w:r>
      <w:r w:rsidRPr="00561F00">
        <w:rPr>
          <w:rFonts w:ascii="Verdana" w:hAnsi="Verdana" w:cstheme="minorHAnsi"/>
          <w:sz w:val="16"/>
          <w:szCs w:val="16"/>
        </w:rPr>
        <w:t>875</w:t>
      </w:r>
      <w:r w:rsidR="007C0227" w:rsidRPr="00561F00">
        <w:rPr>
          <w:rFonts w:ascii="Verdana" w:hAnsi="Verdana" w:cstheme="minorHAnsi"/>
          <w:sz w:val="16"/>
          <w:szCs w:val="16"/>
        </w:rPr>
        <w:t>.</w:t>
      </w:r>
    </w:p>
  </w:footnote>
  <w:footnote w:id="4">
    <w:p w14:paraId="542F5BB8" w14:textId="05B6E597" w:rsidR="009E18DF" w:rsidRPr="009E18DF" w:rsidRDefault="009E18DF">
      <w:pPr>
        <w:pStyle w:val="FootnoteText"/>
      </w:pPr>
      <w:r w:rsidRPr="00561F00">
        <w:rPr>
          <w:rStyle w:val="FootnoteReference"/>
          <w:rFonts w:ascii="Verdana" w:hAnsi="Verdana"/>
          <w:sz w:val="16"/>
          <w:szCs w:val="16"/>
        </w:rPr>
        <w:footnoteRef/>
      </w:r>
      <w:r w:rsidRPr="00561F00">
        <w:rPr>
          <w:rFonts w:ascii="Verdana" w:hAnsi="Verdana"/>
          <w:sz w:val="16"/>
          <w:szCs w:val="16"/>
        </w:rPr>
        <w:t xml:space="preserve"> Voor de procedure in het EP, zie </w:t>
      </w:r>
      <w:hyperlink r:id="rId1" w:anchor=":~:text=In%20October%202023%2C%20the%20Commission,from%20a%20visa%20free%20country." w:history="1">
        <w:proofErr w:type="spellStart"/>
        <w:r w:rsidRPr="00561F00">
          <w:rPr>
            <w:rStyle w:val="Hyperlink"/>
            <w:rFonts w:ascii="Verdana" w:hAnsi="Verdana"/>
            <w:sz w:val="16"/>
            <w:szCs w:val="16"/>
          </w:rPr>
          <w:t>Revision</w:t>
        </w:r>
        <w:proofErr w:type="spellEnd"/>
        <w:r w:rsidRPr="00561F00">
          <w:rPr>
            <w:rStyle w:val="Hyperlink"/>
            <w:rFonts w:ascii="Verdana" w:hAnsi="Verdana"/>
            <w:sz w:val="16"/>
            <w:szCs w:val="16"/>
          </w:rPr>
          <w:t xml:space="preserve"> of the visa suspension </w:t>
        </w:r>
        <w:proofErr w:type="spellStart"/>
        <w:r w:rsidRPr="00561F00">
          <w:rPr>
            <w:rStyle w:val="Hyperlink"/>
            <w:rFonts w:ascii="Verdana" w:hAnsi="Verdana"/>
            <w:sz w:val="16"/>
            <w:szCs w:val="16"/>
          </w:rPr>
          <w:t>mechanism</w:t>
        </w:r>
        <w:proofErr w:type="spellEnd"/>
        <w:r w:rsidRPr="00561F00">
          <w:rPr>
            <w:rStyle w:val="Hyperlink"/>
            <w:rFonts w:ascii="Verdana" w:hAnsi="Verdana"/>
            <w:sz w:val="16"/>
            <w:szCs w:val="16"/>
          </w:rPr>
          <w:t xml:space="preserve"> | </w:t>
        </w:r>
        <w:proofErr w:type="spellStart"/>
        <w:r w:rsidRPr="00561F00">
          <w:rPr>
            <w:rStyle w:val="Hyperlink"/>
            <w:rFonts w:ascii="Verdana" w:hAnsi="Verdana"/>
            <w:sz w:val="16"/>
            <w:szCs w:val="16"/>
          </w:rPr>
          <w:t>Think</w:t>
        </w:r>
        <w:proofErr w:type="spellEnd"/>
        <w:r w:rsidRPr="00561F00">
          <w:rPr>
            <w:rStyle w:val="Hyperlink"/>
            <w:rFonts w:ascii="Verdana" w:hAnsi="Verdana"/>
            <w:sz w:val="16"/>
            <w:szCs w:val="16"/>
          </w:rPr>
          <w:t xml:space="preserve"> Tank | European Parliament (europa.eu)</w:t>
        </w:r>
      </w:hyperlink>
      <w:r w:rsidRPr="00561F00">
        <w:rPr>
          <w:rFonts w:ascii="Verdana" w:hAnsi="Verdana"/>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1F39"/>
    <w:multiLevelType w:val="hybridMultilevel"/>
    <w:tmpl w:val="1E388CD0"/>
    <w:lvl w:ilvl="0" w:tplc="04130001">
      <w:numFmt w:val="bullet"/>
      <w:lvlText w:val=""/>
      <w:lvlJc w:val="left"/>
      <w:pPr>
        <w:ind w:left="360" w:hanging="360"/>
      </w:pPr>
      <w:rPr>
        <w:rFonts w:ascii="Symbol" w:eastAsia="Times New Roman" w:hAnsi="Symbol" w:cs="Times New Roman" w:hint="default"/>
        <w:i w:val="0"/>
      </w:rPr>
    </w:lvl>
    <w:lvl w:ilvl="1" w:tplc="04130003">
      <w:start w:val="1"/>
      <w:numFmt w:val="bullet"/>
      <w:lvlText w:val="o"/>
      <w:lvlJc w:val="left"/>
      <w:pPr>
        <w:ind w:left="785" w:hanging="360"/>
      </w:pPr>
      <w:rPr>
        <w:rFonts w:ascii="Courier New" w:hAnsi="Courier New" w:cs="Courier New" w:hint="default"/>
      </w:rPr>
    </w:lvl>
    <w:lvl w:ilvl="2" w:tplc="77F69F14">
      <w:start w:val="31"/>
      <w:numFmt w:val="bullet"/>
      <w:lvlText w:val="-"/>
      <w:lvlJc w:val="left"/>
      <w:pPr>
        <w:ind w:left="1800" w:hanging="360"/>
      </w:pPr>
      <w:rPr>
        <w:rFonts w:ascii="Verdana" w:eastAsia="Times New Roman" w:hAnsi="Verdana" w:cs="Times New Roman"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1869F6"/>
    <w:multiLevelType w:val="hybridMultilevel"/>
    <w:tmpl w:val="717652FA"/>
    <w:lvl w:ilvl="0" w:tplc="F18E7E0E">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913B72"/>
    <w:multiLevelType w:val="hybridMultilevel"/>
    <w:tmpl w:val="6FC677E0"/>
    <w:lvl w:ilvl="0" w:tplc="8C26FE0A">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4448C8"/>
    <w:multiLevelType w:val="hybridMultilevel"/>
    <w:tmpl w:val="BDA4D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F33118"/>
    <w:multiLevelType w:val="hybridMultilevel"/>
    <w:tmpl w:val="4A307B66"/>
    <w:lvl w:ilvl="0" w:tplc="60DEBD30">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3009B7"/>
    <w:multiLevelType w:val="hybridMultilevel"/>
    <w:tmpl w:val="6DFA6C66"/>
    <w:lvl w:ilvl="0" w:tplc="2FC648E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2F46FF5"/>
    <w:multiLevelType w:val="hybridMultilevel"/>
    <w:tmpl w:val="8A72D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CC5C82"/>
    <w:multiLevelType w:val="hybridMultilevel"/>
    <w:tmpl w:val="DA64AFC2"/>
    <w:lvl w:ilvl="0" w:tplc="2C8C7EC6">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182DB9"/>
    <w:multiLevelType w:val="hybridMultilevel"/>
    <w:tmpl w:val="DBFCE0B8"/>
    <w:lvl w:ilvl="0" w:tplc="64327084">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281327"/>
    <w:multiLevelType w:val="hybridMultilevel"/>
    <w:tmpl w:val="2C0E5E40"/>
    <w:lvl w:ilvl="0" w:tplc="1E7E0EC0">
      <w:numFmt w:val="bullet"/>
      <w:lvlText w:val="-"/>
      <w:lvlJc w:val="left"/>
      <w:pPr>
        <w:ind w:left="720" w:hanging="360"/>
      </w:pPr>
      <w:rPr>
        <w:rFonts w:ascii="Calibri" w:eastAsia="DengXi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37225849">
    <w:abstractNumId w:val="3"/>
  </w:num>
  <w:num w:numId="2" w16cid:durableId="1112288525">
    <w:abstractNumId w:val="9"/>
  </w:num>
  <w:num w:numId="3" w16cid:durableId="765267099">
    <w:abstractNumId w:val="9"/>
  </w:num>
  <w:num w:numId="4" w16cid:durableId="236594845">
    <w:abstractNumId w:val="0"/>
  </w:num>
  <w:num w:numId="5" w16cid:durableId="1207060857">
    <w:abstractNumId w:val="5"/>
  </w:num>
  <w:num w:numId="6" w16cid:durableId="1620333905">
    <w:abstractNumId w:val="6"/>
  </w:num>
  <w:num w:numId="7" w16cid:durableId="1639452865">
    <w:abstractNumId w:val="1"/>
  </w:num>
  <w:num w:numId="8" w16cid:durableId="327560441">
    <w:abstractNumId w:val="7"/>
  </w:num>
  <w:num w:numId="9" w16cid:durableId="304431990">
    <w:abstractNumId w:val="2"/>
  </w:num>
  <w:num w:numId="10" w16cid:durableId="961692543">
    <w:abstractNumId w:val="4"/>
  </w:num>
  <w:num w:numId="11" w16cid:durableId="55402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38"/>
    <w:rsid w:val="0000704C"/>
    <w:rsid w:val="00014BFE"/>
    <w:rsid w:val="000227E9"/>
    <w:rsid w:val="00027E36"/>
    <w:rsid w:val="000323A9"/>
    <w:rsid w:val="00036121"/>
    <w:rsid w:val="0004096F"/>
    <w:rsid w:val="00040A74"/>
    <w:rsid w:val="00043435"/>
    <w:rsid w:val="00067EEA"/>
    <w:rsid w:val="00081148"/>
    <w:rsid w:val="00084428"/>
    <w:rsid w:val="00084654"/>
    <w:rsid w:val="0008734C"/>
    <w:rsid w:val="00091272"/>
    <w:rsid w:val="00097657"/>
    <w:rsid w:val="00097887"/>
    <w:rsid w:val="000A58B2"/>
    <w:rsid w:val="000B288A"/>
    <w:rsid w:val="000B60A8"/>
    <w:rsid w:val="000B6666"/>
    <w:rsid w:val="000C5D84"/>
    <w:rsid w:val="000C7DB4"/>
    <w:rsid w:val="000E509F"/>
    <w:rsid w:val="000E5EE1"/>
    <w:rsid w:val="000F4E40"/>
    <w:rsid w:val="000F6032"/>
    <w:rsid w:val="000F7AF6"/>
    <w:rsid w:val="00103764"/>
    <w:rsid w:val="0011329F"/>
    <w:rsid w:val="00114301"/>
    <w:rsid w:val="00152171"/>
    <w:rsid w:val="0015305D"/>
    <w:rsid w:val="0016051B"/>
    <w:rsid w:val="00164394"/>
    <w:rsid w:val="0016647E"/>
    <w:rsid w:val="00172E06"/>
    <w:rsid w:val="00181CF3"/>
    <w:rsid w:val="00184AEF"/>
    <w:rsid w:val="0018550F"/>
    <w:rsid w:val="00187D40"/>
    <w:rsid w:val="00187E67"/>
    <w:rsid w:val="00192882"/>
    <w:rsid w:val="001939DE"/>
    <w:rsid w:val="001A7F73"/>
    <w:rsid w:val="001B3245"/>
    <w:rsid w:val="001C1B0C"/>
    <w:rsid w:val="001C253F"/>
    <w:rsid w:val="001C357E"/>
    <w:rsid w:val="001C3D8E"/>
    <w:rsid w:val="001E19B3"/>
    <w:rsid w:val="001E3415"/>
    <w:rsid w:val="001E6FEB"/>
    <w:rsid w:val="001EC29D"/>
    <w:rsid w:val="001F0F48"/>
    <w:rsid w:val="001F16A1"/>
    <w:rsid w:val="001F1DFE"/>
    <w:rsid w:val="001F5649"/>
    <w:rsid w:val="001F60D2"/>
    <w:rsid w:val="001F6398"/>
    <w:rsid w:val="00202381"/>
    <w:rsid w:val="00203EF1"/>
    <w:rsid w:val="00204D65"/>
    <w:rsid w:val="00207771"/>
    <w:rsid w:val="002137BE"/>
    <w:rsid w:val="002155AF"/>
    <w:rsid w:val="00215C9E"/>
    <w:rsid w:val="00220812"/>
    <w:rsid w:val="00220DAF"/>
    <w:rsid w:val="00221A13"/>
    <w:rsid w:val="00221B09"/>
    <w:rsid w:val="00226B21"/>
    <w:rsid w:val="00230488"/>
    <w:rsid w:val="00240CFD"/>
    <w:rsid w:val="002444E2"/>
    <w:rsid w:val="00244EE7"/>
    <w:rsid w:val="00250559"/>
    <w:rsid w:val="00252421"/>
    <w:rsid w:val="00254CE8"/>
    <w:rsid w:val="00256BC0"/>
    <w:rsid w:val="0026400C"/>
    <w:rsid w:val="00266AA8"/>
    <w:rsid w:val="00270445"/>
    <w:rsid w:val="002713DA"/>
    <w:rsid w:val="002723F9"/>
    <w:rsid w:val="00274549"/>
    <w:rsid w:val="002745A3"/>
    <w:rsid w:val="0028648D"/>
    <w:rsid w:val="0028686F"/>
    <w:rsid w:val="00295D4F"/>
    <w:rsid w:val="002A10B2"/>
    <w:rsid w:val="002C3C2D"/>
    <w:rsid w:val="002C49A3"/>
    <w:rsid w:val="002D1158"/>
    <w:rsid w:val="002D19FC"/>
    <w:rsid w:val="002D5561"/>
    <w:rsid w:val="002D7F68"/>
    <w:rsid w:val="002F1491"/>
    <w:rsid w:val="00320F29"/>
    <w:rsid w:val="00323483"/>
    <w:rsid w:val="00323BB9"/>
    <w:rsid w:val="0033174E"/>
    <w:rsid w:val="003358B3"/>
    <w:rsid w:val="00336517"/>
    <w:rsid w:val="003366EB"/>
    <w:rsid w:val="00340EA8"/>
    <w:rsid w:val="0034350E"/>
    <w:rsid w:val="00353770"/>
    <w:rsid w:val="00374FF2"/>
    <w:rsid w:val="0038136B"/>
    <w:rsid w:val="003838E7"/>
    <w:rsid w:val="003A2068"/>
    <w:rsid w:val="003A767C"/>
    <w:rsid w:val="003B135A"/>
    <w:rsid w:val="003B6596"/>
    <w:rsid w:val="003C2C77"/>
    <w:rsid w:val="003D35A6"/>
    <w:rsid w:val="003D46E0"/>
    <w:rsid w:val="003E06B5"/>
    <w:rsid w:val="003E7748"/>
    <w:rsid w:val="003F0987"/>
    <w:rsid w:val="003F4086"/>
    <w:rsid w:val="004027EF"/>
    <w:rsid w:val="00404A3F"/>
    <w:rsid w:val="004113CE"/>
    <w:rsid w:val="00413A94"/>
    <w:rsid w:val="004206CF"/>
    <w:rsid w:val="00424F09"/>
    <w:rsid w:val="0042798F"/>
    <w:rsid w:val="00430E41"/>
    <w:rsid w:val="00434068"/>
    <w:rsid w:val="0043525F"/>
    <w:rsid w:val="0044355E"/>
    <w:rsid w:val="004532B9"/>
    <w:rsid w:val="00453D0F"/>
    <w:rsid w:val="0045427C"/>
    <w:rsid w:val="004571E4"/>
    <w:rsid w:val="00470DBD"/>
    <w:rsid w:val="004733CB"/>
    <w:rsid w:val="00474312"/>
    <w:rsid w:val="004A67B3"/>
    <w:rsid w:val="004B6DB1"/>
    <w:rsid w:val="004C746D"/>
    <w:rsid w:val="004C7596"/>
    <w:rsid w:val="004D4339"/>
    <w:rsid w:val="004D7B56"/>
    <w:rsid w:val="004E5ABD"/>
    <w:rsid w:val="004F3643"/>
    <w:rsid w:val="004F4BA9"/>
    <w:rsid w:val="005020AE"/>
    <w:rsid w:val="005161A7"/>
    <w:rsid w:val="005223B2"/>
    <w:rsid w:val="00524701"/>
    <w:rsid w:val="00531089"/>
    <w:rsid w:val="00533C56"/>
    <w:rsid w:val="0054141B"/>
    <w:rsid w:val="00541EA6"/>
    <w:rsid w:val="00547102"/>
    <w:rsid w:val="0056050D"/>
    <w:rsid w:val="00561E0A"/>
    <w:rsid w:val="00561F00"/>
    <w:rsid w:val="0056361E"/>
    <w:rsid w:val="00563FCA"/>
    <w:rsid w:val="00567BB0"/>
    <w:rsid w:val="00571891"/>
    <w:rsid w:val="00582FCF"/>
    <w:rsid w:val="005842B3"/>
    <w:rsid w:val="0058746E"/>
    <w:rsid w:val="00587E0D"/>
    <w:rsid w:val="00595836"/>
    <w:rsid w:val="005A2685"/>
    <w:rsid w:val="005A7560"/>
    <w:rsid w:val="005B4DEB"/>
    <w:rsid w:val="005E591B"/>
    <w:rsid w:val="005E5BE7"/>
    <w:rsid w:val="005F101B"/>
    <w:rsid w:val="005F4752"/>
    <w:rsid w:val="0062222B"/>
    <w:rsid w:val="00627F39"/>
    <w:rsid w:val="00633FFD"/>
    <w:rsid w:val="00636313"/>
    <w:rsid w:val="00640EEC"/>
    <w:rsid w:val="00643FED"/>
    <w:rsid w:val="00652001"/>
    <w:rsid w:val="0065546D"/>
    <w:rsid w:val="00655F2E"/>
    <w:rsid w:val="006569B4"/>
    <w:rsid w:val="00670861"/>
    <w:rsid w:val="00676D66"/>
    <w:rsid w:val="00677C39"/>
    <w:rsid w:val="00681A7D"/>
    <w:rsid w:val="006842C7"/>
    <w:rsid w:val="00694B4D"/>
    <w:rsid w:val="00697544"/>
    <w:rsid w:val="006A1D22"/>
    <w:rsid w:val="006A6E24"/>
    <w:rsid w:val="006C2AAB"/>
    <w:rsid w:val="006C6AAC"/>
    <w:rsid w:val="006D1283"/>
    <w:rsid w:val="006D1B86"/>
    <w:rsid w:val="006D295D"/>
    <w:rsid w:val="006D3017"/>
    <w:rsid w:val="006D776F"/>
    <w:rsid w:val="006D7F9A"/>
    <w:rsid w:val="006E0C9A"/>
    <w:rsid w:val="006E3336"/>
    <w:rsid w:val="006E5595"/>
    <w:rsid w:val="006F646A"/>
    <w:rsid w:val="00701439"/>
    <w:rsid w:val="0072459F"/>
    <w:rsid w:val="00724965"/>
    <w:rsid w:val="0072527C"/>
    <w:rsid w:val="00751C95"/>
    <w:rsid w:val="00755D91"/>
    <w:rsid w:val="007626BB"/>
    <w:rsid w:val="00762B9E"/>
    <w:rsid w:val="00772E90"/>
    <w:rsid w:val="00780EF8"/>
    <w:rsid w:val="0078176B"/>
    <w:rsid w:val="00783309"/>
    <w:rsid w:val="00785220"/>
    <w:rsid w:val="007917F3"/>
    <w:rsid w:val="00793D75"/>
    <w:rsid w:val="00794901"/>
    <w:rsid w:val="007A3C8E"/>
    <w:rsid w:val="007B2482"/>
    <w:rsid w:val="007C0227"/>
    <w:rsid w:val="007E2DE3"/>
    <w:rsid w:val="007E5404"/>
    <w:rsid w:val="007E66AF"/>
    <w:rsid w:val="007E6DD2"/>
    <w:rsid w:val="007F0FF9"/>
    <w:rsid w:val="008038EC"/>
    <w:rsid w:val="0080499B"/>
    <w:rsid w:val="00814BE0"/>
    <w:rsid w:val="0082424B"/>
    <w:rsid w:val="0084621D"/>
    <w:rsid w:val="00847D1C"/>
    <w:rsid w:val="0085462C"/>
    <w:rsid w:val="00855F98"/>
    <w:rsid w:val="00860EA0"/>
    <w:rsid w:val="00864A77"/>
    <w:rsid w:val="00873E2F"/>
    <w:rsid w:val="00875EBC"/>
    <w:rsid w:val="00881117"/>
    <w:rsid w:val="00884947"/>
    <w:rsid w:val="008958FC"/>
    <w:rsid w:val="008B5FEE"/>
    <w:rsid w:val="008C2C05"/>
    <w:rsid w:val="008C53AF"/>
    <w:rsid w:val="008C7F6A"/>
    <w:rsid w:val="008D114B"/>
    <w:rsid w:val="008D3D4E"/>
    <w:rsid w:val="008E2040"/>
    <w:rsid w:val="008F38D7"/>
    <w:rsid w:val="008F5972"/>
    <w:rsid w:val="00902825"/>
    <w:rsid w:val="00903788"/>
    <w:rsid w:val="0091558E"/>
    <w:rsid w:val="00917528"/>
    <w:rsid w:val="00917ECB"/>
    <w:rsid w:val="009213E8"/>
    <w:rsid w:val="00925575"/>
    <w:rsid w:val="00925C9F"/>
    <w:rsid w:val="00937426"/>
    <w:rsid w:val="0094351C"/>
    <w:rsid w:val="00943930"/>
    <w:rsid w:val="00976990"/>
    <w:rsid w:val="00977A22"/>
    <w:rsid w:val="00987C31"/>
    <w:rsid w:val="00994300"/>
    <w:rsid w:val="009B1C97"/>
    <w:rsid w:val="009B5443"/>
    <w:rsid w:val="009B750B"/>
    <w:rsid w:val="009C2838"/>
    <w:rsid w:val="009C7DFE"/>
    <w:rsid w:val="009D5EF4"/>
    <w:rsid w:val="009D7F56"/>
    <w:rsid w:val="009E18DF"/>
    <w:rsid w:val="009E1F4F"/>
    <w:rsid w:val="009E7360"/>
    <w:rsid w:val="009F6C7A"/>
    <w:rsid w:val="009F74BA"/>
    <w:rsid w:val="00A0151C"/>
    <w:rsid w:val="00A041DA"/>
    <w:rsid w:val="00A13C0C"/>
    <w:rsid w:val="00A1573C"/>
    <w:rsid w:val="00A15AD0"/>
    <w:rsid w:val="00A223EB"/>
    <w:rsid w:val="00A27D87"/>
    <w:rsid w:val="00A31CC3"/>
    <w:rsid w:val="00A342BC"/>
    <w:rsid w:val="00A374CA"/>
    <w:rsid w:val="00A41BFF"/>
    <w:rsid w:val="00A44C12"/>
    <w:rsid w:val="00A46B0F"/>
    <w:rsid w:val="00A6214D"/>
    <w:rsid w:val="00A661BD"/>
    <w:rsid w:val="00A731F5"/>
    <w:rsid w:val="00A77160"/>
    <w:rsid w:val="00A84DE2"/>
    <w:rsid w:val="00A8521C"/>
    <w:rsid w:val="00A95D20"/>
    <w:rsid w:val="00AB153F"/>
    <w:rsid w:val="00AB4E76"/>
    <w:rsid w:val="00AC25EB"/>
    <w:rsid w:val="00AC390B"/>
    <w:rsid w:val="00AD0EEE"/>
    <w:rsid w:val="00AE0F77"/>
    <w:rsid w:val="00AE2A98"/>
    <w:rsid w:val="00AE70D8"/>
    <w:rsid w:val="00AF2ECB"/>
    <w:rsid w:val="00AF5427"/>
    <w:rsid w:val="00B0595E"/>
    <w:rsid w:val="00B06E9A"/>
    <w:rsid w:val="00B259C8"/>
    <w:rsid w:val="00B361DE"/>
    <w:rsid w:val="00B37425"/>
    <w:rsid w:val="00B42413"/>
    <w:rsid w:val="00B44155"/>
    <w:rsid w:val="00B45DF6"/>
    <w:rsid w:val="00B47877"/>
    <w:rsid w:val="00B5077A"/>
    <w:rsid w:val="00B7473D"/>
    <w:rsid w:val="00B74882"/>
    <w:rsid w:val="00B92E8E"/>
    <w:rsid w:val="00B94E9E"/>
    <w:rsid w:val="00BA00CA"/>
    <w:rsid w:val="00BA7348"/>
    <w:rsid w:val="00BB21DC"/>
    <w:rsid w:val="00BB40D2"/>
    <w:rsid w:val="00BB42C6"/>
    <w:rsid w:val="00BC004E"/>
    <w:rsid w:val="00BC6276"/>
    <w:rsid w:val="00BD011B"/>
    <w:rsid w:val="00BD3D6D"/>
    <w:rsid w:val="00BD66BC"/>
    <w:rsid w:val="00BD7324"/>
    <w:rsid w:val="00BF0BAE"/>
    <w:rsid w:val="00BF131B"/>
    <w:rsid w:val="00BF6E0E"/>
    <w:rsid w:val="00C04F0D"/>
    <w:rsid w:val="00C122B6"/>
    <w:rsid w:val="00C24DE9"/>
    <w:rsid w:val="00C265CB"/>
    <w:rsid w:val="00C341F9"/>
    <w:rsid w:val="00C51F1E"/>
    <w:rsid w:val="00C61064"/>
    <w:rsid w:val="00C62DCE"/>
    <w:rsid w:val="00C64517"/>
    <w:rsid w:val="00C65CFB"/>
    <w:rsid w:val="00C77332"/>
    <w:rsid w:val="00C81D6B"/>
    <w:rsid w:val="00C85C38"/>
    <w:rsid w:val="00C863DA"/>
    <w:rsid w:val="00C92E92"/>
    <w:rsid w:val="00C97EF8"/>
    <w:rsid w:val="00CA1974"/>
    <w:rsid w:val="00CB0EC5"/>
    <w:rsid w:val="00CB6CC8"/>
    <w:rsid w:val="00CB7468"/>
    <w:rsid w:val="00CC6C20"/>
    <w:rsid w:val="00CD1C71"/>
    <w:rsid w:val="00CD3319"/>
    <w:rsid w:val="00CE0CA3"/>
    <w:rsid w:val="00CE3924"/>
    <w:rsid w:val="00CE3F7B"/>
    <w:rsid w:val="00CE613C"/>
    <w:rsid w:val="00CF2BAE"/>
    <w:rsid w:val="00D05568"/>
    <w:rsid w:val="00D10CB6"/>
    <w:rsid w:val="00D1697F"/>
    <w:rsid w:val="00D228B3"/>
    <w:rsid w:val="00D2717F"/>
    <w:rsid w:val="00D27F78"/>
    <w:rsid w:val="00D36E02"/>
    <w:rsid w:val="00D453EC"/>
    <w:rsid w:val="00D4753B"/>
    <w:rsid w:val="00D47B5B"/>
    <w:rsid w:val="00D60DFA"/>
    <w:rsid w:val="00D66822"/>
    <w:rsid w:val="00D70F26"/>
    <w:rsid w:val="00D73B8C"/>
    <w:rsid w:val="00D74DBE"/>
    <w:rsid w:val="00D80450"/>
    <w:rsid w:val="00D86072"/>
    <w:rsid w:val="00D92103"/>
    <w:rsid w:val="00D975D6"/>
    <w:rsid w:val="00DB1B65"/>
    <w:rsid w:val="00DB4ACA"/>
    <w:rsid w:val="00DC06F7"/>
    <w:rsid w:val="00DC442F"/>
    <w:rsid w:val="00DC7F62"/>
    <w:rsid w:val="00DD5284"/>
    <w:rsid w:val="00DD5968"/>
    <w:rsid w:val="00DE0FE6"/>
    <w:rsid w:val="00DF1DD6"/>
    <w:rsid w:val="00E10FD9"/>
    <w:rsid w:val="00E3437B"/>
    <w:rsid w:val="00E42A78"/>
    <w:rsid w:val="00E51284"/>
    <w:rsid w:val="00E57E47"/>
    <w:rsid w:val="00E629E6"/>
    <w:rsid w:val="00E719DC"/>
    <w:rsid w:val="00E75E24"/>
    <w:rsid w:val="00E76CBA"/>
    <w:rsid w:val="00E81F11"/>
    <w:rsid w:val="00E95384"/>
    <w:rsid w:val="00EA05F0"/>
    <w:rsid w:val="00EA1C7B"/>
    <w:rsid w:val="00EC13A8"/>
    <w:rsid w:val="00EC3210"/>
    <w:rsid w:val="00ED0DCC"/>
    <w:rsid w:val="00EE198C"/>
    <w:rsid w:val="00EE2745"/>
    <w:rsid w:val="00EE385E"/>
    <w:rsid w:val="00EF0170"/>
    <w:rsid w:val="00EF3BC4"/>
    <w:rsid w:val="00EF3D0A"/>
    <w:rsid w:val="00F06624"/>
    <w:rsid w:val="00F12374"/>
    <w:rsid w:val="00F145AE"/>
    <w:rsid w:val="00F15555"/>
    <w:rsid w:val="00F17F2E"/>
    <w:rsid w:val="00F21EF0"/>
    <w:rsid w:val="00F2227D"/>
    <w:rsid w:val="00F2357F"/>
    <w:rsid w:val="00F45DA4"/>
    <w:rsid w:val="00F52554"/>
    <w:rsid w:val="00F7233C"/>
    <w:rsid w:val="00F732F1"/>
    <w:rsid w:val="00F74C95"/>
    <w:rsid w:val="00F9223A"/>
    <w:rsid w:val="00F9694F"/>
    <w:rsid w:val="00FA1677"/>
    <w:rsid w:val="00FA45ED"/>
    <w:rsid w:val="00FA4AFC"/>
    <w:rsid w:val="00FB2D94"/>
    <w:rsid w:val="00FB4906"/>
    <w:rsid w:val="00FC5107"/>
    <w:rsid w:val="00FE049F"/>
    <w:rsid w:val="00FE1CE8"/>
    <w:rsid w:val="00FF2DF0"/>
    <w:rsid w:val="00FF5597"/>
    <w:rsid w:val="16111C7E"/>
    <w:rsid w:val="21CC8AC8"/>
    <w:rsid w:val="30CDB65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DE840"/>
  <w14:defaultImageDpi w14:val="0"/>
  <w15:docId w15:val="{CA475D71-A827-4287-986F-200F3611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7102"/>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C97E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47102"/>
    <w:rPr>
      <w:rFonts w:ascii="Times New Roman" w:hAnsi="Times New Roman" w:cs="Times New Roman"/>
      <w:b/>
      <w:bCs/>
      <w:kern w:val="36"/>
      <w:sz w:val="48"/>
      <w:szCs w:val="48"/>
    </w:rPr>
  </w:style>
  <w:style w:type="table" w:styleId="TableGrid">
    <w:name w:val="Table Grid"/>
    <w:basedOn w:val="TableNormal"/>
    <w:uiPriority w:val="39"/>
    <w:rsid w:val="009C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3FCA"/>
    <w:rPr>
      <w:sz w:val="16"/>
      <w:szCs w:val="16"/>
    </w:rPr>
  </w:style>
  <w:style w:type="paragraph" w:styleId="CommentText">
    <w:name w:val="annotation text"/>
    <w:basedOn w:val="Normal"/>
    <w:link w:val="CommentTextChar"/>
    <w:uiPriority w:val="99"/>
    <w:unhideWhenUsed/>
    <w:rsid w:val="00563FCA"/>
    <w:pPr>
      <w:spacing w:line="240" w:lineRule="auto"/>
    </w:pPr>
    <w:rPr>
      <w:sz w:val="20"/>
      <w:szCs w:val="20"/>
    </w:rPr>
  </w:style>
  <w:style w:type="character" w:customStyle="1" w:styleId="CommentTextChar">
    <w:name w:val="Comment Text Char"/>
    <w:basedOn w:val="DefaultParagraphFont"/>
    <w:link w:val="CommentText"/>
    <w:uiPriority w:val="99"/>
    <w:rsid w:val="00563FCA"/>
    <w:rPr>
      <w:sz w:val="20"/>
      <w:szCs w:val="20"/>
    </w:rPr>
  </w:style>
  <w:style w:type="paragraph" w:styleId="CommentSubject">
    <w:name w:val="annotation subject"/>
    <w:basedOn w:val="CommentText"/>
    <w:next w:val="CommentText"/>
    <w:link w:val="CommentSubjectChar"/>
    <w:uiPriority w:val="99"/>
    <w:semiHidden/>
    <w:unhideWhenUsed/>
    <w:rsid w:val="00563FCA"/>
    <w:rPr>
      <w:b/>
      <w:bCs/>
    </w:rPr>
  </w:style>
  <w:style w:type="character" w:customStyle="1" w:styleId="CommentSubjectChar">
    <w:name w:val="Comment Subject Char"/>
    <w:basedOn w:val="CommentTextChar"/>
    <w:link w:val="CommentSubject"/>
    <w:uiPriority w:val="99"/>
    <w:semiHidden/>
    <w:rsid w:val="00563FCA"/>
    <w:rPr>
      <w:b/>
      <w:bCs/>
      <w:sz w:val="20"/>
      <w:szCs w:val="20"/>
    </w:rPr>
  </w:style>
  <w:style w:type="paragraph" w:styleId="Revision">
    <w:name w:val="Revision"/>
    <w:hidden/>
    <w:uiPriority w:val="99"/>
    <w:semiHidden/>
    <w:rsid w:val="00CB0EC5"/>
    <w:pPr>
      <w:spacing w:after="0" w:line="240" w:lineRule="auto"/>
    </w:pPr>
  </w:style>
  <w:style w:type="paragraph" w:styleId="FootnoteText">
    <w:name w:val="footnote text"/>
    <w:basedOn w:val="Normal"/>
    <w:link w:val="FootnoteTextChar"/>
    <w:uiPriority w:val="99"/>
    <w:semiHidden/>
    <w:unhideWhenUsed/>
    <w:rsid w:val="00AC25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5EB"/>
    <w:rPr>
      <w:sz w:val="20"/>
      <w:szCs w:val="20"/>
    </w:rPr>
  </w:style>
  <w:style w:type="character" w:styleId="FootnoteReference">
    <w:name w:val="footnote reference"/>
    <w:basedOn w:val="DefaultParagraphFont"/>
    <w:uiPriority w:val="99"/>
    <w:semiHidden/>
    <w:unhideWhenUsed/>
    <w:rsid w:val="00AC25EB"/>
    <w:rPr>
      <w:vertAlign w:val="superscript"/>
    </w:rPr>
  </w:style>
  <w:style w:type="character" w:styleId="Hyperlink">
    <w:name w:val="Hyperlink"/>
    <w:basedOn w:val="DefaultParagraphFont"/>
    <w:uiPriority w:val="99"/>
    <w:unhideWhenUsed/>
    <w:rsid w:val="00187D40"/>
    <w:rPr>
      <w:color w:val="0563C1"/>
      <w:u w:val="single"/>
    </w:rPr>
  </w:style>
  <w:style w:type="paragraph" w:styleId="Header">
    <w:name w:val="header"/>
    <w:basedOn w:val="Normal"/>
    <w:link w:val="HeaderChar"/>
    <w:uiPriority w:val="99"/>
    <w:unhideWhenUsed/>
    <w:rsid w:val="004C7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596"/>
  </w:style>
  <w:style w:type="paragraph" w:styleId="Footer">
    <w:name w:val="footer"/>
    <w:basedOn w:val="Normal"/>
    <w:link w:val="FooterChar"/>
    <w:uiPriority w:val="99"/>
    <w:unhideWhenUsed/>
    <w:rsid w:val="004C7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596"/>
  </w:style>
  <w:style w:type="character" w:customStyle="1" w:styleId="cf01">
    <w:name w:val="cf01"/>
    <w:basedOn w:val="DefaultParagraphFont"/>
    <w:rsid w:val="00B0595E"/>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C97EF8"/>
    <w:rPr>
      <w:rFonts w:asciiTheme="majorHAnsi" w:eastAsiaTheme="majorEastAsia" w:hAnsiTheme="majorHAnsi" w:cstheme="majorBidi"/>
      <w:color w:val="1F3763" w:themeColor="accent1" w:themeShade="7F"/>
      <w:sz w:val="24"/>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155AF"/>
    <w:pPr>
      <w:spacing w:after="0" w:line="240" w:lineRule="atLeast"/>
      <w:ind w:left="720"/>
      <w:contextualSpacing/>
    </w:pPr>
    <w:rPr>
      <w:rFonts w:ascii="Verdana" w:eastAsia="Times New Roman" w:hAnsi="Verdana"/>
      <w:sz w:val="18"/>
      <w:szCs w:val="24"/>
    </w:rPr>
  </w:style>
  <w:style w:type="character" w:styleId="Emphasis">
    <w:name w:val="Emphasis"/>
    <w:basedOn w:val="DefaultParagraphFont"/>
    <w:qFormat/>
    <w:rsid w:val="002155AF"/>
    <w:rPr>
      <w:rFonts w:ascii="Verdana" w:hAnsi="Verdana"/>
      <w:i w:val="0"/>
      <w:iCs/>
      <w:sz w:val="18"/>
    </w:rPr>
  </w:style>
  <w:style w:type="character" w:styleId="UnresolvedMention">
    <w:name w:val="Unresolved Mention"/>
    <w:basedOn w:val="DefaultParagraphFont"/>
    <w:uiPriority w:val="99"/>
    <w:semiHidden/>
    <w:unhideWhenUsed/>
    <w:rsid w:val="006A1D22"/>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F145AE"/>
    <w:rPr>
      <w:rFonts w:ascii="Verdana" w:eastAsia="Times New Roman"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2788">
      <w:bodyDiv w:val="1"/>
      <w:marLeft w:val="0"/>
      <w:marRight w:val="0"/>
      <w:marTop w:val="0"/>
      <w:marBottom w:val="0"/>
      <w:divBdr>
        <w:top w:val="none" w:sz="0" w:space="0" w:color="auto"/>
        <w:left w:val="none" w:sz="0" w:space="0" w:color="auto"/>
        <w:bottom w:val="none" w:sz="0" w:space="0" w:color="auto"/>
        <w:right w:val="none" w:sz="0" w:space="0" w:color="auto"/>
      </w:divBdr>
    </w:div>
    <w:div w:id="104270198">
      <w:bodyDiv w:val="1"/>
      <w:marLeft w:val="0"/>
      <w:marRight w:val="0"/>
      <w:marTop w:val="0"/>
      <w:marBottom w:val="0"/>
      <w:divBdr>
        <w:top w:val="none" w:sz="0" w:space="0" w:color="auto"/>
        <w:left w:val="none" w:sz="0" w:space="0" w:color="auto"/>
        <w:bottom w:val="none" w:sz="0" w:space="0" w:color="auto"/>
        <w:right w:val="none" w:sz="0" w:space="0" w:color="auto"/>
      </w:divBdr>
    </w:div>
    <w:div w:id="139544468">
      <w:bodyDiv w:val="1"/>
      <w:marLeft w:val="0"/>
      <w:marRight w:val="0"/>
      <w:marTop w:val="0"/>
      <w:marBottom w:val="0"/>
      <w:divBdr>
        <w:top w:val="none" w:sz="0" w:space="0" w:color="auto"/>
        <w:left w:val="none" w:sz="0" w:space="0" w:color="auto"/>
        <w:bottom w:val="none" w:sz="0" w:space="0" w:color="auto"/>
        <w:right w:val="none" w:sz="0" w:space="0" w:color="auto"/>
      </w:divBdr>
    </w:div>
    <w:div w:id="297106241">
      <w:bodyDiv w:val="1"/>
      <w:marLeft w:val="0"/>
      <w:marRight w:val="0"/>
      <w:marTop w:val="0"/>
      <w:marBottom w:val="0"/>
      <w:divBdr>
        <w:top w:val="none" w:sz="0" w:space="0" w:color="auto"/>
        <w:left w:val="none" w:sz="0" w:space="0" w:color="auto"/>
        <w:bottom w:val="none" w:sz="0" w:space="0" w:color="auto"/>
        <w:right w:val="none" w:sz="0" w:space="0" w:color="auto"/>
      </w:divBdr>
    </w:div>
    <w:div w:id="310644576">
      <w:bodyDiv w:val="1"/>
      <w:marLeft w:val="0"/>
      <w:marRight w:val="0"/>
      <w:marTop w:val="0"/>
      <w:marBottom w:val="0"/>
      <w:divBdr>
        <w:top w:val="none" w:sz="0" w:space="0" w:color="auto"/>
        <w:left w:val="none" w:sz="0" w:space="0" w:color="auto"/>
        <w:bottom w:val="none" w:sz="0" w:space="0" w:color="auto"/>
        <w:right w:val="none" w:sz="0" w:space="0" w:color="auto"/>
      </w:divBdr>
    </w:div>
    <w:div w:id="328797489">
      <w:bodyDiv w:val="1"/>
      <w:marLeft w:val="0"/>
      <w:marRight w:val="0"/>
      <w:marTop w:val="0"/>
      <w:marBottom w:val="0"/>
      <w:divBdr>
        <w:top w:val="none" w:sz="0" w:space="0" w:color="auto"/>
        <w:left w:val="none" w:sz="0" w:space="0" w:color="auto"/>
        <w:bottom w:val="none" w:sz="0" w:space="0" w:color="auto"/>
        <w:right w:val="none" w:sz="0" w:space="0" w:color="auto"/>
      </w:divBdr>
    </w:div>
    <w:div w:id="414253847">
      <w:bodyDiv w:val="1"/>
      <w:marLeft w:val="0"/>
      <w:marRight w:val="0"/>
      <w:marTop w:val="0"/>
      <w:marBottom w:val="0"/>
      <w:divBdr>
        <w:top w:val="none" w:sz="0" w:space="0" w:color="auto"/>
        <w:left w:val="none" w:sz="0" w:space="0" w:color="auto"/>
        <w:bottom w:val="none" w:sz="0" w:space="0" w:color="auto"/>
        <w:right w:val="none" w:sz="0" w:space="0" w:color="auto"/>
      </w:divBdr>
    </w:div>
    <w:div w:id="522062565">
      <w:bodyDiv w:val="1"/>
      <w:marLeft w:val="0"/>
      <w:marRight w:val="0"/>
      <w:marTop w:val="0"/>
      <w:marBottom w:val="0"/>
      <w:divBdr>
        <w:top w:val="none" w:sz="0" w:space="0" w:color="auto"/>
        <w:left w:val="none" w:sz="0" w:space="0" w:color="auto"/>
        <w:bottom w:val="none" w:sz="0" w:space="0" w:color="auto"/>
        <w:right w:val="none" w:sz="0" w:space="0" w:color="auto"/>
      </w:divBdr>
    </w:div>
    <w:div w:id="537670465">
      <w:bodyDiv w:val="1"/>
      <w:marLeft w:val="0"/>
      <w:marRight w:val="0"/>
      <w:marTop w:val="0"/>
      <w:marBottom w:val="0"/>
      <w:divBdr>
        <w:top w:val="none" w:sz="0" w:space="0" w:color="auto"/>
        <w:left w:val="none" w:sz="0" w:space="0" w:color="auto"/>
        <w:bottom w:val="none" w:sz="0" w:space="0" w:color="auto"/>
        <w:right w:val="none" w:sz="0" w:space="0" w:color="auto"/>
      </w:divBdr>
    </w:div>
    <w:div w:id="567885515">
      <w:bodyDiv w:val="1"/>
      <w:marLeft w:val="0"/>
      <w:marRight w:val="0"/>
      <w:marTop w:val="0"/>
      <w:marBottom w:val="0"/>
      <w:divBdr>
        <w:top w:val="none" w:sz="0" w:space="0" w:color="auto"/>
        <w:left w:val="none" w:sz="0" w:space="0" w:color="auto"/>
        <w:bottom w:val="none" w:sz="0" w:space="0" w:color="auto"/>
        <w:right w:val="none" w:sz="0" w:space="0" w:color="auto"/>
      </w:divBdr>
    </w:div>
    <w:div w:id="580600409">
      <w:bodyDiv w:val="1"/>
      <w:marLeft w:val="0"/>
      <w:marRight w:val="0"/>
      <w:marTop w:val="0"/>
      <w:marBottom w:val="0"/>
      <w:divBdr>
        <w:top w:val="none" w:sz="0" w:space="0" w:color="auto"/>
        <w:left w:val="none" w:sz="0" w:space="0" w:color="auto"/>
        <w:bottom w:val="none" w:sz="0" w:space="0" w:color="auto"/>
        <w:right w:val="none" w:sz="0" w:space="0" w:color="auto"/>
      </w:divBdr>
    </w:div>
    <w:div w:id="653603751">
      <w:marLeft w:val="0"/>
      <w:marRight w:val="0"/>
      <w:marTop w:val="0"/>
      <w:marBottom w:val="0"/>
      <w:divBdr>
        <w:top w:val="none" w:sz="0" w:space="0" w:color="auto"/>
        <w:left w:val="none" w:sz="0" w:space="0" w:color="auto"/>
        <w:bottom w:val="none" w:sz="0" w:space="0" w:color="auto"/>
        <w:right w:val="none" w:sz="0" w:space="0" w:color="auto"/>
      </w:divBdr>
    </w:div>
    <w:div w:id="718238968">
      <w:bodyDiv w:val="1"/>
      <w:marLeft w:val="0"/>
      <w:marRight w:val="0"/>
      <w:marTop w:val="0"/>
      <w:marBottom w:val="0"/>
      <w:divBdr>
        <w:top w:val="none" w:sz="0" w:space="0" w:color="auto"/>
        <w:left w:val="none" w:sz="0" w:space="0" w:color="auto"/>
        <w:bottom w:val="none" w:sz="0" w:space="0" w:color="auto"/>
        <w:right w:val="none" w:sz="0" w:space="0" w:color="auto"/>
      </w:divBdr>
    </w:div>
    <w:div w:id="881677034">
      <w:bodyDiv w:val="1"/>
      <w:marLeft w:val="0"/>
      <w:marRight w:val="0"/>
      <w:marTop w:val="0"/>
      <w:marBottom w:val="0"/>
      <w:divBdr>
        <w:top w:val="none" w:sz="0" w:space="0" w:color="auto"/>
        <w:left w:val="none" w:sz="0" w:space="0" w:color="auto"/>
        <w:bottom w:val="none" w:sz="0" w:space="0" w:color="auto"/>
        <w:right w:val="none" w:sz="0" w:space="0" w:color="auto"/>
      </w:divBdr>
    </w:div>
    <w:div w:id="908271469">
      <w:bodyDiv w:val="1"/>
      <w:marLeft w:val="0"/>
      <w:marRight w:val="0"/>
      <w:marTop w:val="0"/>
      <w:marBottom w:val="0"/>
      <w:divBdr>
        <w:top w:val="none" w:sz="0" w:space="0" w:color="auto"/>
        <w:left w:val="none" w:sz="0" w:space="0" w:color="auto"/>
        <w:bottom w:val="none" w:sz="0" w:space="0" w:color="auto"/>
        <w:right w:val="none" w:sz="0" w:space="0" w:color="auto"/>
      </w:divBdr>
    </w:div>
    <w:div w:id="1017119793">
      <w:bodyDiv w:val="1"/>
      <w:marLeft w:val="0"/>
      <w:marRight w:val="0"/>
      <w:marTop w:val="0"/>
      <w:marBottom w:val="0"/>
      <w:divBdr>
        <w:top w:val="none" w:sz="0" w:space="0" w:color="auto"/>
        <w:left w:val="none" w:sz="0" w:space="0" w:color="auto"/>
        <w:bottom w:val="none" w:sz="0" w:space="0" w:color="auto"/>
        <w:right w:val="none" w:sz="0" w:space="0" w:color="auto"/>
      </w:divBdr>
    </w:div>
    <w:div w:id="1235749085">
      <w:bodyDiv w:val="1"/>
      <w:marLeft w:val="0"/>
      <w:marRight w:val="0"/>
      <w:marTop w:val="0"/>
      <w:marBottom w:val="0"/>
      <w:divBdr>
        <w:top w:val="none" w:sz="0" w:space="0" w:color="auto"/>
        <w:left w:val="none" w:sz="0" w:space="0" w:color="auto"/>
        <w:bottom w:val="none" w:sz="0" w:space="0" w:color="auto"/>
        <w:right w:val="none" w:sz="0" w:space="0" w:color="auto"/>
      </w:divBdr>
    </w:div>
    <w:div w:id="1333221069">
      <w:bodyDiv w:val="1"/>
      <w:marLeft w:val="0"/>
      <w:marRight w:val="0"/>
      <w:marTop w:val="0"/>
      <w:marBottom w:val="0"/>
      <w:divBdr>
        <w:top w:val="none" w:sz="0" w:space="0" w:color="auto"/>
        <w:left w:val="none" w:sz="0" w:space="0" w:color="auto"/>
        <w:bottom w:val="none" w:sz="0" w:space="0" w:color="auto"/>
        <w:right w:val="none" w:sz="0" w:space="0" w:color="auto"/>
      </w:divBdr>
    </w:div>
    <w:div w:id="1354771876">
      <w:bodyDiv w:val="1"/>
      <w:marLeft w:val="0"/>
      <w:marRight w:val="0"/>
      <w:marTop w:val="0"/>
      <w:marBottom w:val="0"/>
      <w:divBdr>
        <w:top w:val="none" w:sz="0" w:space="0" w:color="auto"/>
        <w:left w:val="none" w:sz="0" w:space="0" w:color="auto"/>
        <w:bottom w:val="none" w:sz="0" w:space="0" w:color="auto"/>
        <w:right w:val="none" w:sz="0" w:space="0" w:color="auto"/>
      </w:divBdr>
    </w:div>
    <w:div w:id="1355496192">
      <w:bodyDiv w:val="1"/>
      <w:marLeft w:val="0"/>
      <w:marRight w:val="0"/>
      <w:marTop w:val="0"/>
      <w:marBottom w:val="0"/>
      <w:divBdr>
        <w:top w:val="none" w:sz="0" w:space="0" w:color="auto"/>
        <w:left w:val="none" w:sz="0" w:space="0" w:color="auto"/>
        <w:bottom w:val="none" w:sz="0" w:space="0" w:color="auto"/>
        <w:right w:val="none" w:sz="0" w:space="0" w:color="auto"/>
      </w:divBdr>
    </w:div>
    <w:div w:id="1485778077">
      <w:bodyDiv w:val="1"/>
      <w:marLeft w:val="0"/>
      <w:marRight w:val="0"/>
      <w:marTop w:val="0"/>
      <w:marBottom w:val="0"/>
      <w:divBdr>
        <w:top w:val="none" w:sz="0" w:space="0" w:color="auto"/>
        <w:left w:val="none" w:sz="0" w:space="0" w:color="auto"/>
        <w:bottom w:val="none" w:sz="0" w:space="0" w:color="auto"/>
        <w:right w:val="none" w:sz="0" w:space="0" w:color="auto"/>
      </w:divBdr>
    </w:div>
    <w:div w:id="1521698905">
      <w:bodyDiv w:val="1"/>
      <w:marLeft w:val="0"/>
      <w:marRight w:val="0"/>
      <w:marTop w:val="0"/>
      <w:marBottom w:val="0"/>
      <w:divBdr>
        <w:top w:val="none" w:sz="0" w:space="0" w:color="auto"/>
        <w:left w:val="none" w:sz="0" w:space="0" w:color="auto"/>
        <w:bottom w:val="none" w:sz="0" w:space="0" w:color="auto"/>
        <w:right w:val="none" w:sz="0" w:space="0" w:color="auto"/>
      </w:divBdr>
    </w:div>
    <w:div w:id="1620726138">
      <w:bodyDiv w:val="1"/>
      <w:marLeft w:val="0"/>
      <w:marRight w:val="0"/>
      <w:marTop w:val="0"/>
      <w:marBottom w:val="0"/>
      <w:divBdr>
        <w:top w:val="none" w:sz="0" w:space="0" w:color="auto"/>
        <w:left w:val="none" w:sz="0" w:space="0" w:color="auto"/>
        <w:bottom w:val="none" w:sz="0" w:space="0" w:color="auto"/>
        <w:right w:val="none" w:sz="0" w:space="0" w:color="auto"/>
      </w:divBdr>
    </w:div>
    <w:div w:id="1683505204">
      <w:bodyDiv w:val="1"/>
      <w:marLeft w:val="0"/>
      <w:marRight w:val="0"/>
      <w:marTop w:val="0"/>
      <w:marBottom w:val="0"/>
      <w:divBdr>
        <w:top w:val="none" w:sz="0" w:space="0" w:color="auto"/>
        <w:left w:val="none" w:sz="0" w:space="0" w:color="auto"/>
        <w:bottom w:val="none" w:sz="0" w:space="0" w:color="auto"/>
        <w:right w:val="none" w:sz="0" w:space="0" w:color="auto"/>
      </w:divBdr>
    </w:div>
    <w:div w:id="1825046777">
      <w:bodyDiv w:val="1"/>
      <w:marLeft w:val="0"/>
      <w:marRight w:val="0"/>
      <w:marTop w:val="0"/>
      <w:marBottom w:val="0"/>
      <w:divBdr>
        <w:top w:val="none" w:sz="0" w:space="0" w:color="auto"/>
        <w:left w:val="none" w:sz="0" w:space="0" w:color="auto"/>
        <w:bottom w:val="none" w:sz="0" w:space="0" w:color="auto"/>
        <w:right w:val="none" w:sz="0" w:space="0" w:color="auto"/>
      </w:divBdr>
    </w:div>
    <w:div w:id="1895696583">
      <w:bodyDiv w:val="1"/>
      <w:marLeft w:val="0"/>
      <w:marRight w:val="0"/>
      <w:marTop w:val="0"/>
      <w:marBottom w:val="0"/>
      <w:divBdr>
        <w:top w:val="none" w:sz="0" w:space="0" w:color="auto"/>
        <w:left w:val="none" w:sz="0" w:space="0" w:color="auto"/>
        <w:bottom w:val="none" w:sz="0" w:space="0" w:color="auto"/>
        <w:right w:val="none" w:sz="0" w:space="0" w:color="auto"/>
      </w:divBdr>
    </w:div>
    <w:div w:id="2004122000">
      <w:bodyDiv w:val="1"/>
      <w:marLeft w:val="0"/>
      <w:marRight w:val="0"/>
      <w:marTop w:val="0"/>
      <w:marBottom w:val="0"/>
      <w:divBdr>
        <w:top w:val="none" w:sz="0" w:space="0" w:color="auto"/>
        <w:left w:val="none" w:sz="0" w:space="0" w:color="auto"/>
        <w:bottom w:val="none" w:sz="0" w:space="0" w:color="auto"/>
        <w:right w:val="none" w:sz="0" w:space="0" w:color="auto"/>
      </w:divBdr>
      <w:divsChild>
        <w:div w:id="124857313">
          <w:marLeft w:val="0"/>
          <w:marRight w:val="0"/>
          <w:marTop w:val="0"/>
          <w:marBottom w:val="0"/>
          <w:divBdr>
            <w:top w:val="none" w:sz="0" w:space="0" w:color="auto"/>
            <w:left w:val="none" w:sz="0" w:space="0" w:color="auto"/>
            <w:bottom w:val="none" w:sz="0" w:space="0" w:color="auto"/>
            <w:right w:val="none" w:sz="0" w:space="0" w:color="auto"/>
          </w:divBdr>
        </w:div>
      </w:divsChild>
    </w:div>
    <w:div w:id="21147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uroparl.europa.eu/thinktank/en/document/EPRS_BRI(2024)762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503</ap:Words>
  <ap:Characters>2771</ap:Characters>
  <ap:DocSecurity>0</ap:DocSecurity>
  <ap:Lines>23</ap:Lines>
  <ap:Paragraphs>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2024-10-25T08:38:00.0000000Z</dcterms:created>
  <dcterms:modified xsi:type="dcterms:W3CDTF">2024-10-25T08:38:00.0000000Z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b7c52d95-29e8-4af1-b7c8-9b77079291ef</vt:lpwstr>
  </property>
  <property fmtid="{D5CDD505-2E9C-101B-9397-08002B2CF9AE}" pid="4" name="_docset_NoMedatataSyncRequired">
    <vt:lpwstr>False</vt:lpwstr>
  </property>
  <property fmtid="{D5CDD505-2E9C-101B-9397-08002B2CF9AE}" pid="5" name="BZ_Country">
    <vt:lpwstr>2;#Not applicable|ec01d90b-9d0f-4785-8785-e1ea615196bf</vt:lpwstr>
  </property>
  <property fmtid="{D5CDD505-2E9C-101B-9397-08002B2CF9AE}" pid="6" name="BZ_Classification">
    <vt:lpwstr>4;#UNCLASSIFIED|d92c6340-bc14-4cb2-a9a6-6deda93c493b;#12;#NO MARKING|879e64ec-6597-483b-94db-f5f70afd7299</vt:lpwstr>
  </property>
  <property fmtid="{D5CDD505-2E9C-101B-9397-08002B2CF9AE}" pid="7" name="BZ_Forum">
    <vt:lpwstr>3;#Not applicable|0049e722-bfb1-4a3f-9d08-af7366a9af40</vt:lpwstr>
  </property>
  <property fmtid="{D5CDD505-2E9C-101B-9397-08002B2CF9AE}" pid="8" name="BZ_Theme">
    <vt:lpwstr>1;#Communication|e493718e-04f1-40ba-b095-af58ae3eb0cb</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BZCountryState">
    <vt:lpwstr>3;#Not applicable|ec01d90b-9d0f-4785-8785-e1ea615196bf</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ies>
</file>