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A0A" w:rsidP="00083A0A" w:rsidRDefault="00083A0A" w14:paraId="4D4D5809" w14:textId="6500B4DD">
      <w:pPr>
        <w:pStyle w:val="Geenafstand"/>
        <w:suppressAutoHyphens/>
        <w:spacing w:line="276" w:lineRule="auto"/>
        <w:rPr>
          <w:rFonts w:eastAsia="DejaVuSerifCondensed"/>
          <w:lang w:val="nl-NL"/>
        </w:rPr>
      </w:pPr>
      <w:r>
        <w:rPr>
          <w:rFonts w:eastAsia="DejaVuSerifCondensed"/>
          <w:lang w:val="nl-NL"/>
        </w:rPr>
        <w:t>AH 371</w:t>
      </w:r>
    </w:p>
    <w:p w:rsidR="002F125A" w:rsidP="00083A0A" w:rsidRDefault="002F125A" w14:paraId="7D9E408A" w14:textId="77777777">
      <w:pPr>
        <w:pStyle w:val="Geenafstand"/>
        <w:suppressAutoHyphens/>
        <w:spacing w:line="276" w:lineRule="auto"/>
        <w:rPr>
          <w:rFonts w:eastAsia="DejaVuSerifCondensed"/>
          <w:lang w:val="nl-NL"/>
        </w:rPr>
      </w:pPr>
    </w:p>
    <w:p w:rsidR="00083A0A" w:rsidP="00083A0A" w:rsidRDefault="00083A0A" w14:paraId="6C1468A6" w14:textId="2D900608">
      <w:pPr>
        <w:pStyle w:val="Geenafstand"/>
        <w:suppressAutoHyphens/>
        <w:spacing w:line="276" w:lineRule="auto"/>
        <w:rPr>
          <w:rFonts w:eastAsia="DejaVuSerifCondensed"/>
          <w:lang w:val="nl-NL"/>
        </w:rPr>
      </w:pPr>
      <w:r>
        <w:rPr>
          <w:rFonts w:eastAsia="DejaVuSerifCondensed"/>
          <w:lang w:val="nl-NL"/>
        </w:rPr>
        <w:t>2024Z16684</w:t>
      </w:r>
    </w:p>
    <w:p w:rsidR="002F125A" w:rsidP="00083A0A" w:rsidRDefault="002F125A" w14:paraId="2AB6017E" w14:textId="77777777">
      <w:pPr>
        <w:pStyle w:val="Geenafstand"/>
        <w:suppressAutoHyphens/>
        <w:spacing w:line="276" w:lineRule="auto"/>
        <w:rPr>
          <w:rFonts w:eastAsia="DejaVuSerifCondensed"/>
          <w:lang w:val="nl-NL"/>
        </w:rPr>
      </w:pPr>
    </w:p>
    <w:p w:rsidR="00083A0A" w:rsidP="00083A0A" w:rsidRDefault="00083A0A" w14:paraId="154A3435" w14:textId="7C150634">
      <w:pPr>
        <w:rPr>
          <w:rFonts w:eastAsia="DejaVuSerifCondensed"/>
          <w:sz w:val="24"/>
          <w:szCs w:val="24"/>
        </w:rPr>
      </w:pPr>
      <w:r w:rsidRPr="00083A0A">
        <w:rPr>
          <w:rFonts w:eastAsia="DejaVuSerifCondensed"/>
          <w:sz w:val="24"/>
          <w:szCs w:val="24"/>
        </w:rPr>
        <w:t xml:space="preserve">Antwoord van minister </w:t>
      </w:r>
      <w:proofErr w:type="spellStart"/>
      <w:r w:rsidRPr="00083A0A">
        <w:rPr>
          <w:rFonts w:eastAsia="DejaVuSerifCondensed"/>
          <w:sz w:val="24"/>
          <w:szCs w:val="24"/>
        </w:rPr>
        <w:t>Agema</w:t>
      </w:r>
      <w:proofErr w:type="spellEnd"/>
      <w:r w:rsidRPr="00083A0A">
        <w:rPr>
          <w:rFonts w:eastAsia="DejaVuSerifCondensed"/>
          <w:sz w:val="24"/>
          <w:szCs w:val="24"/>
        </w:rPr>
        <w:t xml:space="preserve"> (Volksgezondheid, Welzijn en Sport)</w:t>
      </w:r>
      <w:r>
        <w:rPr>
          <w:rFonts w:eastAsia="DejaVuSerifCondensed"/>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sen</w:t>
      </w:r>
      <w:r w:rsidRPr="00D31852">
        <w:rPr>
          <w:rFonts w:ascii="Times New Roman" w:hAnsi="Times New Roman"/>
          <w:sz w:val="24"/>
          <w:szCs w:val="24"/>
        </w:rPr>
        <w:t xml:space="preserve"> van Volksgezondheid, Welzijn en Sport</w:t>
      </w:r>
      <w:r w:rsidRPr="00083A0A">
        <w:rPr>
          <w:rFonts w:eastAsia="DejaVuSerifCondensed"/>
          <w:sz w:val="24"/>
          <w:szCs w:val="24"/>
        </w:rPr>
        <w:t xml:space="preserve"> (ontvangen</w:t>
      </w:r>
      <w:r>
        <w:rPr>
          <w:rFonts w:eastAsia="DejaVuSerifCondensed"/>
          <w:sz w:val="24"/>
          <w:szCs w:val="24"/>
        </w:rPr>
        <w:t xml:space="preserve"> 24 oktober 2024)</w:t>
      </w:r>
    </w:p>
    <w:p w:rsidRPr="002F125A" w:rsidR="002F125A" w:rsidP="00083A0A" w:rsidRDefault="002F125A" w14:paraId="7C688CB6" w14:textId="1CF2100D">
      <w:pPr>
        <w:rPr>
          <w:sz w:val="24"/>
        </w:rPr>
      </w:pPr>
    </w:p>
    <w:p w:rsidRPr="00864648" w:rsidR="00083A0A" w:rsidP="00083A0A" w:rsidRDefault="00083A0A" w14:paraId="2B3721AB"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Vraag</w:t>
      </w:r>
      <w:r w:rsidRPr="00864648">
        <w:rPr>
          <w:rFonts w:eastAsia="DejaVuSerifCondensed"/>
          <w:szCs w:val="18"/>
          <w:lang w:val="nl-NL"/>
        </w:rPr>
        <w:tab/>
        <w:t xml:space="preserve">1 </w:t>
      </w:r>
    </w:p>
    <w:p w:rsidRPr="00864648" w:rsidR="00083A0A" w:rsidP="00083A0A" w:rsidRDefault="00083A0A" w14:paraId="7D137323"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Kunt u deze vragen beantwoorden voor donderdag 24 oktober om 9.00 uur aangezien de antwoorden op deze vragen relevant zijn voor de begrotingsbehandeling VWS?</w:t>
      </w:r>
    </w:p>
    <w:p w:rsidRPr="00864648" w:rsidR="00083A0A" w:rsidP="00083A0A" w:rsidRDefault="00083A0A" w14:paraId="6E34F3A2" w14:textId="77777777">
      <w:pPr>
        <w:pStyle w:val="Geenafstand"/>
        <w:suppressAutoHyphens/>
        <w:spacing w:line="276" w:lineRule="auto"/>
        <w:rPr>
          <w:rFonts w:eastAsia="DejaVuSerifCondensed"/>
          <w:szCs w:val="18"/>
          <w:lang w:val="nl-NL"/>
        </w:rPr>
      </w:pPr>
    </w:p>
    <w:p w:rsidRPr="00864648" w:rsidR="00083A0A" w:rsidP="00083A0A" w:rsidRDefault="00083A0A" w14:paraId="007379AD"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Antwoord:</w:t>
      </w:r>
    </w:p>
    <w:p w:rsidRPr="00864648" w:rsidR="00083A0A" w:rsidP="00083A0A" w:rsidRDefault="00083A0A" w14:paraId="690FA402"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 xml:space="preserve">Uiteraard zijn wij hiertoe bereid. </w:t>
      </w:r>
    </w:p>
    <w:p w:rsidR="00083A0A" w:rsidP="00083A0A" w:rsidRDefault="00083A0A" w14:paraId="1813C97B" w14:textId="77777777">
      <w:pPr>
        <w:pStyle w:val="Geenafstand"/>
        <w:suppressAutoHyphens/>
        <w:spacing w:line="276" w:lineRule="auto"/>
        <w:rPr>
          <w:rFonts w:eastAsia="DejaVuSerifCondensed"/>
          <w:szCs w:val="18"/>
          <w:lang w:val="nl-NL"/>
        </w:rPr>
      </w:pPr>
    </w:p>
    <w:p w:rsidRPr="00864648" w:rsidR="00083A0A" w:rsidP="00083A0A" w:rsidRDefault="00083A0A" w14:paraId="4A253013"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Vraag</w:t>
      </w:r>
      <w:r w:rsidRPr="00864648">
        <w:rPr>
          <w:rFonts w:eastAsia="DejaVuSerifCondensed"/>
          <w:szCs w:val="18"/>
          <w:lang w:val="nl-NL"/>
        </w:rPr>
        <w:tab/>
        <w:t xml:space="preserve">2 </w:t>
      </w:r>
    </w:p>
    <w:p w:rsidRPr="00864648" w:rsidR="00083A0A" w:rsidP="00083A0A" w:rsidRDefault="00083A0A" w14:paraId="0FB2322E"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Hoeveel zorgorganisaties heeft het ministerie van VWS sinds de oprichting van het Stagefonds Zorg ondersteund met stagesubsidies? Hoeveel geld is daar per jaar voor uitgekeerd? Ten behoeve van hoeveel stageplaatsen? Klopt het dat de middelen in het stagefonds de afgelopen jaren wel voor 100% benut zijn of dat er zelfs meer beroep op wordt gedaan dan wat er beschikbaar is?</w:t>
      </w:r>
    </w:p>
    <w:p w:rsidRPr="00864648" w:rsidR="00083A0A" w:rsidP="00083A0A" w:rsidRDefault="00083A0A" w14:paraId="423BCA0E" w14:textId="77777777">
      <w:pPr>
        <w:pStyle w:val="Geenafstand"/>
        <w:suppressAutoHyphens/>
        <w:spacing w:line="276" w:lineRule="auto"/>
        <w:rPr>
          <w:rFonts w:eastAsia="DejaVuSerifCondensed"/>
          <w:szCs w:val="18"/>
          <w:lang w:val="nl-NL"/>
        </w:rPr>
      </w:pPr>
    </w:p>
    <w:p w:rsidRPr="00864648" w:rsidR="00083A0A" w:rsidP="00083A0A" w:rsidRDefault="00083A0A" w14:paraId="0AC34F89"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 xml:space="preserve">Antwoord: </w:t>
      </w:r>
    </w:p>
    <w:p w:rsidRPr="00BA7626" w:rsidR="00083A0A" w:rsidP="00083A0A" w:rsidRDefault="00083A0A" w14:paraId="01CEE316" w14:textId="77777777">
      <w:pPr>
        <w:pStyle w:val="Geenafstand"/>
        <w:suppressAutoHyphens/>
        <w:spacing w:line="276" w:lineRule="auto"/>
        <w:rPr>
          <w:lang w:val="nl-NL"/>
        </w:rPr>
      </w:pPr>
      <w:r>
        <w:rPr>
          <w:rFonts w:eastAsiaTheme="majorEastAsia" w:cstheme="majorBidi"/>
          <w:szCs w:val="18"/>
          <w:lang w:val="nl-NL"/>
        </w:rPr>
        <w:t xml:space="preserve">Er is niet bijgehouden hoeveel </w:t>
      </w:r>
      <w:r w:rsidRPr="005D1777">
        <w:rPr>
          <w:rFonts w:eastAsiaTheme="majorEastAsia" w:cstheme="majorBidi"/>
          <w:szCs w:val="18"/>
          <w:lang w:val="nl-NL"/>
        </w:rPr>
        <w:t xml:space="preserve">zorgorganisaties </w:t>
      </w:r>
      <w:r>
        <w:rPr>
          <w:rFonts w:eastAsiaTheme="majorEastAsia" w:cstheme="majorBidi"/>
          <w:szCs w:val="18"/>
          <w:lang w:val="nl-NL"/>
        </w:rPr>
        <w:t xml:space="preserve">gebruik hebben gemaakt </w:t>
      </w:r>
      <w:r w:rsidRPr="005D1777">
        <w:rPr>
          <w:rFonts w:eastAsiaTheme="majorEastAsia" w:cstheme="majorBidi"/>
          <w:szCs w:val="18"/>
          <w:lang w:val="nl-NL"/>
        </w:rPr>
        <w:t xml:space="preserve">van de subsidieregeling Stageplaatsen Zorg (hierna: Stagefonds) </w:t>
      </w:r>
      <w:r>
        <w:rPr>
          <w:rFonts w:eastAsiaTheme="majorEastAsia" w:cstheme="majorBidi"/>
          <w:szCs w:val="18"/>
          <w:lang w:val="nl-NL"/>
        </w:rPr>
        <w:t xml:space="preserve">sinds de start van de regeling. </w:t>
      </w:r>
      <w:r w:rsidRPr="005D1777">
        <w:rPr>
          <w:rFonts w:eastAsiaTheme="majorEastAsia" w:cstheme="majorBidi"/>
          <w:szCs w:val="18"/>
          <w:lang w:val="nl-NL"/>
        </w:rPr>
        <w:t>Over het studiejaar 2022-2023 hebben 7.295 zorgorganisaties het stagefonds voor 58.102 fte</w:t>
      </w:r>
      <w:r>
        <w:rPr>
          <w:rFonts w:eastAsiaTheme="majorEastAsia" w:cstheme="majorBidi"/>
          <w:szCs w:val="18"/>
          <w:lang w:val="nl-NL"/>
        </w:rPr>
        <w:t xml:space="preserve"> gebruikt</w:t>
      </w:r>
      <w:r w:rsidRPr="005D1777">
        <w:rPr>
          <w:rFonts w:eastAsiaTheme="majorEastAsia" w:cstheme="majorBidi"/>
          <w:szCs w:val="18"/>
          <w:lang w:val="nl-NL"/>
        </w:rPr>
        <w:t xml:space="preserve">. Het Stagefonds werkt met een subsidieplafond van € 122 miljoen dat elk jaar volledig wordt benut. Dat heeft ook te maken met de inrichting van de regeling: op het moment dat er minder aanvragen worden gedaan wordt het bedrag per aanvraag verhoogd. Andersom wordt ook het bedrag per aanvraag verlaagd als er meer aanvragen worden gedaan. Zo past de vergoeding altijd binnen het beschikbare plafond. De berekening van de subsidie per zorgorganisatie </w:t>
      </w:r>
      <w:r>
        <w:rPr>
          <w:rFonts w:eastAsiaTheme="majorEastAsia" w:cstheme="majorBidi"/>
          <w:szCs w:val="18"/>
          <w:lang w:val="nl-NL"/>
        </w:rPr>
        <w:t xml:space="preserve">hangt af </w:t>
      </w:r>
      <w:r w:rsidRPr="005D1777">
        <w:rPr>
          <w:rFonts w:eastAsiaTheme="majorEastAsia" w:cstheme="majorBidi"/>
          <w:szCs w:val="18"/>
          <w:lang w:val="nl-NL"/>
        </w:rPr>
        <w:t>van het totaal aantal zorgorganisaties dat een aanvraag</w:t>
      </w:r>
      <w:r w:rsidRPr="00864648">
        <w:rPr>
          <w:rFonts w:eastAsiaTheme="majorEastAsia" w:cstheme="majorBidi"/>
          <w:szCs w:val="18"/>
          <w:lang w:val="nl-NL"/>
        </w:rPr>
        <w:t xml:space="preserve"> indient.</w:t>
      </w:r>
      <w:r>
        <w:rPr>
          <w:rFonts w:eastAsiaTheme="majorEastAsia" w:cstheme="majorBidi"/>
          <w:szCs w:val="18"/>
          <w:lang w:val="nl-NL"/>
        </w:rPr>
        <w:t xml:space="preserve"> Ook de Algemene Rekenkamer stelt dat de uitgaven ondoelmatig zijn. </w:t>
      </w:r>
      <w:r w:rsidRPr="00BA7626">
        <w:rPr>
          <w:lang w:val="nl-NL"/>
        </w:rPr>
        <w:t xml:space="preserve"> </w:t>
      </w:r>
    </w:p>
    <w:p w:rsidRPr="00864648" w:rsidR="00083A0A" w:rsidP="00083A0A" w:rsidRDefault="00083A0A" w14:paraId="78EA6BD3" w14:textId="77777777">
      <w:pPr>
        <w:pStyle w:val="Geenafstand"/>
        <w:suppressAutoHyphens/>
        <w:spacing w:line="276" w:lineRule="auto"/>
        <w:rPr>
          <w:rFonts w:eastAsiaTheme="majorEastAsia" w:cstheme="majorBidi"/>
          <w:szCs w:val="18"/>
          <w:lang w:val="nl-NL"/>
        </w:rPr>
      </w:pPr>
    </w:p>
    <w:p w:rsidRPr="00864648" w:rsidR="00083A0A" w:rsidP="00083A0A" w:rsidRDefault="00083A0A" w14:paraId="54377DA2"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Vraag</w:t>
      </w:r>
      <w:r w:rsidRPr="00864648">
        <w:rPr>
          <w:rFonts w:eastAsia="DejaVuSerifCondensed"/>
          <w:szCs w:val="18"/>
          <w:lang w:val="nl-NL"/>
        </w:rPr>
        <w:tab/>
        <w:t xml:space="preserve">3 </w:t>
      </w:r>
    </w:p>
    <w:p w:rsidRPr="00864648" w:rsidR="00083A0A" w:rsidP="00083A0A" w:rsidRDefault="00083A0A" w14:paraId="6FDB83B2" w14:textId="77777777">
      <w:pPr>
        <w:pStyle w:val="Geenafstand"/>
        <w:suppressAutoHyphens/>
        <w:spacing w:line="276" w:lineRule="auto"/>
        <w:rPr>
          <w:rFonts w:eastAsiaTheme="majorEastAsia" w:cstheme="majorBidi"/>
          <w:szCs w:val="18"/>
          <w:lang w:val="nl-NL"/>
        </w:rPr>
      </w:pPr>
      <w:r w:rsidRPr="00864648">
        <w:rPr>
          <w:rFonts w:eastAsia="DejaVuSerifCondensed"/>
          <w:szCs w:val="18"/>
          <w:lang w:val="nl-NL"/>
        </w:rPr>
        <w:t>Hoeveel van het geld uit het Stagefonds Zorg werd gebruikt voor de begeleiding van mbo-studenten? Hoeveel daarvan werd gebruikt voor de begeleiding van hbo-studenten? Wat zijn de gevolgen voor de instroom van mbo-studenten voor opleidingen in de zorg wanneer het Stagefonds Zorg wegvalt?</w:t>
      </w:r>
    </w:p>
    <w:p w:rsidR="00083A0A" w:rsidP="00083A0A" w:rsidRDefault="00083A0A" w14:paraId="53582751" w14:textId="77777777">
      <w:pPr>
        <w:pStyle w:val="Geenafstand"/>
        <w:suppressAutoHyphens/>
        <w:spacing w:line="276" w:lineRule="auto"/>
        <w:rPr>
          <w:rFonts w:eastAsia="DejaVuSerifCondensed"/>
          <w:lang w:val="nl-NL"/>
        </w:rPr>
      </w:pPr>
    </w:p>
    <w:p w:rsidRPr="00864648" w:rsidR="00083A0A" w:rsidP="00083A0A" w:rsidRDefault="00083A0A" w14:paraId="77E93EBD" w14:textId="77777777">
      <w:pPr>
        <w:pStyle w:val="Geenafstand"/>
        <w:suppressAutoHyphens/>
        <w:spacing w:line="276" w:lineRule="auto"/>
        <w:rPr>
          <w:rFonts w:eastAsia="DejaVuSerifCondensed"/>
          <w:lang w:val="nl-NL"/>
        </w:rPr>
      </w:pPr>
      <w:r w:rsidRPr="00864648">
        <w:rPr>
          <w:rFonts w:eastAsia="DejaVuSerifCondensed"/>
          <w:lang w:val="nl-NL"/>
        </w:rPr>
        <w:t xml:space="preserve">Antwoord: </w:t>
      </w:r>
    </w:p>
    <w:p w:rsidRPr="006829D4" w:rsidR="00083A0A" w:rsidP="00083A0A" w:rsidRDefault="00083A0A" w14:paraId="4A18E394" w14:textId="77777777">
      <w:pPr>
        <w:pStyle w:val="Geenafstand"/>
        <w:suppressAutoHyphens/>
        <w:spacing w:line="276" w:lineRule="auto"/>
        <w:rPr>
          <w:rFonts w:eastAsiaTheme="majorEastAsia" w:cstheme="majorBidi"/>
          <w:lang w:val="nl-NL"/>
        </w:rPr>
      </w:pPr>
      <w:r w:rsidRPr="006829D4">
        <w:rPr>
          <w:rFonts w:eastAsiaTheme="majorEastAsia" w:cstheme="majorBidi"/>
          <w:lang w:val="nl-NL"/>
        </w:rPr>
        <w:t xml:space="preserve">Over het studiejaar 2022-2023 werd voor 13.549 fte aan subsidie voor hbo-studenten verstrekt en voor 44.553 fte aan mbo-studenten. </w:t>
      </w:r>
      <w:r>
        <w:rPr>
          <w:rFonts w:eastAsiaTheme="majorEastAsia" w:cstheme="majorBidi"/>
          <w:lang w:val="nl-NL"/>
        </w:rPr>
        <w:t xml:space="preserve">In totaal gaat het om 58.102 fte. </w:t>
      </w:r>
    </w:p>
    <w:p w:rsidRPr="00306FDC" w:rsidR="00083A0A" w:rsidP="00083A0A" w:rsidRDefault="00083A0A" w14:paraId="37DF759D" w14:textId="77777777">
      <w:pPr>
        <w:pStyle w:val="Geenafstand"/>
        <w:suppressAutoHyphens/>
        <w:spacing w:line="276" w:lineRule="auto"/>
        <w:rPr>
          <w:rFonts w:eastAsiaTheme="majorEastAsia" w:cstheme="majorBidi"/>
          <w:lang w:val="nl-NL"/>
        </w:rPr>
      </w:pPr>
      <w:r w:rsidRPr="006829D4">
        <w:rPr>
          <w:rFonts w:eastAsiaTheme="majorEastAsia" w:cstheme="majorBidi"/>
          <w:lang w:val="nl-NL"/>
        </w:rPr>
        <w:lastRenderedPageBreak/>
        <w:t xml:space="preserve">De instroom van de studenten in het mbo is niet beperkt door het aantal stageplaatsen. </w:t>
      </w:r>
      <w:r>
        <w:rPr>
          <w:rFonts w:eastAsiaTheme="majorEastAsia" w:cstheme="majorBidi"/>
          <w:lang w:val="nl-NL"/>
        </w:rPr>
        <w:t>Volgens h</w:t>
      </w:r>
      <w:r w:rsidRPr="006829D4">
        <w:rPr>
          <w:rFonts w:eastAsiaTheme="majorEastAsia" w:cstheme="majorBidi"/>
          <w:lang w:val="nl-NL"/>
        </w:rPr>
        <w:t xml:space="preserve">et rapport van de Algemene Rekenkamer </w:t>
      </w:r>
      <w:r>
        <w:rPr>
          <w:rFonts w:eastAsiaTheme="majorEastAsia" w:cstheme="majorBidi"/>
          <w:lang w:val="nl-NL"/>
        </w:rPr>
        <w:t xml:space="preserve">is </w:t>
      </w:r>
      <w:r w:rsidRPr="006829D4">
        <w:rPr>
          <w:rFonts w:eastAsiaTheme="majorEastAsia" w:cstheme="majorBidi"/>
          <w:lang w:val="nl-NL"/>
        </w:rPr>
        <w:t>het aantal stageplaatsen in de zorg niet nauw verbonden met de beschikbare subsidie.</w:t>
      </w:r>
    </w:p>
    <w:p w:rsidR="00083A0A" w:rsidP="00083A0A" w:rsidRDefault="00083A0A" w14:paraId="12AFE181" w14:textId="77777777">
      <w:pPr>
        <w:pStyle w:val="Geenafstand"/>
        <w:suppressAutoHyphens/>
        <w:spacing w:line="276" w:lineRule="auto"/>
        <w:rPr>
          <w:rFonts w:eastAsia="DejaVuSerifCondensed"/>
          <w:lang w:val="nl-NL"/>
        </w:rPr>
      </w:pPr>
    </w:p>
    <w:p w:rsidRPr="00864648" w:rsidR="00083A0A" w:rsidP="00083A0A" w:rsidRDefault="00083A0A" w14:paraId="006AC0B3"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 xml:space="preserve">4 </w:t>
      </w:r>
    </w:p>
    <w:p w:rsidRPr="00864648" w:rsidR="00083A0A" w:rsidP="00083A0A" w:rsidRDefault="00083A0A" w14:paraId="1A6F344C" w14:textId="77777777">
      <w:pPr>
        <w:pStyle w:val="Geenafstand"/>
        <w:suppressAutoHyphens/>
        <w:spacing w:line="276" w:lineRule="auto"/>
        <w:rPr>
          <w:rFonts w:eastAsia="DejaVuSerifCondensed"/>
          <w:lang w:val="nl-NL"/>
        </w:rPr>
      </w:pPr>
      <w:r w:rsidRPr="00864648">
        <w:rPr>
          <w:rFonts w:eastAsia="DejaVuSerifCondensed"/>
          <w:lang w:val="nl-NL"/>
        </w:rPr>
        <w:t>Hoeveel tekorten aan stageplaatsen zijn er op dit moment in de zorg? Kunt u dit uitsplitsen naar de verschillende onderwijsniveaus?</w:t>
      </w:r>
    </w:p>
    <w:p w:rsidR="00083A0A" w:rsidP="00083A0A" w:rsidRDefault="00083A0A" w14:paraId="373613F7" w14:textId="77777777">
      <w:pPr>
        <w:pStyle w:val="Geenafstand"/>
        <w:suppressAutoHyphens/>
        <w:spacing w:line="276" w:lineRule="auto"/>
        <w:rPr>
          <w:rFonts w:eastAsia="DejaVuSerifCondensed"/>
          <w:lang w:val="nl-NL"/>
        </w:rPr>
      </w:pPr>
    </w:p>
    <w:p w:rsidRPr="00864648" w:rsidR="00083A0A" w:rsidP="00083A0A" w:rsidRDefault="00083A0A" w14:paraId="30A8AD3B" w14:textId="77777777">
      <w:pPr>
        <w:pStyle w:val="Geenafstand"/>
        <w:suppressAutoHyphens/>
        <w:spacing w:line="276" w:lineRule="auto"/>
        <w:rPr>
          <w:rFonts w:eastAsia="DejaVuSerifCondensed"/>
          <w:lang w:val="nl-NL"/>
        </w:rPr>
      </w:pPr>
      <w:r w:rsidRPr="00864648">
        <w:rPr>
          <w:rFonts w:eastAsia="DejaVuSerifCondensed"/>
          <w:lang w:val="nl-NL"/>
        </w:rPr>
        <w:t xml:space="preserve">Antwoord:  </w:t>
      </w:r>
    </w:p>
    <w:p w:rsidRPr="00306FDC" w:rsidR="00083A0A" w:rsidP="00083A0A" w:rsidRDefault="00083A0A" w14:paraId="520A7EF5" w14:textId="77777777">
      <w:pPr>
        <w:pStyle w:val="Geenafstand"/>
        <w:suppressAutoHyphens/>
        <w:spacing w:line="276" w:lineRule="auto"/>
        <w:rPr>
          <w:rFonts w:eastAsiaTheme="majorEastAsia" w:cstheme="majorBidi"/>
          <w:lang w:val="nl-NL"/>
        </w:rPr>
      </w:pPr>
      <w:r w:rsidRPr="00306FDC">
        <w:rPr>
          <w:rFonts w:eastAsiaTheme="majorEastAsia" w:cstheme="majorBidi"/>
          <w:lang w:val="nl-NL"/>
        </w:rPr>
        <w:t>Op 10 oktober 2023 is uw Kamer door de toenmalige minister van OCW geïnformeerd over de stagetekorten in het hbo. Absolute cijfers ontbreken</w:t>
      </w:r>
      <w:r>
        <w:rPr>
          <w:rFonts w:eastAsiaTheme="majorEastAsia" w:cstheme="majorBidi"/>
          <w:lang w:val="nl-NL"/>
        </w:rPr>
        <w:t>,</w:t>
      </w:r>
      <w:r w:rsidRPr="00306FDC">
        <w:rPr>
          <w:rFonts w:eastAsiaTheme="majorEastAsia" w:cstheme="majorBidi"/>
          <w:lang w:val="nl-NL"/>
        </w:rPr>
        <w:t xml:space="preserve"> maar ongeveer 29% van de </w:t>
      </w:r>
      <w:r>
        <w:rPr>
          <w:rFonts w:eastAsiaTheme="majorEastAsia" w:cstheme="majorBidi"/>
          <w:lang w:val="nl-NL"/>
        </w:rPr>
        <w:t xml:space="preserve">ondervraagde studenten </w:t>
      </w:r>
      <w:r w:rsidRPr="00306FDC">
        <w:rPr>
          <w:rFonts w:eastAsiaTheme="majorEastAsia" w:cstheme="majorBidi"/>
          <w:lang w:val="nl-NL"/>
        </w:rPr>
        <w:t>geeft aan dat het veel moeite kost</w:t>
      </w:r>
      <w:r>
        <w:rPr>
          <w:rFonts w:eastAsiaTheme="majorEastAsia" w:cstheme="majorBidi"/>
          <w:lang w:val="nl-NL"/>
        </w:rPr>
        <w:t xml:space="preserve"> om een stageplek te vinden</w:t>
      </w:r>
      <w:r w:rsidRPr="00306FDC">
        <w:rPr>
          <w:rFonts w:eastAsiaTheme="majorEastAsia" w:cstheme="majorBidi"/>
          <w:lang w:val="nl-NL"/>
        </w:rPr>
        <w:t xml:space="preserve">. </w:t>
      </w:r>
      <w:r>
        <w:rPr>
          <w:rFonts w:eastAsiaTheme="majorEastAsia" w:cstheme="majorBidi"/>
          <w:lang w:val="nl-NL"/>
        </w:rPr>
        <w:t>Vooral studenten</w:t>
      </w:r>
      <w:r w:rsidRPr="00306FDC">
        <w:rPr>
          <w:rFonts w:eastAsiaTheme="majorEastAsia" w:cstheme="majorBidi"/>
          <w:lang w:val="nl-NL"/>
        </w:rPr>
        <w:t xml:space="preserve"> gezondheidszorg, recht en gedrag</w:t>
      </w:r>
      <w:r>
        <w:rPr>
          <w:rFonts w:eastAsiaTheme="majorEastAsia" w:cstheme="majorBidi"/>
          <w:lang w:val="nl-NL"/>
        </w:rPr>
        <w:t xml:space="preserve"> </w:t>
      </w:r>
      <w:r w:rsidRPr="00306FDC">
        <w:rPr>
          <w:rFonts w:eastAsiaTheme="majorEastAsia" w:cstheme="majorBidi"/>
          <w:lang w:val="nl-NL"/>
        </w:rPr>
        <w:t>&amp;</w:t>
      </w:r>
      <w:r>
        <w:rPr>
          <w:rFonts w:eastAsiaTheme="majorEastAsia" w:cstheme="majorBidi"/>
          <w:lang w:val="nl-NL"/>
        </w:rPr>
        <w:t xml:space="preserve"> </w:t>
      </w:r>
      <w:r w:rsidRPr="00306FDC">
        <w:rPr>
          <w:rFonts w:eastAsiaTheme="majorEastAsia" w:cstheme="majorBidi"/>
          <w:lang w:val="nl-NL"/>
        </w:rPr>
        <w:t xml:space="preserve">maatschappij </w:t>
      </w:r>
      <w:r>
        <w:rPr>
          <w:rFonts w:eastAsiaTheme="majorEastAsia" w:cstheme="majorBidi"/>
          <w:lang w:val="nl-NL"/>
        </w:rPr>
        <w:t xml:space="preserve">zeggen </w:t>
      </w:r>
      <w:r w:rsidRPr="00306FDC">
        <w:rPr>
          <w:rFonts w:eastAsiaTheme="majorEastAsia" w:cstheme="majorBidi"/>
          <w:lang w:val="nl-NL"/>
        </w:rPr>
        <w:t xml:space="preserve">meer moeite te hebben </w:t>
      </w:r>
      <w:r>
        <w:rPr>
          <w:rFonts w:eastAsiaTheme="majorEastAsia" w:cstheme="majorBidi"/>
          <w:lang w:val="nl-NL"/>
        </w:rPr>
        <w:t xml:space="preserve">om </w:t>
      </w:r>
      <w:r w:rsidRPr="00306FDC">
        <w:rPr>
          <w:rFonts w:eastAsiaTheme="majorEastAsia" w:cstheme="majorBidi"/>
          <w:lang w:val="nl-NL"/>
        </w:rPr>
        <w:t>een stageplaats</w:t>
      </w:r>
      <w:r>
        <w:rPr>
          <w:rFonts w:eastAsiaTheme="majorEastAsia" w:cstheme="majorBidi"/>
          <w:lang w:val="nl-NL"/>
        </w:rPr>
        <w:t xml:space="preserve"> te vinden</w:t>
      </w:r>
      <w:r w:rsidRPr="00306FDC">
        <w:rPr>
          <w:rFonts w:eastAsiaTheme="majorEastAsia" w:cstheme="majorBidi"/>
          <w:lang w:val="nl-NL"/>
        </w:rPr>
        <w:t>. Voor het mbo heeft Samenwerkingsorganisatie Beroepsonderwijs Bedrijfsleven (hierna SBB) een stagebarometer gepubliceerd. Voor zorg, welzijn en sport breed was in 2023 een tekort van 885 stageplekken.</w:t>
      </w:r>
      <w:r>
        <w:rPr>
          <w:rFonts w:eastAsiaTheme="majorEastAsia" w:cstheme="majorBidi"/>
          <w:lang w:val="nl-NL"/>
        </w:rPr>
        <w:t xml:space="preserve"> </w:t>
      </w:r>
      <w:r>
        <w:rPr>
          <w:rFonts w:eastAsiaTheme="majorEastAsia" w:cstheme="majorBidi"/>
          <w:szCs w:val="18"/>
          <w:lang w:val="nl-NL"/>
        </w:rPr>
        <w:t>N</w:t>
      </w:r>
      <w:r w:rsidRPr="00BD0797">
        <w:rPr>
          <w:rFonts w:eastAsiaTheme="majorEastAsia" w:cstheme="majorBidi"/>
          <w:szCs w:val="18"/>
          <w:lang w:val="nl-NL"/>
        </w:rPr>
        <w:t xml:space="preserve">a het stopzetten van het Stagefonds </w:t>
      </w:r>
      <w:r>
        <w:rPr>
          <w:rFonts w:eastAsiaTheme="majorEastAsia" w:cstheme="majorBidi"/>
          <w:szCs w:val="18"/>
          <w:lang w:val="nl-NL"/>
        </w:rPr>
        <w:t xml:space="preserve">blijft er </w:t>
      </w:r>
      <w:r w:rsidRPr="00BD0797">
        <w:rPr>
          <w:rFonts w:eastAsiaTheme="majorEastAsia" w:cstheme="majorBidi"/>
          <w:szCs w:val="18"/>
          <w:lang w:val="nl-NL"/>
        </w:rPr>
        <w:t xml:space="preserve">vanaf 2028 € 40 miljoen beschikbaar </w:t>
      </w:r>
      <w:r>
        <w:rPr>
          <w:rFonts w:eastAsiaTheme="majorEastAsia" w:cstheme="majorBidi"/>
          <w:szCs w:val="18"/>
          <w:lang w:val="nl-NL"/>
        </w:rPr>
        <w:t xml:space="preserve">om </w:t>
      </w:r>
      <w:r w:rsidRPr="00BD0797">
        <w:rPr>
          <w:rFonts w:eastAsiaTheme="majorEastAsia" w:cstheme="majorBidi"/>
          <w:szCs w:val="18"/>
          <w:lang w:val="nl-NL"/>
        </w:rPr>
        <w:t>vakmanschap</w:t>
      </w:r>
      <w:r>
        <w:rPr>
          <w:rFonts w:eastAsiaTheme="majorEastAsia" w:cstheme="majorBidi"/>
          <w:szCs w:val="18"/>
          <w:lang w:val="nl-NL"/>
        </w:rPr>
        <w:t xml:space="preserve"> te bevorderen en afspraken in de akkoorden te maken om het Regeerprogramma uit te voeren</w:t>
      </w:r>
      <w:r w:rsidRPr="00BD0797">
        <w:rPr>
          <w:rFonts w:eastAsiaTheme="majorEastAsia" w:cstheme="majorBidi"/>
          <w:szCs w:val="18"/>
          <w:lang w:val="nl-NL"/>
        </w:rPr>
        <w:t xml:space="preserve">. </w:t>
      </w:r>
      <w:r>
        <w:rPr>
          <w:rFonts w:eastAsiaTheme="majorEastAsia" w:cstheme="majorBidi"/>
          <w:szCs w:val="18"/>
          <w:lang w:val="nl-NL"/>
        </w:rPr>
        <w:t xml:space="preserve">Bijvoorbeeld </w:t>
      </w:r>
      <w:r w:rsidRPr="00BD0797">
        <w:rPr>
          <w:rFonts w:eastAsiaTheme="majorEastAsia" w:cstheme="majorBidi"/>
          <w:szCs w:val="18"/>
          <w:lang w:val="nl-NL"/>
        </w:rPr>
        <w:t>over voldoende instroom en doorstroom via opleiden en bij- en nascholing buiten het ziekenhuis</w:t>
      </w:r>
      <w:r>
        <w:rPr>
          <w:rFonts w:eastAsiaTheme="majorEastAsia" w:cstheme="majorBidi"/>
          <w:szCs w:val="18"/>
          <w:lang w:val="nl-NL"/>
        </w:rPr>
        <w:t>.</w:t>
      </w:r>
    </w:p>
    <w:p w:rsidR="00083A0A" w:rsidP="00083A0A" w:rsidRDefault="00083A0A" w14:paraId="77B564A0" w14:textId="77777777">
      <w:pPr>
        <w:pStyle w:val="Geenafstand"/>
        <w:suppressAutoHyphens/>
        <w:spacing w:line="276" w:lineRule="auto"/>
        <w:rPr>
          <w:rFonts w:eastAsia="DejaVuSerifCondensed"/>
          <w:lang w:val="nl-NL"/>
        </w:rPr>
      </w:pPr>
    </w:p>
    <w:p w:rsidRPr="00864648" w:rsidR="00083A0A" w:rsidP="00083A0A" w:rsidRDefault="00083A0A" w14:paraId="04E25659"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5</w:t>
      </w:r>
    </w:p>
    <w:p w:rsidRPr="00864648" w:rsidR="00083A0A" w:rsidP="00083A0A" w:rsidRDefault="00083A0A" w14:paraId="7A17507F" w14:textId="77777777">
      <w:pPr>
        <w:pStyle w:val="Geenafstand"/>
        <w:suppressAutoHyphens/>
        <w:spacing w:line="276" w:lineRule="auto"/>
        <w:rPr>
          <w:rFonts w:eastAsia="DejaVuSerifCondensed"/>
          <w:lang w:val="nl-NL"/>
        </w:rPr>
      </w:pPr>
      <w:r w:rsidRPr="00864648">
        <w:rPr>
          <w:rFonts w:eastAsia="DejaVuSerifCondensed"/>
          <w:lang w:val="nl-NL"/>
        </w:rPr>
        <w:t>Wat zijn de verwachte gevolgen van het niet verlengen van het Stagefonds Zorg op de personele capaciteit in de zorg?</w:t>
      </w:r>
    </w:p>
    <w:p w:rsidR="00083A0A" w:rsidP="00083A0A" w:rsidRDefault="00083A0A" w14:paraId="6B7812DE" w14:textId="77777777">
      <w:pPr>
        <w:pStyle w:val="Geenafstand"/>
        <w:suppressAutoHyphens/>
        <w:spacing w:line="276" w:lineRule="auto"/>
        <w:rPr>
          <w:rFonts w:eastAsia="DejaVuSerifCondensed"/>
          <w:b/>
          <w:bCs/>
          <w:lang w:val="nl-NL"/>
        </w:rPr>
      </w:pPr>
    </w:p>
    <w:p w:rsidRPr="00864648" w:rsidR="00083A0A" w:rsidP="00083A0A" w:rsidRDefault="00083A0A" w14:paraId="7878BCDD" w14:textId="77777777">
      <w:pPr>
        <w:pStyle w:val="Geenafstand"/>
        <w:suppressAutoHyphens/>
        <w:spacing w:line="276" w:lineRule="auto"/>
        <w:rPr>
          <w:rFonts w:eastAsia="DejaVuSerifCondensed"/>
          <w:lang w:val="nl-NL"/>
        </w:rPr>
      </w:pPr>
      <w:r w:rsidRPr="00864648">
        <w:rPr>
          <w:rFonts w:eastAsia="DejaVuSerifCondensed"/>
          <w:lang w:val="nl-NL"/>
        </w:rPr>
        <w:t xml:space="preserve">Antwoord: </w:t>
      </w:r>
    </w:p>
    <w:p w:rsidR="00083A0A" w:rsidP="00083A0A" w:rsidRDefault="00083A0A" w14:paraId="4AF271FB" w14:textId="77777777">
      <w:pPr>
        <w:pStyle w:val="Geenafstand"/>
        <w:suppressAutoHyphens/>
        <w:spacing w:line="276" w:lineRule="auto"/>
        <w:rPr>
          <w:rFonts w:eastAsia="DejaVuSerifCondensed"/>
          <w:lang w:val="nl-NL"/>
        </w:rPr>
      </w:pPr>
      <w:r>
        <w:rPr>
          <w:rFonts w:eastAsia="DejaVuSerifCondensed"/>
          <w:lang w:val="nl-NL"/>
        </w:rPr>
        <w:t>Volgens het rapport van d</w:t>
      </w:r>
      <w:r w:rsidRPr="00306FDC">
        <w:rPr>
          <w:rFonts w:eastAsia="DejaVuSerifCondensed"/>
          <w:lang w:val="nl-NL"/>
        </w:rPr>
        <w:t xml:space="preserve">e Algemene Rekenkamer </w:t>
      </w:r>
      <w:r>
        <w:rPr>
          <w:rFonts w:eastAsia="DejaVuSerifCondensed"/>
          <w:lang w:val="nl-NL"/>
        </w:rPr>
        <w:t>uit</w:t>
      </w:r>
      <w:r w:rsidRPr="00306FDC">
        <w:rPr>
          <w:rFonts w:eastAsia="DejaVuSerifCondensed"/>
          <w:lang w:val="nl-NL"/>
        </w:rPr>
        <w:t xml:space="preserve"> 2022 </w:t>
      </w:r>
      <w:r>
        <w:rPr>
          <w:rFonts w:eastAsia="DejaVuSerifCondensed"/>
          <w:lang w:val="nl-NL"/>
        </w:rPr>
        <w:t xml:space="preserve">zorgt </w:t>
      </w:r>
      <w:r w:rsidRPr="00306FDC">
        <w:rPr>
          <w:rFonts w:eastAsia="DejaVuSerifCondensed"/>
          <w:lang w:val="nl-NL"/>
        </w:rPr>
        <w:t xml:space="preserve">het Stagefonds </w:t>
      </w:r>
      <w:r>
        <w:rPr>
          <w:rFonts w:eastAsia="DejaVuSerifCondensed"/>
          <w:lang w:val="nl-NL"/>
        </w:rPr>
        <w:t xml:space="preserve">niet </w:t>
      </w:r>
      <w:r w:rsidRPr="00306FDC">
        <w:rPr>
          <w:rFonts w:eastAsia="DejaVuSerifCondensed"/>
          <w:lang w:val="nl-NL"/>
        </w:rPr>
        <w:t xml:space="preserve">voor meer stages. Het tekort aan stageplekken in de zorgsector kan niet opgelost worden met </w:t>
      </w:r>
      <w:r>
        <w:rPr>
          <w:rFonts w:eastAsia="DejaVuSerifCondensed"/>
          <w:lang w:val="nl-NL"/>
        </w:rPr>
        <w:t xml:space="preserve">subsidie en dus </w:t>
      </w:r>
      <w:r w:rsidRPr="00306FDC">
        <w:rPr>
          <w:rFonts w:eastAsia="DejaVuSerifCondensed"/>
          <w:lang w:val="nl-NL"/>
        </w:rPr>
        <w:t>een financiële aanpak zoals het Stagefonds</w:t>
      </w:r>
      <w:r>
        <w:rPr>
          <w:rFonts w:eastAsia="DejaVuSerifCondensed"/>
          <w:lang w:val="nl-NL"/>
        </w:rPr>
        <w:t>. D</w:t>
      </w:r>
      <w:r w:rsidRPr="00306FDC">
        <w:rPr>
          <w:rFonts w:eastAsia="DejaVuSerifCondensed"/>
          <w:lang w:val="nl-NL"/>
        </w:rPr>
        <w:t>aarmee is het Stagefonds ondoelmatig. Door de Algemene Rekenkamer is onderzocht of het stopzetten van de subsidie gevolgen heeft voor het stageaanbod</w:t>
      </w:r>
      <w:r>
        <w:rPr>
          <w:rFonts w:eastAsia="DejaVuSerifCondensed"/>
          <w:lang w:val="nl-NL"/>
        </w:rPr>
        <w:t>. D</w:t>
      </w:r>
      <w:r w:rsidRPr="00306FDC">
        <w:rPr>
          <w:rFonts w:eastAsia="DejaVuSerifCondensed"/>
          <w:lang w:val="nl-NL"/>
        </w:rPr>
        <w:t>e conclusie is dat dit onwaarschijnlijk is.</w:t>
      </w:r>
    </w:p>
    <w:p w:rsidR="00083A0A" w:rsidP="00083A0A" w:rsidRDefault="00083A0A" w14:paraId="520B8239" w14:textId="77777777">
      <w:pPr>
        <w:pStyle w:val="Geenafstand"/>
        <w:suppressAutoHyphens/>
        <w:spacing w:line="276" w:lineRule="auto"/>
        <w:rPr>
          <w:rFonts w:eastAsia="DejaVuSerifCondensed"/>
          <w:lang w:val="nl-NL"/>
        </w:rPr>
      </w:pPr>
    </w:p>
    <w:p w:rsidRPr="00864648" w:rsidR="00083A0A" w:rsidP="00083A0A" w:rsidRDefault="00083A0A" w14:paraId="1E8FAEF5"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 xml:space="preserve">6 </w:t>
      </w:r>
    </w:p>
    <w:p w:rsidRPr="00864648" w:rsidR="00083A0A" w:rsidP="00083A0A" w:rsidRDefault="00083A0A" w14:paraId="0937B636" w14:textId="77777777">
      <w:pPr>
        <w:pStyle w:val="Geenafstand"/>
        <w:suppressAutoHyphens/>
        <w:spacing w:line="276" w:lineRule="auto"/>
        <w:rPr>
          <w:rFonts w:eastAsia="DejaVuSerifCondensed"/>
          <w:lang w:val="nl-NL"/>
        </w:rPr>
      </w:pPr>
      <w:r w:rsidRPr="00864648">
        <w:rPr>
          <w:rFonts w:eastAsia="DejaVuSerifCondensed"/>
          <w:lang w:val="nl-NL"/>
        </w:rPr>
        <w:t>Voor welk bedrag is in 2023 beroep gedaan op het Stagefonds Zorg? Hoeveel subsidie is aangevraagd en hoeveel daarvan is uitgekeerd?</w:t>
      </w:r>
    </w:p>
    <w:p w:rsidR="00083A0A" w:rsidP="00083A0A" w:rsidRDefault="00083A0A" w14:paraId="3955FADA" w14:textId="77777777">
      <w:pPr>
        <w:pStyle w:val="Geenafstand"/>
        <w:suppressAutoHyphens/>
        <w:spacing w:line="276" w:lineRule="auto"/>
        <w:rPr>
          <w:rFonts w:eastAsia="DejaVuSerifCondensed"/>
          <w:lang w:val="nl-NL"/>
        </w:rPr>
      </w:pPr>
    </w:p>
    <w:p w:rsidRPr="00864648" w:rsidR="00083A0A" w:rsidP="00083A0A" w:rsidRDefault="00083A0A" w14:paraId="328550BE" w14:textId="77777777">
      <w:pPr>
        <w:pStyle w:val="Geenafstand"/>
        <w:suppressAutoHyphens/>
        <w:spacing w:line="276" w:lineRule="auto"/>
        <w:rPr>
          <w:rFonts w:eastAsia="DejaVuSerifCondensed"/>
          <w:lang w:val="nl-NL"/>
        </w:rPr>
      </w:pPr>
      <w:r w:rsidRPr="00864648">
        <w:rPr>
          <w:rFonts w:eastAsia="DejaVuSerifCondensed"/>
          <w:lang w:val="nl-NL"/>
        </w:rPr>
        <w:t>Antwoord:</w:t>
      </w:r>
    </w:p>
    <w:p w:rsidR="00083A0A" w:rsidP="00083A0A" w:rsidRDefault="00083A0A" w14:paraId="3F7750CE" w14:textId="77777777">
      <w:pPr>
        <w:spacing w:line="276" w:lineRule="auto"/>
        <w:rPr>
          <w:rFonts w:eastAsiaTheme="majorEastAsia" w:cstheme="majorBidi"/>
          <w:szCs w:val="18"/>
        </w:rPr>
      </w:pPr>
      <w:r w:rsidRPr="00BD0797">
        <w:rPr>
          <w:rFonts w:eastAsiaTheme="majorEastAsia" w:cstheme="majorBidi"/>
          <w:szCs w:val="18"/>
        </w:rPr>
        <w:t>Het subsidieplafond voor het studiejaar 2022-2023 was € 122 miljoen. Dit bedrag is volledig aangevraagd en uitgekeerd.</w:t>
      </w:r>
    </w:p>
    <w:p w:rsidRPr="00107AFF" w:rsidR="00083A0A" w:rsidP="00083A0A" w:rsidRDefault="00083A0A" w14:paraId="5F63C91F" w14:textId="77777777">
      <w:pPr>
        <w:spacing w:line="276" w:lineRule="auto"/>
        <w:rPr>
          <w:rFonts w:eastAsiaTheme="majorEastAsia" w:cstheme="majorBidi"/>
          <w:szCs w:val="18"/>
        </w:rPr>
      </w:pPr>
    </w:p>
    <w:p w:rsidRPr="00864648" w:rsidR="00083A0A" w:rsidP="00083A0A" w:rsidRDefault="00083A0A" w14:paraId="1227A5BF"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Vraag</w:t>
      </w:r>
      <w:r w:rsidRPr="00864648">
        <w:rPr>
          <w:rFonts w:eastAsia="DejaVuSerifCondensed"/>
          <w:szCs w:val="18"/>
          <w:lang w:val="nl-NL"/>
        </w:rPr>
        <w:tab/>
        <w:t xml:space="preserve">7 </w:t>
      </w:r>
    </w:p>
    <w:p w:rsidR="00083A0A" w:rsidP="00083A0A" w:rsidRDefault="00083A0A" w14:paraId="160E510D" w14:textId="77777777">
      <w:pPr>
        <w:pStyle w:val="Geenafstand"/>
        <w:suppressAutoHyphens/>
        <w:spacing w:line="276" w:lineRule="auto"/>
        <w:rPr>
          <w:rFonts w:eastAsia="DejaVuSerifCondensed"/>
          <w:szCs w:val="18"/>
          <w:lang w:val="nl-NL"/>
        </w:rPr>
      </w:pPr>
      <w:r w:rsidRPr="00864648">
        <w:rPr>
          <w:rFonts w:eastAsia="DejaVuSerifCondensed"/>
          <w:szCs w:val="18"/>
          <w:lang w:val="nl-NL"/>
        </w:rPr>
        <w:t>Welke gevolgen heeft het bezuinigen op het stagefonds voor de instellingen die stageplaatsen willen verlenen? Wat is de impact daarvan op de opleidingen, die van voldoende stageplaatsen afhankelijk zijn?</w:t>
      </w:r>
    </w:p>
    <w:p w:rsidRPr="00864648" w:rsidR="00083A0A" w:rsidP="00083A0A" w:rsidRDefault="00083A0A" w14:paraId="3E483032" w14:textId="77777777">
      <w:pPr>
        <w:pStyle w:val="Geenafstand"/>
        <w:suppressAutoHyphens/>
        <w:spacing w:line="276" w:lineRule="auto"/>
        <w:rPr>
          <w:rFonts w:eastAsia="DejaVuSerifCondensed"/>
          <w:szCs w:val="18"/>
          <w:lang w:val="nl-NL"/>
        </w:rPr>
      </w:pPr>
    </w:p>
    <w:p w:rsidRPr="00864648" w:rsidR="00083A0A" w:rsidP="00083A0A" w:rsidRDefault="00083A0A" w14:paraId="726DCB26" w14:textId="77777777">
      <w:pPr>
        <w:pStyle w:val="Geenafstand"/>
        <w:suppressAutoHyphens/>
        <w:spacing w:line="276" w:lineRule="auto"/>
        <w:rPr>
          <w:rFonts w:eastAsia="DejaVuSerifCondensed"/>
          <w:lang w:val="nl-NL"/>
        </w:rPr>
      </w:pPr>
      <w:r w:rsidRPr="00864648">
        <w:rPr>
          <w:rFonts w:eastAsia="DejaVuSerifCondensed"/>
          <w:lang w:val="nl-NL"/>
        </w:rPr>
        <w:t xml:space="preserve">Antwoord:  </w:t>
      </w:r>
    </w:p>
    <w:p w:rsidRPr="00BD0797" w:rsidR="00083A0A" w:rsidP="00083A0A" w:rsidRDefault="00083A0A" w14:paraId="79175A9A" w14:textId="77777777">
      <w:pPr>
        <w:spacing w:line="276" w:lineRule="auto"/>
        <w:rPr>
          <w:rFonts w:eastAsiaTheme="majorEastAsia" w:cstheme="majorBidi"/>
          <w:szCs w:val="18"/>
        </w:rPr>
      </w:pPr>
      <w:r>
        <w:rPr>
          <w:rFonts w:eastAsiaTheme="majorEastAsia" w:cstheme="majorBidi"/>
          <w:szCs w:val="18"/>
        </w:rPr>
        <w:lastRenderedPageBreak/>
        <w:t>Volgens het rapport van d</w:t>
      </w:r>
      <w:r w:rsidRPr="00BD0797">
        <w:rPr>
          <w:rFonts w:eastAsiaTheme="majorEastAsia" w:cstheme="majorBidi"/>
          <w:szCs w:val="18"/>
        </w:rPr>
        <w:t xml:space="preserve">e Algemene Rekenkamer </w:t>
      </w:r>
      <w:r>
        <w:rPr>
          <w:rFonts w:eastAsiaTheme="majorEastAsia" w:cstheme="majorBidi"/>
          <w:szCs w:val="18"/>
        </w:rPr>
        <w:t xml:space="preserve">uit </w:t>
      </w:r>
      <w:r w:rsidRPr="00BD0797">
        <w:rPr>
          <w:rFonts w:eastAsiaTheme="majorEastAsia" w:cstheme="majorBidi"/>
          <w:szCs w:val="18"/>
        </w:rPr>
        <w:t xml:space="preserve">2022 </w:t>
      </w:r>
      <w:r>
        <w:rPr>
          <w:rFonts w:eastAsiaTheme="majorEastAsia" w:cstheme="majorBidi"/>
          <w:szCs w:val="18"/>
        </w:rPr>
        <w:t xml:space="preserve">zorgt </w:t>
      </w:r>
      <w:r w:rsidRPr="00BD0797">
        <w:rPr>
          <w:rFonts w:eastAsiaTheme="majorEastAsia" w:cstheme="majorBidi"/>
          <w:szCs w:val="18"/>
        </w:rPr>
        <w:t xml:space="preserve">het stagefonds </w:t>
      </w:r>
      <w:r>
        <w:rPr>
          <w:rFonts w:eastAsiaTheme="majorEastAsia" w:cstheme="majorBidi"/>
          <w:szCs w:val="18"/>
        </w:rPr>
        <w:t xml:space="preserve">niet </w:t>
      </w:r>
      <w:r w:rsidRPr="00BD0797">
        <w:rPr>
          <w:rFonts w:eastAsiaTheme="majorEastAsia" w:cstheme="majorBidi"/>
          <w:szCs w:val="18"/>
        </w:rPr>
        <w:t xml:space="preserve">voor meer stages. </w:t>
      </w:r>
      <w:r>
        <w:rPr>
          <w:rFonts w:eastAsiaTheme="majorEastAsia" w:cstheme="majorBidi"/>
          <w:szCs w:val="18"/>
        </w:rPr>
        <w:t>D</w:t>
      </w:r>
      <w:r w:rsidRPr="00BD0797">
        <w:rPr>
          <w:rFonts w:eastAsiaTheme="majorEastAsia" w:cstheme="majorBidi"/>
          <w:szCs w:val="18"/>
        </w:rPr>
        <w:t xml:space="preserve">e Algemene Rekenkamer </w:t>
      </w:r>
      <w:r>
        <w:rPr>
          <w:rFonts w:eastAsiaTheme="majorEastAsia" w:cstheme="majorBidi"/>
          <w:szCs w:val="18"/>
        </w:rPr>
        <w:t xml:space="preserve">heeft </w:t>
      </w:r>
      <w:r w:rsidRPr="00BD0797">
        <w:rPr>
          <w:rFonts w:eastAsiaTheme="majorEastAsia" w:cstheme="majorBidi"/>
          <w:szCs w:val="18"/>
        </w:rPr>
        <w:t>onderzocht of het stopzetten van de subsidie gevolgen heeft voor het stageaanbod</w:t>
      </w:r>
      <w:r>
        <w:rPr>
          <w:rFonts w:eastAsiaTheme="majorEastAsia" w:cstheme="majorBidi"/>
          <w:szCs w:val="18"/>
        </w:rPr>
        <w:t xml:space="preserve">. De </w:t>
      </w:r>
      <w:r w:rsidRPr="00BD0797">
        <w:rPr>
          <w:rFonts w:eastAsiaTheme="majorEastAsia" w:cstheme="majorBidi"/>
          <w:szCs w:val="18"/>
        </w:rPr>
        <w:t xml:space="preserve">conclusie is dat dit onwaarschijnlijk is. Zorgaanbieders bieden stages aan om toekomstig personeel te werven en aan hen te binden. Dit is daarmee in hun eigen belang. Het stagefonds was daarbij slechts een financiële tegemoetkoming. </w:t>
      </w:r>
    </w:p>
    <w:p w:rsidR="00083A0A" w:rsidP="00083A0A" w:rsidRDefault="00083A0A" w14:paraId="0FFBB212" w14:textId="77777777">
      <w:pPr>
        <w:spacing w:line="276" w:lineRule="auto"/>
        <w:rPr>
          <w:rFonts w:eastAsiaTheme="majorEastAsia" w:cstheme="majorBidi"/>
          <w:szCs w:val="18"/>
        </w:rPr>
      </w:pPr>
    </w:p>
    <w:p w:rsidRPr="00BD0797" w:rsidR="00083A0A" w:rsidP="00083A0A" w:rsidRDefault="00083A0A" w14:paraId="45EB1436" w14:textId="77777777">
      <w:pPr>
        <w:spacing w:line="276" w:lineRule="auto"/>
        <w:rPr>
          <w:rFonts w:eastAsiaTheme="majorEastAsia" w:cstheme="majorBidi"/>
          <w:szCs w:val="18"/>
        </w:rPr>
      </w:pPr>
      <w:r w:rsidRPr="00BD0797">
        <w:rPr>
          <w:rFonts w:eastAsiaTheme="majorEastAsia" w:cstheme="majorBidi"/>
          <w:szCs w:val="18"/>
        </w:rPr>
        <w:t>Tegelijkertijd ben ik</w:t>
      </w:r>
      <w:r>
        <w:rPr>
          <w:rFonts w:eastAsiaTheme="majorEastAsia" w:cstheme="majorBidi"/>
          <w:szCs w:val="18"/>
        </w:rPr>
        <w:t>, de minister van VWS,</w:t>
      </w:r>
      <w:r w:rsidRPr="00BD0797">
        <w:rPr>
          <w:rFonts w:eastAsiaTheme="majorEastAsia" w:cstheme="majorBidi"/>
          <w:szCs w:val="18"/>
        </w:rPr>
        <w:t xml:space="preserve"> met u van mening dat opleiden van zorgpersoneel blijvend onze aandacht verdient. Het is belangrijk om voldoende en goed toegerust zorgpersoneel op te leiden en te komen tot een goede verdeling tussen opleidingen binnen en buiten het ziekenhuis.</w:t>
      </w:r>
    </w:p>
    <w:p w:rsidRPr="00BD0797" w:rsidR="00083A0A" w:rsidP="00083A0A" w:rsidRDefault="00083A0A" w14:paraId="667333E1" w14:textId="77777777">
      <w:pPr>
        <w:spacing w:line="276" w:lineRule="auto"/>
        <w:rPr>
          <w:rFonts w:eastAsiaTheme="majorEastAsia" w:cstheme="majorBidi"/>
          <w:szCs w:val="18"/>
        </w:rPr>
      </w:pPr>
      <w:r>
        <w:rPr>
          <w:rFonts w:eastAsiaTheme="majorEastAsia" w:cstheme="majorBidi"/>
          <w:szCs w:val="18"/>
        </w:rPr>
        <w:t>N</w:t>
      </w:r>
      <w:r w:rsidRPr="00BD0797">
        <w:rPr>
          <w:rFonts w:eastAsiaTheme="majorEastAsia" w:cstheme="majorBidi"/>
          <w:szCs w:val="18"/>
        </w:rPr>
        <w:t xml:space="preserve">a het stopzetten van het Stagefonds </w:t>
      </w:r>
      <w:r>
        <w:rPr>
          <w:rFonts w:eastAsiaTheme="majorEastAsia" w:cstheme="majorBidi"/>
          <w:szCs w:val="18"/>
        </w:rPr>
        <w:t xml:space="preserve">blijft er </w:t>
      </w:r>
      <w:r w:rsidRPr="00BD0797">
        <w:rPr>
          <w:rFonts w:eastAsiaTheme="majorEastAsia" w:cstheme="majorBidi"/>
          <w:szCs w:val="18"/>
        </w:rPr>
        <w:t xml:space="preserve">vanaf 2028 € 40 miljoen beschikbaar </w:t>
      </w:r>
      <w:r>
        <w:rPr>
          <w:rFonts w:eastAsiaTheme="majorEastAsia" w:cstheme="majorBidi"/>
          <w:szCs w:val="18"/>
        </w:rPr>
        <w:t xml:space="preserve">om </w:t>
      </w:r>
      <w:r w:rsidRPr="00BD0797">
        <w:rPr>
          <w:rFonts w:eastAsiaTheme="majorEastAsia" w:cstheme="majorBidi"/>
          <w:szCs w:val="18"/>
        </w:rPr>
        <w:t>vakmanschap</w:t>
      </w:r>
      <w:r>
        <w:rPr>
          <w:rFonts w:eastAsiaTheme="majorEastAsia" w:cstheme="majorBidi"/>
          <w:szCs w:val="18"/>
        </w:rPr>
        <w:t xml:space="preserve"> te bevorderen en afspraken in de akkoorden te maken om het Regeerprogramma uit te voeren</w:t>
      </w:r>
      <w:r w:rsidRPr="00BD0797">
        <w:rPr>
          <w:rFonts w:eastAsiaTheme="majorEastAsia" w:cstheme="majorBidi"/>
          <w:szCs w:val="18"/>
        </w:rPr>
        <w:t xml:space="preserve">. </w:t>
      </w:r>
      <w:r>
        <w:rPr>
          <w:rFonts w:eastAsiaTheme="majorEastAsia" w:cstheme="majorBidi"/>
          <w:szCs w:val="18"/>
        </w:rPr>
        <w:t xml:space="preserve">Bijvoorbeeld </w:t>
      </w:r>
      <w:r w:rsidRPr="00BD0797">
        <w:rPr>
          <w:rFonts w:eastAsiaTheme="majorEastAsia" w:cstheme="majorBidi"/>
          <w:szCs w:val="18"/>
        </w:rPr>
        <w:t>over voldoende instroom en doorstroom via opleiden en bij- en nascholing buiten het ziekenhuis</w:t>
      </w:r>
      <w:r>
        <w:rPr>
          <w:rFonts w:eastAsiaTheme="majorEastAsia" w:cstheme="majorBidi"/>
          <w:szCs w:val="18"/>
        </w:rPr>
        <w:t>.</w:t>
      </w:r>
      <w:r w:rsidRPr="00BD0797">
        <w:rPr>
          <w:rFonts w:eastAsiaTheme="majorEastAsia" w:cstheme="majorBidi"/>
          <w:szCs w:val="18"/>
        </w:rPr>
        <w:t xml:space="preserve"> Voor het einde van het jaar werk ik de leidraad vakmanschap en werkplezier uit. Deze genoemde middelen wil ik inzetten om afspraken te maken over voldoende instroom en doorstroom via opleiden en bij- en nascholing buiten het ziekenhuis.</w:t>
      </w:r>
    </w:p>
    <w:p w:rsidRPr="00BD0797" w:rsidR="00083A0A" w:rsidP="00083A0A" w:rsidRDefault="00083A0A" w14:paraId="6C9A3DE4" w14:textId="77777777">
      <w:pPr>
        <w:rPr>
          <w:rFonts w:eastAsiaTheme="majorEastAsia" w:cstheme="majorBidi"/>
          <w:szCs w:val="18"/>
        </w:rPr>
      </w:pPr>
      <w:r w:rsidRPr="00BD0797">
        <w:rPr>
          <w:rFonts w:eastAsiaTheme="majorEastAsia" w:cstheme="majorBidi"/>
          <w:szCs w:val="18"/>
        </w:rPr>
        <w:t xml:space="preserve">Daarnaast blijf ik me inzetten voor voldoende en goed toegeruste zorgmedewerkers binnen het ziekenhuis en in de wijk. Zo heb ik op 11 oktober 2024 de Kamer geïnformeerd over mijn voornemen tot het publiceren van de subsidieregeling Strategisch Opleiden MSZ voor de subsidiejaren 2025 en 2026. Deze subsidieregeling stimuleert ziekenhuizen, </w:t>
      </w:r>
      <w:proofErr w:type="spellStart"/>
      <w:r w:rsidRPr="00BD0797">
        <w:rPr>
          <w:rFonts w:eastAsiaTheme="majorEastAsia" w:cstheme="majorBidi"/>
          <w:szCs w:val="18"/>
        </w:rPr>
        <w:t>umc’s</w:t>
      </w:r>
      <w:proofErr w:type="spellEnd"/>
      <w:r w:rsidRPr="00BD0797">
        <w:rPr>
          <w:rFonts w:eastAsiaTheme="majorEastAsia" w:cstheme="majorBidi"/>
          <w:szCs w:val="18"/>
        </w:rPr>
        <w:t xml:space="preserve"> en zelfstandig </w:t>
      </w:r>
      <w:proofErr w:type="spellStart"/>
      <w:r w:rsidRPr="00BD0797">
        <w:rPr>
          <w:rFonts w:eastAsiaTheme="majorEastAsia" w:cstheme="majorBidi"/>
          <w:szCs w:val="18"/>
        </w:rPr>
        <w:t>msz</w:t>
      </w:r>
      <w:proofErr w:type="spellEnd"/>
      <w:r w:rsidRPr="00BD0797">
        <w:rPr>
          <w:rFonts w:eastAsiaTheme="majorEastAsia" w:cstheme="majorBidi"/>
          <w:szCs w:val="18"/>
        </w:rPr>
        <w:t xml:space="preserve">-klinieken strategisch op te leiden door bij- en nascholing. </w:t>
      </w:r>
    </w:p>
    <w:p w:rsidR="00083A0A" w:rsidP="00083A0A" w:rsidRDefault="00083A0A" w14:paraId="74453708" w14:textId="77777777">
      <w:pPr>
        <w:rPr>
          <w:rFonts w:eastAsiaTheme="majorEastAsia" w:cstheme="majorBidi"/>
          <w:szCs w:val="18"/>
        </w:rPr>
      </w:pPr>
      <w:r w:rsidRPr="00BD0797">
        <w:rPr>
          <w:rFonts w:eastAsiaTheme="majorEastAsia" w:cstheme="majorBidi"/>
          <w:szCs w:val="18"/>
        </w:rPr>
        <w:t xml:space="preserve">Daarnaast stel ik per 2025 middelen beschikbaar om werkgevers te compenseren voor het opleiden van zij-instromers in de </w:t>
      </w:r>
      <w:proofErr w:type="spellStart"/>
      <w:r w:rsidRPr="00BD0797">
        <w:rPr>
          <w:rFonts w:eastAsiaTheme="majorEastAsia" w:cstheme="majorBidi"/>
          <w:szCs w:val="18"/>
        </w:rPr>
        <w:t>wĳkverpleging</w:t>
      </w:r>
      <w:proofErr w:type="spellEnd"/>
      <w:r w:rsidRPr="00BD0797">
        <w:rPr>
          <w:rFonts w:eastAsiaTheme="majorEastAsia" w:cstheme="majorBidi"/>
          <w:szCs w:val="18"/>
        </w:rPr>
        <w:t xml:space="preserve"> via de regeling Werkgeverskosten opleiden wijkverpleging. Naast strategisch opleiden en bij- en nascholing blijf ik investeren in het bekostigen van een groot aantal (medische) vervolgopleidingen via de beschikbaarheidsbijdrage.</w:t>
      </w:r>
    </w:p>
    <w:p w:rsidR="00083A0A" w:rsidP="00083A0A" w:rsidRDefault="00083A0A" w14:paraId="1E5D1AA1" w14:textId="77777777">
      <w:pPr>
        <w:spacing w:line="276" w:lineRule="auto"/>
        <w:rPr>
          <w:rFonts w:eastAsiaTheme="majorEastAsia" w:cstheme="majorBidi"/>
          <w:szCs w:val="18"/>
        </w:rPr>
      </w:pPr>
    </w:p>
    <w:p w:rsidRPr="00864648" w:rsidR="00083A0A" w:rsidP="00083A0A" w:rsidRDefault="00083A0A" w14:paraId="74D35B8A"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 xml:space="preserve">8 </w:t>
      </w:r>
    </w:p>
    <w:p w:rsidR="00083A0A" w:rsidP="00083A0A" w:rsidRDefault="00083A0A" w14:paraId="6B6BC127" w14:textId="77777777">
      <w:pPr>
        <w:pStyle w:val="Geenafstand"/>
        <w:suppressAutoHyphens/>
        <w:spacing w:line="276" w:lineRule="auto"/>
        <w:rPr>
          <w:rFonts w:eastAsia="DejaVuSerifCondensed"/>
          <w:lang w:val="nl-NL"/>
        </w:rPr>
      </w:pPr>
      <w:r w:rsidRPr="00864648">
        <w:rPr>
          <w:rFonts w:eastAsia="DejaVuSerifCondensed"/>
          <w:lang w:val="nl-NL"/>
        </w:rPr>
        <w:t>Wat zijn de verwachte gevolgen van het niet verlengen van het Stagefonds Zorg voor het aanbod van stageplekken in Caribisch Nederland en de personele capaciteit in de zorg in Caribisch Nederland?</w:t>
      </w:r>
    </w:p>
    <w:p w:rsidRPr="00864648" w:rsidR="00083A0A" w:rsidP="00083A0A" w:rsidRDefault="00083A0A" w14:paraId="1FDDF778" w14:textId="77777777">
      <w:pPr>
        <w:pStyle w:val="Geenafstand"/>
        <w:suppressAutoHyphens/>
        <w:spacing w:line="276" w:lineRule="auto"/>
        <w:rPr>
          <w:rFonts w:eastAsia="DejaVuSerifCondensed"/>
          <w:lang w:val="nl-NL"/>
        </w:rPr>
      </w:pPr>
    </w:p>
    <w:p w:rsidRPr="00864648" w:rsidR="00083A0A" w:rsidP="00083A0A" w:rsidRDefault="00083A0A" w14:paraId="216B8BA4" w14:textId="77777777">
      <w:pPr>
        <w:pStyle w:val="Geenafstand"/>
        <w:suppressAutoHyphens/>
        <w:spacing w:line="276" w:lineRule="auto"/>
        <w:rPr>
          <w:rFonts w:eastAsia="DejaVuSerifCondensed"/>
          <w:lang w:val="nl-NL"/>
        </w:rPr>
      </w:pPr>
      <w:r w:rsidRPr="00864648">
        <w:rPr>
          <w:rFonts w:eastAsia="DejaVuSerifCondensed"/>
          <w:lang w:val="nl-NL"/>
        </w:rPr>
        <w:t xml:space="preserve">Antwoord: </w:t>
      </w:r>
    </w:p>
    <w:p w:rsidRPr="00BD0797" w:rsidR="00083A0A" w:rsidP="00083A0A" w:rsidRDefault="00083A0A" w14:paraId="35D8CC46" w14:textId="77777777">
      <w:pPr>
        <w:pStyle w:val="Geenafstand"/>
        <w:suppressAutoHyphens/>
        <w:spacing w:line="276" w:lineRule="auto"/>
        <w:rPr>
          <w:rFonts w:eastAsia="DejaVuSerifCondensed"/>
          <w:lang w:val="nl-NL"/>
        </w:rPr>
      </w:pPr>
      <w:r w:rsidRPr="00BD0797">
        <w:rPr>
          <w:rFonts w:eastAsia="DejaVuSerifCondensed"/>
          <w:lang w:val="nl-NL"/>
        </w:rPr>
        <w:t>Het Stagefonds is recent niet gebruikt voor instellingen in Caribisch Nederland.</w:t>
      </w:r>
    </w:p>
    <w:p w:rsidR="00083A0A" w:rsidP="00083A0A" w:rsidRDefault="00083A0A" w14:paraId="59216E06" w14:textId="77777777">
      <w:pPr>
        <w:pStyle w:val="Geenafstand"/>
        <w:suppressAutoHyphens/>
        <w:spacing w:line="276" w:lineRule="auto"/>
        <w:rPr>
          <w:rFonts w:eastAsia="DejaVuSerifCondensed"/>
          <w:lang w:val="nl-NL"/>
        </w:rPr>
      </w:pPr>
    </w:p>
    <w:p w:rsidRPr="00864648" w:rsidR="00083A0A" w:rsidP="00083A0A" w:rsidRDefault="00083A0A" w14:paraId="7286B8CA"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 xml:space="preserve">9 </w:t>
      </w:r>
    </w:p>
    <w:p w:rsidRPr="00864648" w:rsidR="00083A0A" w:rsidP="00083A0A" w:rsidRDefault="00083A0A" w14:paraId="356C0AB4" w14:textId="77777777">
      <w:pPr>
        <w:pStyle w:val="Geenafstand"/>
        <w:suppressAutoHyphens/>
        <w:spacing w:line="276" w:lineRule="auto"/>
        <w:rPr>
          <w:rFonts w:eastAsia="DejaVuSerifCondensed"/>
          <w:lang w:val="nl-NL"/>
        </w:rPr>
      </w:pPr>
      <w:r w:rsidRPr="00864648">
        <w:rPr>
          <w:rFonts w:eastAsia="DejaVuSerifCondensed"/>
          <w:lang w:val="nl-NL"/>
        </w:rPr>
        <w:lastRenderedPageBreak/>
        <w:t>Hoeveel transvrouwen hebben sinds 2019 gebruik gemaakt van de subsidieregeling borstprothesen? Kunt u hiervan een overzicht per jaar leveren? Kunt u toelichten waarom ervoor gekozen is om de subsidieregeling niet te verlengen na 2028?</w:t>
      </w:r>
    </w:p>
    <w:p w:rsidRPr="00864648" w:rsidR="00083A0A" w:rsidP="00083A0A" w:rsidRDefault="00083A0A" w14:paraId="0CE375D5" w14:textId="77777777">
      <w:pPr>
        <w:pStyle w:val="Geenafstand"/>
        <w:suppressAutoHyphens/>
        <w:spacing w:line="276" w:lineRule="auto"/>
        <w:rPr>
          <w:rFonts w:eastAsia="DejaVuSerifCondensed"/>
          <w:lang w:val="nl-NL"/>
        </w:rPr>
      </w:pPr>
    </w:p>
    <w:p w:rsidRPr="00864648" w:rsidR="00083A0A" w:rsidP="00083A0A" w:rsidRDefault="00083A0A" w14:paraId="0D2C2913" w14:textId="77777777">
      <w:pPr>
        <w:pStyle w:val="Geenafstand"/>
        <w:suppressAutoHyphens/>
        <w:spacing w:line="276" w:lineRule="auto"/>
        <w:rPr>
          <w:rFonts w:eastAsia="DejaVuSerifCondensed"/>
          <w:lang w:val="nl-NL"/>
        </w:rPr>
      </w:pPr>
      <w:r w:rsidRPr="00864648">
        <w:rPr>
          <w:rFonts w:eastAsia="DejaVuSerifCondensed"/>
          <w:lang w:val="nl-NL"/>
        </w:rPr>
        <w:t>Antwoord</w:t>
      </w:r>
      <w:r>
        <w:rPr>
          <w:rFonts w:eastAsia="DejaVuSerifCondensed"/>
          <w:lang w:val="nl-NL"/>
        </w:rPr>
        <w:t xml:space="preserve">: </w:t>
      </w:r>
    </w:p>
    <w:p w:rsidR="00083A0A" w:rsidP="00083A0A" w:rsidRDefault="00083A0A" w14:paraId="02C367A2" w14:textId="4D9BF605">
      <w:pPr>
        <w:spacing w:line="276" w:lineRule="auto"/>
        <w:rPr>
          <w:rFonts w:eastAsiaTheme="majorEastAsia" w:cstheme="majorBidi"/>
          <w:szCs w:val="18"/>
        </w:rPr>
      </w:pPr>
      <w:r w:rsidRPr="003E7BD2">
        <w:rPr>
          <w:rFonts w:eastAsiaTheme="majorEastAsia" w:cstheme="majorBidi"/>
          <w:szCs w:val="18"/>
        </w:rPr>
        <w:t>Sinds 2019 hebben 623 transgender vrouwen gebruik gemaakt van de subsidieregeling. Een overzicht per jaar is te zien in de onderstaande tabel</w:t>
      </w:r>
      <w:r>
        <w:rPr>
          <w:rFonts w:eastAsiaTheme="majorEastAsia" w:cstheme="majorBidi"/>
          <w:szCs w:val="18"/>
        </w:rPr>
        <w:t xml:space="preserve"> met </w:t>
      </w:r>
      <w:r w:rsidRPr="003E7BD2">
        <w:rPr>
          <w:rFonts w:eastAsiaTheme="majorEastAsia" w:cstheme="majorBidi"/>
          <w:szCs w:val="18"/>
        </w:rPr>
        <w:t>het aantal toekenningen benoemd. Er wordt minder gebruik gemaakt van de regeling dan van tevoren werd verwacht</w:t>
      </w:r>
      <w:r>
        <w:rPr>
          <w:rFonts w:eastAsiaTheme="majorEastAsia" w:cstheme="majorBidi"/>
          <w:szCs w:val="18"/>
        </w:rPr>
        <w:t>. H</w:t>
      </w:r>
      <w:r w:rsidRPr="003E7BD2">
        <w:rPr>
          <w:rFonts w:eastAsiaTheme="majorEastAsia" w:cstheme="majorBidi"/>
          <w:szCs w:val="18"/>
        </w:rPr>
        <w:t>et gebruik van de regeling, zowel de aanvragen als de toekenningen, neemt af. De beëindiging van de regeling is daarom een logische stap.</w:t>
      </w:r>
    </w:p>
    <w:p w:rsidR="00083A0A" w:rsidP="00083A0A" w:rsidRDefault="00083A0A" w14:paraId="1D6B74EA" w14:textId="77777777">
      <w:pPr>
        <w:spacing w:line="276" w:lineRule="auto"/>
        <w:rPr>
          <w:rFonts w:eastAsiaTheme="majorEastAsia" w:cstheme="majorBidi"/>
          <w:szCs w:val="18"/>
        </w:rPr>
      </w:pPr>
    </w:p>
    <w:p w:rsidRPr="003E7BD2" w:rsidR="00083A0A" w:rsidP="00083A0A" w:rsidRDefault="00083A0A" w14:paraId="3E7109CA" w14:textId="77777777">
      <w:pPr>
        <w:spacing w:line="276" w:lineRule="auto"/>
        <w:rPr>
          <w:rFonts w:eastAsiaTheme="majorEastAsia" w:cstheme="majorBidi"/>
          <w:szCs w:val="18"/>
        </w:rPr>
      </w:pPr>
    </w:p>
    <w:tbl>
      <w:tblPr>
        <w:tblStyle w:val="Tabelraster"/>
        <w:tblW w:w="0" w:type="auto"/>
        <w:tblLook w:val="04A0" w:firstRow="1" w:lastRow="0" w:firstColumn="1" w:lastColumn="0" w:noHBand="0" w:noVBand="1"/>
      </w:tblPr>
      <w:tblGrid>
        <w:gridCol w:w="1889"/>
        <w:gridCol w:w="772"/>
        <w:gridCol w:w="772"/>
        <w:gridCol w:w="772"/>
        <w:gridCol w:w="776"/>
        <w:gridCol w:w="773"/>
        <w:gridCol w:w="854"/>
        <w:gridCol w:w="921"/>
      </w:tblGrid>
      <w:tr w:rsidRPr="00783110" w:rsidR="00083A0A" w:rsidTr="004D6EAD" w14:paraId="11D57806" w14:textId="77777777">
        <w:tc>
          <w:tcPr>
            <w:tcW w:w="1481" w:type="dxa"/>
          </w:tcPr>
          <w:p w:rsidRPr="00783110" w:rsidR="00083A0A" w:rsidP="004D6EAD" w:rsidRDefault="00083A0A" w14:paraId="11914E3C" w14:textId="77777777">
            <w:pPr>
              <w:spacing w:after="160" w:line="279" w:lineRule="auto"/>
              <w:rPr>
                <w:rFonts w:eastAsiaTheme="majorEastAsia" w:cstheme="majorBidi"/>
                <w:b/>
                <w:bCs/>
                <w:szCs w:val="18"/>
              </w:rPr>
            </w:pPr>
            <w:r w:rsidRPr="00783110">
              <w:rPr>
                <w:rFonts w:eastAsiaTheme="majorEastAsia" w:cstheme="majorBidi"/>
                <w:b/>
                <w:bCs/>
                <w:szCs w:val="18"/>
              </w:rPr>
              <w:t>Jaar</w:t>
            </w:r>
          </w:p>
        </w:tc>
        <w:tc>
          <w:tcPr>
            <w:tcW w:w="1075" w:type="dxa"/>
          </w:tcPr>
          <w:p w:rsidRPr="00783110" w:rsidR="00083A0A" w:rsidP="004D6EAD" w:rsidRDefault="00083A0A" w14:paraId="0E73064D" w14:textId="77777777">
            <w:pPr>
              <w:spacing w:after="160" w:line="279" w:lineRule="auto"/>
              <w:rPr>
                <w:rFonts w:eastAsiaTheme="majorEastAsia" w:cstheme="majorBidi"/>
                <w:b/>
                <w:bCs/>
                <w:szCs w:val="18"/>
              </w:rPr>
            </w:pPr>
            <w:r w:rsidRPr="00783110">
              <w:rPr>
                <w:rFonts w:eastAsiaTheme="majorEastAsia" w:cstheme="majorBidi"/>
                <w:b/>
                <w:bCs/>
                <w:szCs w:val="18"/>
              </w:rPr>
              <w:t>2019</w:t>
            </w:r>
          </w:p>
        </w:tc>
        <w:tc>
          <w:tcPr>
            <w:tcW w:w="1076" w:type="dxa"/>
          </w:tcPr>
          <w:p w:rsidRPr="00783110" w:rsidR="00083A0A" w:rsidP="004D6EAD" w:rsidRDefault="00083A0A" w14:paraId="6DC57BC8" w14:textId="77777777">
            <w:pPr>
              <w:spacing w:after="160" w:line="279" w:lineRule="auto"/>
              <w:rPr>
                <w:rFonts w:eastAsiaTheme="majorEastAsia" w:cstheme="majorBidi"/>
                <w:b/>
                <w:bCs/>
                <w:szCs w:val="18"/>
              </w:rPr>
            </w:pPr>
            <w:r w:rsidRPr="00783110">
              <w:rPr>
                <w:rFonts w:eastAsiaTheme="majorEastAsia" w:cstheme="majorBidi"/>
                <w:b/>
                <w:bCs/>
                <w:szCs w:val="18"/>
              </w:rPr>
              <w:t>2020</w:t>
            </w:r>
          </w:p>
        </w:tc>
        <w:tc>
          <w:tcPr>
            <w:tcW w:w="1076" w:type="dxa"/>
          </w:tcPr>
          <w:p w:rsidRPr="00783110" w:rsidR="00083A0A" w:rsidP="004D6EAD" w:rsidRDefault="00083A0A" w14:paraId="4C2A9041" w14:textId="77777777">
            <w:pPr>
              <w:spacing w:after="160" w:line="279" w:lineRule="auto"/>
              <w:rPr>
                <w:rFonts w:eastAsiaTheme="majorEastAsia" w:cstheme="majorBidi"/>
                <w:b/>
                <w:bCs/>
                <w:szCs w:val="18"/>
              </w:rPr>
            </w:pPr>
            <w:r w:rsidRPr="00783110">
              <w:rPr>
                <w:rFonts w:eastAsiaTheme="majorEastAsia" w:cstheme="majorBidi"/>
                <w:b/>
                <w:bCs/>
                <w:szCs w:val="18"/>
              </w:rPr>
              <w:t>2021</w:t>
            </w:r>
          </w:p>
        </w:tc>
        <w:tc>
          <w:tcPr>
            <w:tcW w:w="1099" w:type="dxa"/>
          </w:tcPr>
          <w:p w:rsidRPr="00783110" w:rsidR="00083A0A" w:rsidP="004D6EAD" w:rsidRDefault="00083A0A" w14:paraId="17ECFD56" w14:textId="77777777">
            <w:pPr>
              <w:spacing w:after="160" w:line="279" w:lineRule="auto"/>
              <w:rPr>
                <w:rFonts w:eastAsiaTheme="majorEastAsia" w:cstheme="majorBidi"/>
                <w:b/>
                <w:bCs/>
                <w:szCs w:val="18"/>
              </w:rPr>
            </w:pPr>
            <w:r w:rsidRPr="00783110">
              <w:rPr>
                <w:rFonts w:eastAsiaTheme="majorEastAsia" w:cstheme="majorBidi"/>
                <w:b/>
                <w:bCs/>
                <w:szCs w:val="18"/>
              </w:rPr>
              <w:t>2022</w:t>
            </w:r>
          </w:p>
        </w:tc>
        <w:tc>
          <w:tcPr>
            <w:tcW w:w="1083" w:type="dxa"/>
          </w:tcPr>
          <w:p w:rsidRPr="00783110" w:rsidR="00083A0A" w:rsidP="004D6EAD" w:rsidRDefault="00083A0A" w14:paraId="79BF790C" w14:textId="77777777">
            <w:pPr>
              <w:spacing w:after="160" w:line="279" w:lineRule="auto"/>
              <w:rPr>
                <w:rFonts w:eastAsiaTheme="majorEastAsia" w:cstheme="majorBidi"/>
                <w:b/>
                <w:bCs/>
                <w:szCs w:val="18"/>
              </w:rPr>
            </w:pPr>
            <w:r w:rsidRPr="00783110">
              <w:rPr>
                <w:rFonts w:eastAsiaTheme="majorEastAsia" w:cstheme="majorBidi"/>
                <w:b/>
                <w:bCs/>
                <w:szCs w:val="18"/>
              </w:rPr>
              <w:t>2023</w:t>
            </w:r>
          </w:p>
        </w:tc>
        <w:tc>
          <w:tcPr>
            <w:tcW w:w="1008" w:type="dxa"/>
          </w:tcPr>
          <w:p w:rsidRPr="00783110" w:rsidR="00083A0A" w:rsidP="004D6EAD" w:rsidRDefault="00083A0A" w14:paraId="4193B307" w14:textId="77777777">
            <w:pPr>
              <w:spacing w:after="160" w:line="279" w:lineRule="auto"/>
              <w:rPr>
                <w:rFonts w:eastAsiaTheme="majorEastAsia" w:cstheme="majorBidi"/>
                <w:b/>
                <w:bCs/>
                <w:szCs w:val="18"/>
              </w:rPr>
            </w:pPr>
            <w:r w:rsidRPr="00783110">
              <w:rPr>
                <w:rFonts w:eastAsiaTheme="majorEastAsia" w:cstheme="majorBidi"/>
                <w:b/>
                <w:bCs/>
                <w:szCs w:val="18"/>
              </w:rPr>
              <w:t>2024*</w:t>
            </w:r>
          </w:p>
        </w:tc>
        <w:tc>
          <w:tcPr>
            <w:tcW w:w="1164" w:type="dxa"/>
          </w:tcPr>
          <w:p w:rsidRPr="00783110" w:rsidR="00083A0A" w:rsidP="004D6EAD" w:rsidRDefault="00083A0A" w14:paraId="5A47DC26" w14:textId="77777777">
            <w:pPr>
              <w:spacing w:after="160" w:line="279" w:lineRule="auto"/>
              <w:rPr>
                <w:rFonts w:eastAsiaTheme="majorEastAsia" w:cstheme="majorBidi"/>
                <w:b/>
                <w:bCs/>
                <w:szCs w:val="18"/>
              </w:rPr>
            </w:pPr>
            <w:r w:rsidRPr="00783110">
              <w:rPr>
                <w:rFonts w:eastAsiaTheme="majorEastAsia" w:cstheme="majorBidi"/>
                <w:b/>
                <w:bCs/>
                <w:szCs w:val="18"/>
              </w:rPr>
              <w:t>Totaal</w:t>
            </w:r>
          </w:p>
        </w:tc>
      </w:tr>
      <w:tr w:rsidRPr="00783110" w:rsidR="00083A0A" w:rsidTr="004D6EAD" w14:paraId="75D206D2" w14:textId="77777777">
        <w:tc>
          <w:tcPr>
            <w:tcW w:w="1481" w:type="dxa"/>
          </w:tcPr>
          <w:p w:rsidRPr="00783110" w:rsidR="00083A0A" w:rsidP="004D6EAD" w:rsidRDefault="00083A0A" w14:paraId="456A25F7" w14:textId="77777777">
            <w:pPr>
              <w:spacing w:after="160" w:line="279" w:lineRule="auto"/>
              <w:rPr>
                <w:rFonts w:eastAsiaTheme="majorEastAsia" w:cstheme="majorBidi"/>
                <w:b/>
                <w:bCs/>
                <w:szCs w:val="18"/>
              </w:rPr>
            </w:pPr>
            <w:r w:rsidRPr="00783110">
              <w:rPr>
                <w:rFonts w:eastAsiaTheme="majorEastAsia" w:cstheme="majorBidi"/>
                <w:b/>
                <w:bCs/>
                <w:szCs w:val="18"/>
              </w:rPr>
              <w:t>Aanvragen</w:t>
            </w:r>
          </w:p>
        </w:tc>
        <w:tc>
          <w:tcPr>
            <w:tcW w:w="1075" w:type="dxa"/>
          </w:tcPr>
          <w:p w:rsidRPr="00783110" w:rsidR="00083A0A" w:rsidP="004D6EAD" w:rsidRDefault="00083A0A" w14:paraId="143F5FE2" w14:textId="77777777">
            <w:pPr>
              <w:spacing w:after="160" w:line="279" w:lineRule="auto"/>
              <w:rPr>
                <w:rFonts w:eastAsiaTheme="majorEastAsia" w:cstheme="majorBidi"/>
                <w:szCs w:val="18"/>
              </w:rPr>
            </w:pPr>
            <w:r w:rsidRPr="00783110">
              <w:rPr>
                <w:rFonts w:eastAsiaTheme="majorEastAsia" w:cstheme="majorBidi"/>
                <w:szCs w:val="18"/>
              </w:rPr>
              <w:t>195</w:t>
            </w:r>
          </w:p>
        </w:tc>
        <w:tc>
          <w:tcPr>
            <w:tcW w:w="1076" w:type="dxa"/>
          </w:tcPr>
          <w:p w:rsidRPr="00783110" w:rsidR="00083A0A" w:rsidP="004D6EAD" w:rsidRDefault="00083A0A" w14:paraId="5E4E0AD6" w14:textId="77777777">
            <w:pPr>
              <w:spacing w:after="160" w:line="279" w:lineRule="auto"/>
              <w:rPr>
                <w:rFonts w:eastAsiaTheme="majorEastAsia" w:cstheme="majorBidi"/>
                <w:szCs w:val="18"/>
              </w:rPr>
            </w:pPr>
            <w:r w:rsidRPr="00783110">
              <w:rPr>
                <w:rFonts w:eastAsiaTheme="majorEastAsia" w:cstheme="majorBidi"/>
                <w:szCs w:val="18"/>
              </w:rPr>
              <w:t>166</w:t>
            </w:r>
          </w:p>
        </w:tc>
        <w:tc>
          <w:tcPr>
            <w:tcW w:w="1076" w:type="dxa"/>
          </w:tcPr>
          <w:p w:rsidRPr="00783110" w:rsidR="00083A0A" w:rsidP="004D6EAD" w:rsidRDefault="00083A0A" w14:paraId="7302943F" w14:textId="77777777">
            <w:pPr>
              <w:spacing w:after="160" w:line="279" w:lineRule="auto"/>
              <w:rPr>
                <w:rFonts w:eastAsiaTheme="majorEastAsia" w:cstheme="majorBidi"/>
                <w:szCs w:val="18"/>
              </w:rPr>
            </w:pPr>
            <w:r w:rsidRPr="00783110">
              <w:rPr>
                <w:rFonts w:eastAsiaTheme="majorEastAsia" w:cstheme="majorBidi"/>
                <w:szCs w:val="18"/>
              </w:rPr>
              <w:t>134</w:t>
            </w:r>
          </w:p>
        </w:tc>
        <w:tc>
          <w:tcPr>
            <w:tcW w:w="1099" w:type="dxa"/>
          </w:tcPr>
          <w:p w:rsidRPr="00783110" w:rsidR="00083A0A" w:rsidP="004D6EAD" w:rsidRDefault="00083A0A" w14:paraId="44FE334A" w14:textId="77777777">
            <w:pPr>
              <w:spacing w:after="160" w:line="279" w:lineRule="auto"/>
              <w:rPr>
                <w:rFonts w:eastAsiaTheme="majorEastAsia" w:cstheme="majorBidi"/>
                <w:szCs w:val="18"/>
              </w:rPr>
            </w:pPr>
            <w:r w:rsidRPr="00783110">
              <w:rPr>
                <w:rFonts w:eastAsiaTheme="majorEastAsia" w:cstheme="majorBidi"/>
                <w:szCs w:val="18"/>
              </w:rPr>
              <w:t>117</w:t>
            </w:r>
          </w:p>
        </w:tc>
        <w:tc>
          <w:tcPr>
            <w:tcW w:w="1083" w:type="dxa"/>
          </w:tcPr>
          <w:p w:rsidRPr="00783110" w:rsidR="00083A0A" w:rsidP="004D6EAD" w:rsidRDefault="00083A0A" w14:paraId="67028834" w14:textId="77777777">
            <w:pPr>
              <w:spacing w:after="160" w:line="279" w:lineRule="auto"/>
              <w:rPr>
                <w:rFonts w:eastAsiaTheme="majorEastAsia" w:cstheme="majorBidi"/>
                <w:szCs w:val="18"/>
              </w:rPr>
            </w:pPr>
            <w:r w:rsidRPr="00783110">
              <w:rPr>
                <w:rFonts w:eastAsiaTheme="majorEastAsia" w:cstheme="majorBidi"/>
                <w:szCs w:val="18"/>
              </w:rPr>
              <w:t>145</w:t>
            </w:r>
          </w:p>
        </w:tc>
        <w:tc>
          <w:tcPr>
            <w:tcW w:w="1008" w:type="dxa"/>
          </w:tcPr>
          <w:p w:rsidRPr="00783110" w:rsidR="00083A0A" w:rsidP="004D6EAD" w:rsidRDefault="00083A0A" w14:paraId="6730296D" w14:textId="77777777">
            <w:pPr>
              <w:spacing w:after="160" w:line="279" w:lineRule="auto"/>
              <w:rPr>
                <w:rFonts w:eastAsiaTheme="majorEastAsia" w:cstheme="majorBidi"/>
                <w:szCs w:val="18"/>
              </w:rPr>
            </w:pPr>
            <w:r w:rsidRPr="00783110">
              <w:rPr>
                <w:rFonts w:eastAsiaTheme="majorEastAsia" w:cstheme="majorBidi"/>
                <w:szCs w:val="18"/>
              </w:rPr>
              <w:t>117</w:t>
            </w:r>
          </w:p>
        </w:tc>
        <w:tc>
          <w:tcPr>
            <w:tcW w:w="1164" w:type="dxa"/>
          </w:tcPr>
          <w:p w:rsidRPr="00783110" w:rsidR="00083A0A" w:rsidP="004D6EAD" w:rsidRDefault="00083A0A" w14:paraId="3DB22213" w14:textId="77777777">
            <w:pPr>
              <w:spacing w:after="160" w:line="279" w:lineRule="auto"/>
              <w:rPr>
                <w:rFonts w:eastAsiaTheme="majorEastAsia" w:cstheme="majorBidi"/>
                <w:szCs w:val="18"/>
              </w:rPr>
            </w:pPr>
            <w:r w:rsidRPr="00783110">
              <w:rPr>
                <w:rFonts w:eastAsiaTheme="majorEastAsia" w:cstheme="majorBidi"/>
                <w:szCs w:val="18"/>
              </w:rPr>
              <w:t>874</w:t>
            </w:r>
          </w:p>
        </w:tc>
      </w:tr>
      <w:tr w:rsidRPr="00783110" w:rsidR="00083A0A" w:rsidTr="004D6EAD" w14:paraId="1024F0D1" w14:textId="77777777">
        <w:tc>
          <w:tcPr>
            <w:tcW w:w="1481" w:type="dxa"/>
          </w:tcPr>
          <w:p w:rsidRPr="00783110" w:rsidR="00083A0A" w:rsidP="004D6EAD" w:rsidRDefault="00083A0A" w14:paraId="155C90EA" w14:textId="77777777">
            <w:pPr>
              <w:spacing w:after="160" w:line="279" w:lineRule="auto"/>
              <w:rPr>
                <w:rFonts w:eastAsiaTheme="majorEastAsia" w:cstheme="majorBidi"/>
                <w:b/>
                <w:bCs/>
                <w:szCs w:val="18"/>
              </w:rPr>
            </w:pPr>
            <w:r w:rsidRPr="00783110">
              <w:rPr>
                <w:rFonts w:eastAsiaTheme="majorEastAsia" w:cstheme="majorBidi"/>
                <w:b/>
                <w:bCs/>
                <w:szCs w:val="18"/>
              </w:rPr>
              <w:t>Toekenningen**</w:t>
            </w:r>
          </w:p>
        </w:tc>
        <w:tc>
          <w:tcPr>
            <w:tcW w:w="1075" w:type="dxa"/>
          </w:tcPr>
          <w:p w:rsidRPr="00783110" w:rsidR="00083A0A" w:rsidP="004D6EAD" w:rsidRDefault="00083A0A" w14:paraId="1B3026C5" w14:textId="77777777">
            <w:pPr>
              <w:spacing w:after="160" w:line="279" w:lineRule="auto"/>
              <w:rPr>
                <w:rFonts w:eastAsiaTheme="majorEastAsia" w:cstheme="majorBidi"/>
                <w:szCs w:val="18"/>
              </w:rPr>
            </w:pPr>
            <w:r w:rsidRPr="00783110">
              <w:rPr>
                <w:rFonts w:eastAsiaTheme="majorEastAsia" w:cstheme="majorBidi"/>
                <w:szCs w:val="18"/>
              </w:rPr>
              <w:t>190</w:t>
            </w:r>
          </w:p>
        </w:tc>
        <w:tc>
          <w:tcPr>
            <w:tcW w:w="1076" w:type="dxa"/>
          </w:tcPr>
          <w:p w:rsidRPr="00783110" w:rsidR="00083A0A" w:rsidP="004D6EAD" w:rsidRDefault="00083A0A" w14:paraId="214C0B2A" w14:textId="77777777">
            <w:pPr>
              <w:spacing w:after="160" w:line="279" w:lineRule="auto"/>
              <w:rPr>
                <w:rFonts w:eastAsiaTheme="majorEastAsia" w:cstheme="majorBidi"/>
                <w:szCs w:val="18"/>
              </w:rPr>
            </w:pPr>
            <w:r w:rsidRPr="00783110">
              <w:rPr>
                <w:rFonts w:eastAsiaTheme="majorEastAsia" w:cstheme="majorBidi"/>
                <w:szCs w:val="18"/>
              </w:rPr>
              <w:t>166</w:t>
            </w:r>
          </w:p>
        </w:tc>
        <w:tc>
          <w:tcPr>
            <w:tcW w:w="1076" w:type="dxa"/>
          </w:tcPr>
          <w:p w:rsidRPr="00783110" w:rsidR="00083A0A" w:rsidP="004D6EAD" w:rsidRDefault="00083A0A" w14:paraId="7D551B8D" w14:textId="77777777">
            <w:pPr>
              <w:spacing w:after="160" w:line="279" w:lineRule="auto"/>
              <w:rPr>
                <w:rFonts w:eastAsiaTheme="majorEastAsia" w:cstheme="majorBidi"/>
                <w:szCs w:val="18"/>
              </w:rPr>
            </w:pPr>
            <w:r w:rsidRPr="00783110">
              <w:rPr>
                <w:rFonts w:eastAsiaTheme="majorEastAsia" w:cstheme="majorBidi"/>
                <w:szCs w:val="18"/>
              </w:rPr>
              <w:t>122</w:t>
            </w:r>
          </w:p>
        </w:tc>
        <w:tc>
          <w:tcPr>
            <w:tcW w:w="1099" w:type="dxa"/>
          </w:tcPr>
          <w:p w:rsidRPr="00783110" w:rsidR="00083A0A" w:rsidP="004D6EAD" w:rsidRDefault="00083A0A" w14:paraId="450EF37F" w14:textId="77777777">
            <w:pPr>
              <w:spacing w:after="160" w:line="279" w:lineRule="auto"/>
              <w:rPr>
                <w:rFonts w:eastAsiaTheme="majorEastAsia" w:cstheme="majorBidi"/>
                <w:szCs w:val="18"/>
              </w:rPr>
            </w:pPr>
            <w:r w:rsidRPr="00783110">
              <w:rPr>
                <w:rFonts w:eastAsiaTheme="majorEastAsia" w:cstheme="majorBidi"/>
                <w:szCs w:val="18"/>
              </w:rPr>
              <w:t>100</w:t>
            </w:r>
          </w:p>
        </w:tc>
        <w:tc>
          <w:tcPr>
            <w:tcW w:w="1083" w:type="dxa"/>
          </w:tcPr>
          <w:p w:rsidRPr="00783110" w:rsidR="00083A0A" w:rsidP="004D6EAD" w:rsidRDefault="00083A0A" w14:paraId="69A031F7" w14:textId="77777777">
            <w:pPr>
              <w:spacing w:after="160" w:line="279" w:lineRule="auto"/>
              <w:rPr>
                <w:rFonts w:eastAsiaTheme="majorEastAsia" w:cstheme="majorBidi"/>
                <w:szCs w:val="18"/>
              </w:rPr>
            </w:pPr>
            <w:r w:rsidRPr="00783110">
              <w:rPr>
                <w:rFonts w:eastAsiaTheme="majorEastAsia" w:cstheme="majorBidi"/>
                <w:szCs w:val="18"/>
              </w:rPr>
              <w:t>127</w:t>
            </w:r>
          </w:p>
        </w:tc>
        <w:tc>
          <w:tcPr>
            <w:tcW w:w="1008" w:type="dxa"/>
          </w:tcPr>
          <w:p w:rsidRPr="00783110" w:rsidR="00083A0A" w:rsidP="004D6EAD" w:rsidRDefault="00083A0A" w14:paraId="41A9C0F9" w14:textId="77777777">
            <w:pPr>
              <w:spacing w:after="160" w:line="279" w:lineRule="auto"/>
              <w:rPr>
                <w:rFonts w:eastAsiaTheme="majorEastAsia" w:cstheme="majorBidi"/>
                <w:szCs w:val="18"/>
              </w:rPr>
            </w:pPr>
            <w:r w:rsidRPr="00783110">
              <w:rPr>
                <w:rFonts w:eastAsiaTheme="majorEastAsia" w:cstheme="majorBidi"/>
                <w:szCs w:val="18"/>
              </w:rPr>
              <w:t>102</w:t>
            </w:r>
          </w:p>
        </w:tc>
        <w:tc>
          <w:tcPr>
            <w:tcW w:w="1164" w:type="dxa"/>
          </w:tcPr>
          <w:p w:rsidRPr="00783110" w:rsidR="00083A0A" w:rsidP="004D6EAD" w:rsidRDefault="00083A0A" w14:paraId="285CEE0B" w14:textId="77777777">
            <w:pPr>
              <w:spacing w:after="160" w:line="279" w:lineRule="auto"/>
              <w:rPr>
                <w:rFonts w:eastAsiaTheme="majorEastAsia" w:cstheme="majorBidi"/>
                <w:szCs w:val="18"/>
              </w:rPr>
            </w:pPr>
            <w:r w:rsidRPr="00783110">
              <w:rPr>
                <w:rFonts w:eastAsiaTheme="majorEastAsia" w:cstheme="majorBidi"/>
                <w:szCs w:val="18"/>
              </w:rPr>
              <w:t>807</w:t>
            </w:r>
          </w:p>
        </w:tc>
      </w:tr>
    </w:tbl>
    <w:p w:rsidRPr="002D0EAF" w:rsidR="00083A0A" w:rsidP="00083A0A" w:rsidRDefault="00083A0A" w14:paraId="74374D13" w14:textId="77777777">
      <w:pPr>
        <w:rPr>
          <w:rFonts w:eastAsiaTheme="majorEastAsia" w:cstheme="majorBidi"/>
          <w:sz w:val="16"/>
          <w:szCs w:val="16"/>
        </w:rPr>
      </w:pPr>
      <w:r w:rsidRPr="003E7BD2">
        <w:rPr>
          <w:rFonts w:eastAsiaTheme="majorEastAsia" w:cstheme="majorBidi"/>
          <w:sz w:val="16"/>
          <w:szCs w:val="16"/>
        </w:rPr>
        <w:t>* Huidig jaar. Er kunnen nog aanvragen binnenkomen.</w:t>
      </w:r>
      <w:r w:rsidRPr="003E7BD2">
        <w:rPr>
          <w:rFonts w:eastAsiaTheme="majorEastAsia" w:cstheme="majorBidi"/>
          <w:sz w:val="16"/>
          <w:szCs w:val="16"/>
        </w:rPr>
        <w:br/>
        <w:t xml:space="preserve">** Inclusief de toekenningen waarbij, door het niet uitvoeren van de behandeling, een terugvordering heeft plaatsgevonden. </w:t>
      </w:r>
      <w:r w:rsidRPr="002D0EAF">
        <w:rPr>
          <w:rFonts w:eastAsiaTheme="majorEastAsia" w:cstheme="majorBidi"/>
          <w:sz w:val="16"/>
          <w:szCs w:val="16"/>
        </w:rPr>
        <w:t>Dit betreft enkele gevallen.</w:t>
      </w:r>
    </w:p>
    <w:p w:rsidR="00083A0A" w:rsidP="00083A0A" w:rsidRDefault="00083A0A" w14:paraId="0894D93A" w14:textId="77777777">
      <w:pPr>
        <w:pStyle w:val="Geenafstand"/>
        <w:suppressAutoHyphens/>
        <w:spacing w:line="480" w:lineRule="auto"/>
        <w:rPr>
          <w:rFonts w:eastAsia="DejaVuSerifCondensed"/>
          <w:lang w:val="nl-NL"/>
        </w:rPr>
      </w:pPr>
    </w:p>
    <w:p w:rsidRPr="00864648" w:rsidR="00083A0A" w:rsidP="00083A0A" w:rsidRDefault="00083A0A" w14:paraId="515E3B58" w14:textId="77777777">
      <w:pPr>
        <w:pStyle w:val="Geenafstand"/>
        <w:suppressAutoHyphens/>
        <w:spacing w:line="276" w:lineRule="auto"/>
        <w:rPr>
          <w:rFonts w:eastAsia="DejaVuSerifCondensed"/>
          <w:lang w:val="nl-NL"/>
        </w:rPr>
      </w:pPr>
      <w:r w:rsidRPr="00864648">
        <w:rPr>
          <w:rFonts w:eastAsia="DejaVuSerifCondensed"/>
          <w:lang w:val="nl-NL"/>
        </w:rPr>
        <w:t>Vraag</w:t>
      </w:r>
      <w:r w:rsidRPr="00864648">
        <w:rPr>
          <w:rFonts w:eastAsia="DejaVuSerifCondensed"/>
          <w:lang w:val="nl-NL"/>
        </w:rPr>
        <w:tab/>
        <w:t>10</w:t>
      </w:r>
    </w:p>
    <w:p w:rsidRPr="00864648" w:rsidR="00083A0A" w:rsidP="00083A0A" w:rsidRDefault="00083A0A" w14:paraId="27177E6E" w14:textId="77777777">
      <w:pPr>
        <w:pStyle w:val="Geenafstand"/>
        <w:suppressAutoHyphens/>
        <w:spacing w:line="276" w:lineRule="auto"/>
        <w:rPr>
          <w:rFonts w:eastAsia="DejaVuSerifCondensed"/>
          <w:lang w:val="nl-NL"/>
        </w:rPr>
      </w:pPr>
      <w:r w:rsidRPr="00864648">
        <w:rPr>
          <w:rFonts w:eastAsia="DejaVuSerifCondensed"/>
          <w:lang w:val="nl-NL"/>
        </w:rPr>
        <w:t>In welke gevallen zouden transvrouwen borstprothesen niet meer vergoed krijgen als de subsidieregeling borstprothesen zou worden afgeschaft en in welke gevallen nog wel?</w:t>
      </w:r>
    </w:p>
    <w:p w:rsidRPr="00864648" w:rsidR="00083A0A" w:rsidP="00083A0A" w:rsidRDefault="00083A0A" w14:paraId="4B5A052C" w14:textId="77777777">
      <w:pPr>
        <w:pStyle w:val="Geenafstand"/>
        <w:suppressAutoHyphens/>
        <w:spacing w:line="276" w:lineRule="auto"/>
        <w:rPr>
          <w:rFonts w:eastAsia="DejaVuSerifCondensed"/>
          <w:lang w:val="nl-NL"/>
        </w:rPr>
      </w:pPr>
    </w:p>
    <w:p w:rsidRPr="00864648" w:rsidR="00083A0A" w:rsidP="00083A0A" w:rsidRDefault="00083A0A" w14:paraId="57854033" w14:textId="77777777">
      <w:pPr>
        <w:pStyle w:val="Geenafstand"/>
        <w:suppressAutoHyphens/>
        <w:spacing w:line="276" w:lineRule="auto"/>
        <w:rPr>
          <w:rFonts w:eastAsia="DejaVuSerifCondensed"/>
          <w:lang w:val="nl-NL"/>
        </w:rPr>
      </w:pPr>
      <w:r w:rsidRPr="00864648">
        <w:rPr>
          <w:rFonts w:eastAsia="DejaVuSerifCondensed"/>
          <w:lang w:val="nl-NL"/>
        </w:rPr>
        <w:t>Antwoord:</w:t>
      </w:r>
    </w:p>
    <w:p w:rsidR="00083A0A" w:rsidP="00083A0A" w:rsidRDefault="00083A0A" w14:paraId="2DFCCEDA" w14:textId="77777777">
      <w:pPr>
        <w:pStyle w:val="Geenafstand"/>
        <w:suppressAutoHyphens/>
        <w:spacing w:line="276" w:lineRule="auto"/>
        <w:rPr>
          <w:lang w:val="nl-NL"/>
        </w:rPr>
      </w:pPr>
      <w:r w:rsidRPr="003E7BD2">
        <w:rPr>
          <w:lang w:val="nl-NL"/>
        </w:rPr>
        <w:t>Transgender vrouwen kunnen na het verlopen van de regeling alsnog een vergoeding ontvangen voor borstprothesen vanuit de Z</w:t>
      </w:r>
      <w:r>
        <w:rPr>
          <w:lang w:val="nl-NL"/>
        </w:rPr>
        <w:t>orgverzekeringswet (</w:t>
      </w:r>
      <w:proofErr w:type="spellStart"/>
      <w:r>
        <w:rPr>
          <w:lang w:val="nl-NL"/>
        </w:rPr>
        <w:t>Z</w:t>
      </w:r>
      <w:r w:rsidRPr="003E7BD2">
        <w:rPr>
          <w:lang w:val="nl-NL"/>
        </w:rPr>
        <w:t>vw</w:t>
      </w:r>
      <w:proofErr w:type="spellEnd"/>
      <w:r>
        <w:rPr>
          <w:lang w:val="nl-NL"/>
        </w:rPr>
        <w:t>)</w:t>
      </w:r>
      <w:r w:rsidRPr="003E7BD2">
        <w:rPr>
          <w:lang w:val="nl-NL"/>
        </w:rPr>
        <w:t xml:space="preserve"> als zij voldoen aan de geldende criteria die gesteld worden voor agenesie/aplasie bij cisgender vrouwen. </w:t>
      </w:r>
      <w:r>
        <w:rPr>
          <w:lang w:val="nl-NL"/>
        </w:rPr>
        <w:t xml:space="preserve">Dat is het geval </w:t>
      </w:r>
      <w:r w:rsidRPr="003E7BD2">
        <w:rPr>
          <w:lang w:val="nl-NL"/>
        </w:rPr>
        <w:t>als er geen plooi onder de borst aanwezig is en er minder dan 1 centimeter klierweefsel is. In alle andere gevallen moeten transgender vrouwen, net als cisgender vrouwen, de behandeling zelf betalen.</w:t>
      </w:r>
    </w:p>
    <w:p w:rsidR="00083A0A" w:rsidP="00083A0A" w:rsidRDefault="00083A0A" w14:paraId="5698515E" w14:textId="77777777">
      <w:pPr>
        <w:pStyle w:val="Geenafstand"/>
        <w:suppressAutoHyphens/>
        <w:spacing w:line="276" w:lineRule="auto"/>
        <w:rPr>
          <w:lang w:val="nl-NL"/>
        </w:rPr>
      </w:pPr>
    </w:p>
    <w:p w:rsidRPr="00864648" w:rsidR="00083A0A" w:rsidP="00083A0A" w:rsidRDefault="00083A0A" w14:paraId="2C766AA0" w14:textId="77777777">
      <w:pPr>
        <w:pStyle w:val="Geenafstand"/>
        <w:suppressAutoHyphens/>
        <w:spacing w:line="276" w:lineRule="auto"/>
        <w:rPr>
          <w:lang w:val="nl-NL"/>
        </w:rPr>
      </w:pPr>
      <w:r w:rsidRPr="00864648">
        <w:rPr>
          <w:lang w:val="nl-NL"/>
        </w:rPr>
        <w:t>Vraag</w:t>
      </w:r>
      <w:r w:rsidRPr="00864648">
        <w:rPr>
          <w:lang w:val="nl-NL"/>
        </w:rPr>
        <w:tab/>
        <w:t xml:space="preserve">11 </w:t>
      </w:r>
    </w:p>
    <w:p w:rsidRPr="00864648" w:rsidR="00083A0A" w:rsidP="00083A0A" w:rsidRDefault="00083A0A" w14:paraId="55E5500B" w14:textId="77777777">
      <w:pPr>
        <w:pStyle w:val="Geenafstand"/>
        <w:suppressAutoHyphens/>
        <w:spacing w:line="276" w:lineRule="auto"/>
        <w:rPr>
          <w:lang w:val="nl-NL"/>
        </w:rPr>
      </w:pPr>
      <w:r w:rsidRPr="00864648">
        <w:rPr>
          <w:lang w:val="nl-NL"/>
        </w:rPr>
        <w:t>Kunt u nader toelichten op basis waarvan de keuze is gemaakt om een structurele korting toe te passen op het niet-verplichte budget voor oorlogsgetroffenen en herinnering Tweede Wereldoorlog?</w:t>
      </w:r>
    </w:p>
    <w:p w:rsidRPr="00864648" w:rsidR="00083A0A" w:rsidP="00083A0A" w:rsidRDefault="00083A0A" w14:paraId="593CA09E" w14:textId="77777777">
      <w:pPr>
        <w:pStyle w:val="Geenafstand"/>
        <w:suppressAutoHyphens/>
        <w:spacing w:line="276" w:lineRule="auto"/>
        <w:rPr>
          <w:lang w:val="nl-NL"/>
        </w:rPr>
      </w:pPr>
    </w:p>
    <w:p w:rsidRPr="00864648" w:rsidR="00083A0A" w:rsidP="00083A0A" w:rsidRDefault="00083A0A" w14:paraId="05EAB973" w14:textId="77777777">
      <w:pPr>
        <w:pStyle w:val="Geenafstand"/>
        <w:suppressAutoHyphens/>
        <w:spacing w:line="276" w:lineRule="auto"/>
        <w:rPr>
          <w:lang w:val="nl-NL"/>
        </w:rPr>
      </w:pPr>
      <w:r w:rsidRPr="00864648">
        <w:rPr>
          <w:lang w:val="nl-NL"/>
        </w:rPr>
        <w:t xml:space="preserve">Antwoord: </w:t>
      </w:r>
    </w:p>
    <w:p w:rsidRPr="00DD12EC" w:rsidR="00083A0A" w:rsidP="00083A0A" w:rsidRDefault="00083A0A" w14:paraId="18D92169" w14:textId="77777777">
      <w:pPr>
        <w:spacing w:line="276" w:lineRule="auto"/>
      </w:pPr>
      <w:r>
        <w:t xml:space="preserve">Ik, de staatssecretaris van Jeugd, Preventie en Sport, </w:t>
      </w:r>
      <w:r w:rsidRPr="00DD12EC">
        <w:t xml:space="preserve">sta voor een kwalitatief hoogwaardige zorg- en dienstverlening aan oorlogsslachtoffers en voor de </w:t>
      </w:r>
      <w:r w:rsidRPr="00DD12EC">
        <w:lastRenderedPageBreak/>
        <w:t xml:space="preserve">continuïteit van de huidige infrastructuur om de Tweede Wereldoorlog te herdenken en herinneren. </w:t>
      </w:r>
    </w:p>
    <w:p w:rsidR="00083A0A" w:rsidP="00083A0A" w:rsidRDefault="00083A0A" w14:paraId="5CE36833" w14:textId="77777777">
      <w:pPr>
        <w:spacing w:line="276" w:lineRule="auto"/>
      </w:pPr>
      <w:r w:rsidRPr="00DD12EC">
        <w:t>Tegelijkertijd besef ik dat de aangekondigde bezuinigingen ook dit beleidsterrein raken. Ik heb echter een maximale inspanning gedaan om de impact hiervan te minimaliseren. Ik kies er voor om de bestaande infrastructuur van veldpartijen te behouden, er wordt dus niet bezuinigd op bijvoorbeeld de herinneringscentra en de zorg en ondersteuning aan oorlogsslachtoffers. De bezuiniging bestaat met name uit het afzien van het opzetten van nieuw beleid en extra investeringen in de WOII sector.</w:t>
      </w:r>
    </w:p>
    <w:p w:rsidRPr="00937AB1" w:rsidR="00083A0A" w:rsidP="00083A0A" w:rsidRDefault="00083A0A" w14:paraId="1B214911" w14:textId="77777777">
      <w:pPr>
        <w:pStyle w:val="Geenafstand"/>
        <w:suppressAutoHyphens/>
        <w:spacing w:line="276" w:lineRule="auto"/>
        <w:rPr>
          <w:lang w:val="nl-NL"/>
        </w:rPr>
      </w:pPr>
    </w:p>
    <w:p w:rsidRPr="00937AB1" w:rsidR="00083A0A" w:rsidP="00083A0A" w:rsidRDefault="00083A0A" w14:paraId="66FCD12A" w14:textId="77777777">
      <w:pPr>
        <w:pStyle w:val="Geenafstand"/>
        <w:suppressAutoHyphens/>
        <w:spacing w:line="276" w:lineRule="auto"/>
        <w:rPr>
          <w:lang w:val="nl-NL"/>
        </w:rPr>
      </w:pPr>
      <w:r w:rsidRPr="00937AB1">
        <w:rPr>
          <w:lang w:val="nl-NL"/>
        </w:rPr>
        <w:t>Vraag</w:t>
      </w:r>
      <w:r w:rsidRPr="00937AB1">
        <w:rPr>
          <w:lang w:val="nl-NL"/>
        </w:rPr>
        <w:tab/>
        <w:t xml:space="preserve">12 </w:t>
      </w:r>
    </w:p>
    <w:p w:rsidRPr="00937AB1" w:rsidR="00083A0A" w:rsidP="00083A0A" w:rsidRDefault="00083A0A" w14:paraId="0BF116BF" w14:textId="77777777">
      <w:pPr>
        <w:pStyle w:val="Geenafstand"/>
        <w:suppressAutoHyphens/>
        <w:spacing w:line="276" w:lineRule="auto"/>
        <w:rPr>
          <w:lang w:val="nl-NL"/>
        </w:rPr>
      </w:pPr>
      <w:r w:rsidRPr="00937AB1">
        <w:rPr>
          <w:lang w:val="nl-NL"/>
        </w:rPr>
        <w:t>Kunt u aangeven hoeveel personen in de afgelopen jaren zijn geholpen door het Joods Maatschappelijk Werk? Kunt u per jaar aangeven welke daling u voorziet in aanvragen en welk financieel gevolg dit heeft?</w:t>
      </w:r>
    </w:p>
    <w:p w:rsidRPr="00937AB1" w:rsidR="00083A0A" w:rsidP="00083A0A" w:rsidRDefault="00083A0A" w14:paraId="3B0252BC" w14:textId="77777777">
      <w:pPr>
        <w:pStyle w:val="Geenafstand"/>
        <w:suppressAutoHyphens/>
        <w:spacing w:line="276" w:lineRule="auto"/>
        <w:rPr>
          <w:lang w:val="nl-NL"/>
        </w:rPr>
      </w:pPr>
    </w:p>
    <w:p w:rsidRPr="00937AB1" w:rsidR="00083A0A" w:rsidP="00083A0A" w:rsidRDefault="00083A0A" w14:paraId="632CDCB9" w14:textId="77777777">
      <w:pPr>
        <w:pStyle w:val="Geenafstand"/>
        <w:suppressAutoHyphens/>
        <w:spacing w:line="276" w:lineRule="auto"/>
        <w:rPr>
          <w:lang w:val="nl-NL"/>
        </w:rPr>
      </w:pPr>
      <w:r w:rsidRPr="00937AB1">
        <w:rPr>
          <w:lang w:val="nl-NL"/>
        </w:rPr>
        <w:t xml:space="preserve">Antwoord: </w:t>
      </w:r>
    </w:p>
    <w:p w:rsidRPr="00937AB1" w:rsidR="00083A0A" w:rsidP="00083A0A" w:rsidRDefault="00083A0A" w14:paraId="4B1C8AA9" w14:textId="77777777">
      <w:pPr>
        <w:pStyle w:val="Geenafstand"/>
        <w:suppressAutoHyphens/>
        <w:spacing w:line="276" w:lineRule="auto"/>
        <w:rPr>
          <w:lang w:val="nl-NL"/>
        </w:rPr>
      </w:pPr>
      <w:r w:rsidRPr="00937AB1">
        <w:rPr>
          <w:lang w:val="nl-NL"/>
        </w:rPr>
        <w:t>In 2023 had JMW in totaal ongeveer 1.975 cliënten. Voor de daling van het aantal cliënten, baseren we ons op de prognoses van de Sociale Verzekeringsbank (SVB) over het aantal cliënten dat een beroep doet op de wetten en regelingen voor verzetsdeelnemers en oorlogsgetroffenen. De afgelopen jaren was deze daling iets meer dan 8% per jaar. De prognose van de SVB is dat deze doelgroep de komende jaren met 8-10% per jaar daalt. Op basis van deze prognose wordt verwacht dat de primaire doelgroep van JMW die bestaat uit eerste generatie oorlogsgetroffenen, met een vergelijkbaar percentage zal afnemen. Aangezien de kosten niet evenredig afnemen met de afname van de doelgroep, is de afname van de kosten vanaf 2027 begroot op 3%-4% per jaar.</w:t>
      </w:r>
    </w:p>
    <w:p w:rsidR="00083A0A" w:rsidP="00083A0A" w:rsidRDefault="00083A0A" w14:paraId="21004CFD" w14:textId="77777777">
      <w:pPr>
        <w:pStyle w:val="Geenafstand"/>
        <w:suppressAutoHyphens/>
        <w:spacing w:line="276" w:lineRule="auto"/>
        <w:rPr>
          <w:rFonts w:eastAsia="DejaVuSerifCondensed"/>
          <w:lang w:val="nl-NL"/>
        </w:rPr>
      </w:pPr>
    </w:p>
    <w:p w:rsidR="00083A0A" w:rsidP="00083A0A" w:rsidRDefault="00083A0A" w14:paraId="2396465A"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13</w:t>
      </w:r>
    </w:p>
    <w:p w:rsidRPr="006829D4" w:rsidR="00083A0A" w:rsidP="00083A0A" w:rsidRDefault="00083A0A" w14:paraId="5715A643" w14:textId="77777777">
      <w:pPr>
        <w:pStyle w:val="Geenafstand"/>
        <w:suppressAutoHyphens/>
        <w:spacing w:line="276" w:lineRule="auto"/>
        <w:rPr>
          <w:rFonts w:eastAsia="DejaVuSerifCondensed"/>
          <w:lang w:val="nl-NL"/>
        </w:rPr>
      </w:pPr>
      <w:r w:rsidRPr="006829D4">
        <w:rPr>
          <w:rFonts w:eastAsia="DejaVuSerifCondensed"/>
          <w:lang w:val="nl-NL"/>
        </w:rPr>
        <w:t>Hoeveel aanvragen zijn er sinds 2023 geweest voor de subsidieregeling Intergenerationeel wonen?</w:t>
      </w:r>
    </w:p>
    <w:p w:rsidRPr="006829D4" w:rsidR="00083A0A" w:rsidP="00083A0A" w:rsidRDefault="00083A0A" w14:paraId="749841B0" w14:textId="77777777">
      <w:pPr>
        <w:pStyle w:val="Geenafstand"/>
        <w:suppressAutoHyphens/>
        <w:spacing w:line="276" w:lineRule="auto"/>
        <w:rPr>
          <w:rFonts w:eastAsia="DejaVuSerifCondensed"/>
          <w:lang w:val="nl-NL"/>
        </w:rPr>
      </w:pPr>
      <w:r w:rsidRPr="006829D4">
        <w:rPr>
          <w:rFonts w:eastAsia="DejaVuSerifCondensed"/>
          <w:lang w:val="nl-NL"/>
        </w:rPr>
        <w:t>Hoeveel aanvragen staan op dit moment nog open en zullen zij nog wel gebruik kunnen maken van de</w:t>
      </w:r>
      <w:r>
        <w:rPr>
          <w:rFonts w:eastAsia="DejaVuSerifCondensed"/>
          <w:lang w:val="nl-NL"/>
        </w:rPr>
        <w:t xml:space="preserve"> </w:t>
      </w:r>
      <w:r w:rsidRPr="006829D4">
        <w:rPr>
          <w:rFonts w:eastAsia="DejaVuSerifCondensed"/>
          <w:lang w:val="nl-NL"/>
        </w:rPr>
        <w:t>subsidieregeling? Hoeveel geld is nog onbesteed binnen de subsidieregeling? Hoeveel geld wordt er</w:t>
      </w:r>
      <w:r>
        <w:rPr>
          <w:rFonts w:eastAsia="DejaVuSerifCondensed"/>
          <w:lang w:val="nl-NL"/>
        </w:rPr>
        <w:t xml:space="preserve"> </w:t>
      </w:r>
      <w:r w:rsidRPr="006829D4">
        <w:rPr>
          <w:rFonts w:eastAsia="DejaVuSerifCondensed"/>
          <w:lang w:val="nl-NL"/>
        </w:rPr>
        <w:t>gemiddeld uitgekeerd per aanvraag?</w:t>
      </w:r>
    </w:p>
    <w:p w:rsidR="00083A0A" w:rsidP="00083A0A" w:rsidRDefault="00083A0A" w14:paraId="101CE59E" w14:textId="77777777">
      <w:pPr>
        <w:pStyle w:val="Geenafstand"/>
        <w:suppressAutoHyphens/>
        <w:spacing w:line="276" w:lineRule="auto"/>
        <w:rPr>
          <w:rFonts w:eastAsia="DejaVuSerifCondensed"/>
          <w:lang w:val="nl-NL"/>
        </w:rPr>
      </w:pPr>
    </w:p>
    <w:p w:rsidR="00083A0A" w:rsidP="00083A0A" w:rsidRDefault="00083A0A" w14:paraId="3FA1886F" w14:textId="77777777">
      <w:pPr>
        <w:pStyle w:val="Geenafstand"/>
        <w:suppressAutoHyphens/>
        <w:spacing w:line="276" w:lineRule="auto"/>
        <w:rPr>
          <w:rFonts w:eastAsia="DejaVuSerifCondensed"/>
          <w:lang w:val="nl-NL"/>
        </w:rPr>
      </w:pPr>
      <w:r>
        <w:rPr>
          <w:rFonts w:eastAsia="DejaVuSerifCondensed"/>
          <w:lang w:val="nl-NL"/>
        </w:rPr>
        <w:t>Antwoord:</w:t>
      </w:r>
    </w:p>
    <w:p w:rsidRPr="00937AB1" w:rsidR="00083A0A" w:rsidP="00083A0A" w:rsidRDefault="00083A0A" w14:paraId="32FBE058" w14:textId="77777777">
      <w:pPr>
        <w:spacing w:line="276" w:lineRule="auto"/>
        <w:rPr>
          <w:rFonts w:eastAsiaTheme="majorEastAsia" w:cstheme="majorBidi"/>
          <w:szCs w:val="18"/>
        </w:rPr>
      </w:pPr>
      <w:r w:rsidRPr="00937AB1">
        <w:rPr>
          <w:rFonts w:eastAsiaTheme="majorEastAsia" w:cstheme="majorBidi"/>
          <w:szCs w:val="18"/>
        </w:rPr>
        <w:t xml:space="preserve">In 2023 is er door 8 organisaties subsidie aangevraagd en in 2024 door 4 organisaties. Er is gemiddeld € 100.000 per organisatie aangevraagd. Er zijn op dit moment geen openstaande aanvragen omdat het tijdvak van 2024 reeds is gesloten. Vanaf 18 november 2024 t/m 30 april 2025 is het weer mogelijk om subsidie aan te vragen. Dit is het laatste tijdvak van deze subsidieregeling dat open wordt gesteld. In 2023 was er een </w:t>
      </w:r>
      <w:proofErr w:type="spellStart"/>
      <w:r w:rsidRPr="00937AB1">
        <w:rPr>
          <w:rFonts w:eastAsiaTheme="majorEastAsia" w:cstheme="majorBidi"/>
          <w:szCs w:val="18"/>
        </w:rPr>
        <w:t>onderuitputting</w:t>
      </w:r>
      <w:proofErr w:type="spellEnd"/>
      <w:r w:rsidRPr="00937AB1">
        <w:rPr>
          <w:rFonts w:eastAsiaTheme="majorEastAsia" w:cstheme="majorBidi"/>
          <w:szCs w:val="18"/>
        </w:rPr>
        <w:t xml:space="preserve"> van +/- € 3, 5 mln. en in 2024 was er een </w:t>
      </w:r>
      <w:proofErr w:type="spellStart"/>
      <w:r w:rsidRPr="00937AB1">
        <w:rPr>
          <w:rFonts w:eastAsiaTheme="majorEastAsia" w:cstheme="majorBidi"/>
          <w:szCs w:val="18"/>
        </w:rPr>
        <w:t>onderuitputting</w:t>
      </w:r>
      <w:proofErr w:type="spellEnd"/>
      <w:r w:rsidRPr="00937AB1">
        <w:rPr>
          <w:rFonts w:eastAsiaTheme="majorEastAsia" w:cstheme="majorBidi"/>
          <w:szCs w:val="18"/>
        </w:rPr>
        <w:t xml:space="preserve"> van +/- € 7,7 mln. In 2023 was het subsidieplafond € 3,9 miljoen en in 2024 € 7,8 mln. Voor aanvragen hoger dan € 25.000, geldt dat 50% uit wordt betaald bij verlening en 50% bij vaststelling. De 50% die uit wordt betaald bij </w:t>
      </w:r>
      <w:r w:rsidRPr="00937AB1">
        <w:rPr>
          <w:rFonts w:eastAsiaTheme="majorEastAsia" w:cstheme="majorBidi"/>
          <w:szCs w:val="18"/>
        </w:rPr>
        <w:lastRenderedPageBreak/>
        <w:t>vaststelling, komt ten laste van het plafond van het jaar waarin de vaststelling plaatsvindt.</w:t>
      </w:r>
    </w:p>
    <w:p w:rsidR="00083A0A" w:rsidP="00083A0A" w:rsidRDefault="00083A0A" w14:paraId="03DA5787" w14:textId="77777777">
      <w:pPr>
        <w:pStyle w:val="Geenafstand"/>
        <w:suppressAutoHyphens/>
        <w:spacing w:line="276" w:lineRule="auto"/>
        <w:rPr>
          <w:rFonts w:eastAsia="DejaVuSerifCondensed"/>
          <w:lang w:val="nl-NL"/>
        </w:rPr>
      </w:pPr>
    </w:p>
    <w:p w:rsidRPr="00107AFF" w:rsidR="00083A0A" w:rsidP="00083A0A" w:rsidRDefault="00083A0A" w14:paraId="6A5C9B6D"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 xml:space="preserve">14 </w:t>
      </w:r>
    </w:p>
    <w:p w:rsidRPr="00107AFF" w:rsidR="00083A0A" w:rsidP="00083A0A" w:rsidRDefault="00083A0A" w14:paraId="7DC38613"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Wanneer wordt de Kamer exact geïnformeerd over de nadere invulling van het bedrag van 16 miljoen ter bevordering van de sociale cohesie?</w:t>
      </w:r>
    </w:p>
    <w:p w:rsidRPr="00107AFF" w:rsidR="00083A0A" w:rsidP="00083A0A" w:rsidRDefault="00083A0A" w14:paraId="50FB932B" w14:textId="77777777">
      <w:pPr>
        <w:pStyle w:val="Geenafstand"/>
        <w:suppressAutoHyphens/>
        <w:spacing w:line="276" w:lineRule="auto"/>
        <w:rPr>
          <w:rFonts w:eastAsia="DejaVuSerifCondensed"/>
          <w:szCs w:val="18"/>
          <w:lang w:val="nl-NL"/>
        </w:rPr>
      </w:pPr>
    </w:p>
    <w:p w:rsidRPr="00107AFF" w:rsidR="00083A0A" w:rsidP="00083A0A" w:rsidRDefault="00083A0A" w14:paraId="5E49B3A8"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4C7E2878" w14:textId="77777777">
      <w:pPr>
        <w:spacing w:line="276" w:lineRule="auto"/>
        <w:rPr>
          <w:rFonts w:eastAsiaTheme="majorEastAsia" w:cstheme="majorBidi"/>
          <w:szCs w:val="18"/>
        </w:rPr>
      </w:pPr>
      <w:r w:rsidRPr="00107AFF">
        <w:rPr>
          <w:rFonts w:eastAsiaTheme="majorEastAsia" w:cstheme="majorBidi"/>
          <w:szCs w:val="18"/>
        </w:rPr>
        <w:t xml:space="preserve">De komende periode zal de vormgeving van de beleidsinzet ter bevordering van </w:t>
      </w:r>
      <w:r>
        <w:rPr>
          <w:rFonts w:eastAsiaTheme="majorEastAsia" w:cstheme="majorBidi"/>
          <w:szCs w:val="18"/>
        </w:rPr>
        <w:t xml:space="preserve">cohesie tussen samenwonende generaties </w:t>
      </w:r>
      <w:r w:rsidRPr="00107AFF">
        <w:rPr>
          <w:rFonts w:eastAsiaTheme="majorEastAsia" w:cstheme="majorBidi"/>
          <w:szCs w:val="18"/>
        </w:rPr>
        <w:t>nader worden uitgewerkt. Het streven is om de Kamer in de loop van 2025 te informeren over de nadere invulling van de beschikbare (en vanaf 2028 structurele) € 16 miljoen ter bevordering van de sociale cohesie.</w:t>
      </w:r>
    </w:p>
    <w:p w:rsidRPr="00107AFF" w:rsidR="00083A0A" w:rsidP="00083A0A" w:rsidRDefault="00083A0A" w14:paraId="1EE367C6" w14:textId="77777777">
      <w:pPr>
        <w:pStyle w:val="Geenafstand"/>
        <w:suppressAutoHyphens/>
        <w:spacing w:line="276" w:lineRule="auto"/>
        <w:rPr>
          <w:rFonts w:eastAsia="DejaVuSerifCondensed"/>
          <w:szCs w:val="18"/>
          <w:lang w:val="nl-NL"/>
        </w:rPr>
      </w:pPr>
    </w:p>
    <w:p w:rsidRPr="00107AFF" w:rsidR="00083A0A" w:rsidP="00083A0A" w:rsidRDefault="00083A0A" w14:paraId="1510EB27"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15</w:t>
      </w:r>
    </w:p>
    <w:p w:rsidRPr="00107AFF" w:rsidR="00083A0A" w:rsidP="00083A0A" w:rsidRDefault="00083A0A" w14:paraId="4519F0F0"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Hoeveel patiënten maken op dit moment gebruik van de subsidieregeling medisch noodzakelijke zorg aan onverzekerden (SOV)? Om wat voor soort zorg gaat het hierbij en welke groepen worden hier bediend?</w:t>
      </w:r>
    </w:p>
    <w:p w:rsidRPr="00107AFF" w:rsidR="00083A0A" w:rsidP="00083A0A" w:rsidRDefault="00083A0A" w14:paraId="0F3D02C1" w14:textId="77777777">
      <w:pPr>
        <w:pStyle w:val="Geenafstand"/>
        <w:suppressAutoHyphens/>
        <w:spacing w:line="276" w:lineRule="auto"/>
        <w:rPr>
          <w:rFonts w:eastAsia="DejaVuSerifCondensed"/>
          <w:szCs w:val="18"/>
          <w:lang w:val="nl-NL"/>
        </w:rPr>
      </w:pPr>
    </w:p>
    <w:p w:rsidRPr="00107AFF" w:rsidR="00083A0A" w:rsidP="00083A0A" w:rsidRDefault="00083A0A" w14:paraId="329F583E"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260909DB"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Het is niet bekend voor hoeveel unieke patiënten gebruik wordt gemaakt van de subsidieregeling medisch noodzakelijke zorg aan onverzekerden (SOV). Het CAK verwacht voor 2024 52.000 declaraties en € 95 miljoen aan zorgkosten te vergoeden. Het gaat om eerstelijnsverblijf, farmacie, GGZ, huisartsenzorg, kraamzorg, paramedische zorg, tandheelkundige hulp, verloskundige zorg, wijkverpleging, ziekenhuiszorg en zorg aan zintuigelijk gehandicapten. Het gaat budgettair gezien met name om ziekenhuiszorg en GGZ-zorg. De subsidieregeling medisch noodzakelijke zorg aan onverzekerden is bedoeld voor zorg aan onverzekerde personen die rechtmatig in Nederland verblijven. Deze groep is onder te verdelen in de volgende subgroepen:</w:t>
      </w:r>
    </w:p>
    <w:p w:rsidRPr="00107AFF" w:rsidR="00083A0A" w:rsidP="00083A0A" w:rsidRDefault="00083A0A" w14:paraId="43CBED67"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Onverzekerde personen die wél verzekeringsplichtig zijn:</w:t>
      </w:r>
    </w:p>
    <w:p w:rsidRPr="00107AFF" w:rsidR="00083A0A" w:rsidP="00083A0A" w:rsidRDefault="00083A0A" w14:paraId="015F4FE7" w14:textId="77777777">
      <w:pPr>
        <w:pStyle w:val="Lijstalinea"/>
        <w:numPr>
          <w:ilvl w:val="0"/>
          <w:numId w:val="3"/>
        </w:numPr>
        <w:suppressAutoHyphens/>
        <w:autoSpaceDN/>
        <w:spacing w:after="160" w:line="276" w:lineRule="auto"/>
        <w:textAlignment w:val="auto"/>
        <w:rPr>
          <w:rFonts w:eastAsiaTheme="majorEastAsia" w:cstheme="majorBidi"/>
          <w:color w:val="000000" w:themeColor="text1"/>
        </w:rPr>
      </w:pPr>
      <w:r w:rsidRPr="00107AFF">
        <w:rPr>
          <w:rFonts w:eastAsiaTheme="majorEastAsia" w:cstheme="majorBidi"/>
          <w:color w:val="000000" w:themeColor="text1"/>
        </w:rPr>
        <w:t>Nederlandse dak- en thuislozen die zonder briefadres en structureel inkomen geen zorgverzekering kunnen afsluiten en betalen. Deze groep is verzekeringsplichtig, omdat zij ingezetenen zijn van Nederland.</w:t>
      </w:r>
    </w:p>
    <w:p w:rsidRPr="00107AFF" w:rsidR="00083A0A" w:rsidP="00083A0A" w:rsidRDefault="00083A0A" w14:paraId="40890F55" w14:textId="77777777">
      <w:pPr>
        <w:pStyle w:val="Lijstalinea"/>
        <w:numPr>
          <w:ilvl w:val="0"/>
          <w:numId w:val="3"/>
        </w:numPr>
        <w:suppressAutoHyphens/>
        <w:autoSpaceDN/>
        <w:spacing w:after="160" w:line="276" w:lineRule="auto"/>
        <w:textAlignment w:val="auto"/>
        <w:rPr>
          <w:rFonts w:eastAsiaTheme="majorEastAsia" w:cstheme="majorBidi"/>
          <w:color w:val="000000" w:themeColor="text1"/>
        </w:rPr>
      </w:pPr>
      <w:r w:rsidRPr="00107AFF">
        <w:rPr>
          <w:rFonts w:eastAsiaTheme="majorEastAsia" w:cstheme="majorBidi"/>
          <w:color w:val="000000" w:themeColor="text1"/>
        </w:rPr>
        <w:t xml:space="preserve">Arbeidsmigranten die aan het werk zijn, maar niet verzekerd zijn. Zij </w:t>
      </w:r>
      <w:r>
        <w:rPr>
          <w:rFonts w:eastAsiaTheme="majorEastAsia" w:cstheme="majorBidi"/>
          <w:color w:val="000000" w:themeColor="text1"/>
        </w:rPr>
        <w:t xml:space="preserve">moeten </w:t>
      </w:r>
      <w:r w:rsidRPr="00107AFF">
        <w:rPr>
          <w:rFonts w:eastAsiaTheme="majorEastAsia" w:cstheme="majorBidi"/>
          <w:color w:val="000000" w:themeColor="text1"/>
        </w:rPr>
        <w:t xml:space="preserve"> loonbelasting </w:t>
      </w:r>
      <w:r>
        <w:rPr>
          <w:rFonts w:eastAsiaTheme="majorEastAsia" w:cstheme="majorBidi"/>
          <w:color w:val="000000" w:themeColor="text1"/>
        </w:rPr>
        <w:t xml:space="preserve">betalen </w:t>
      </w:r>
      <w:r w:rsidRPr="00107AFF">
        <w:rPr>
          <w:rFonts w:eastAsiaTheme="majorEastAsia" w:cstheme="majorBidi"/>
          <w:color w:val="000000" w:themeColor="text1"/>
        </w:rPr>
        <w:t xml:space="preserve">en </w:t>
      </w:r>
      <w:r>
        <w:rPr>
          <w:rFonts w:eastAsiaTheme="majorEastAsia" w:cstheme="majorBidi"/>
          <w:color w:val="000000" w:themeColor="text1"/>
        </w:rPr>
        <w:t xml:space="preserve">zijn </w:t>
      </w:r>
      <w:r w:rsidRPr="00107AFF">
        <w:rPr>
          <w:rFonts w:eastAsiaTheme="majorEastAsia" w:cstheme="majorBidi"/>
          <w:color w:val="000000" w:themeColor="text1"/>
        </w:rPr>
        <w:t xml:space="preserve">daarom verzekeringsplichtig. </w:t>
      </w:r>
    </w:p>
    <w:p w:rsidRPr="00107AFF" w:rsidR="00083A0A" w:rsidP="00083A0A" w:rsidRDefault="00083A0A" w14:paraId="651E157B"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Onverzekerde personen die niet verzekeringsplichtig zijn:</w:t>
      </w:r>
    </w:p>
    <w:p w:rsidRPr="00107AFF" w:rsidR="00083A0A" w:rsidP="00083A0A" w:rsidRDefault="00083A0A" w14:paraId="4E2B00AD" w14:textId="77777777">
      <w:pPr>
        <w:pStyle w:val="Lijstalinea"/>
        <w:numPr>
          <w:ilvl w:val="0"/>
          <w:numId w:val="3"/>
        </w:numPr>
        <w:suppressAutoHyphens/>
        <w:autoSpaceDN/>
        <w:spacing w:after="160" w:line="276" w:lineRule="auto"/>
        <w:textAlignment w:val="auto"/>
        <w:rPr>
          <w:rFonts w:eastAsiaTheme="majorEastAsia" w:cstheme="majorBidi"/>
          <w:color w:val="000000" w:themeColor="text1"/>
        </w:rPr>
      </w:pPr>
      <w:r w:rsidRPr="00107AFF">
        <w:rPr>
          <w:rFonts w:eastAsiaTheme="majorEastAsia" w:cstheme="majorBidi"/>
          <w:color w:val="000000" w:themeColor="text1"/>
        </w:rPr>
        <w:t>Werkloze arbeidsmigranten zonder rechten vanuit de Werkloosheidswet</w:t>
      </w:r>
    </w:p>
    <w:p w:rsidRPr="00107AFF" w:rsidR="00083A0A" w:rsidP="00083A0A" w:rsidRDefault="00083A0A" w14:paraId="62C5C363" w14:textId="77777777">
      <w:pPr>
        <w:pStyle w:val="Lijstalinea"/>
        <w:numPr>
          <w:ilvl w:val="0"/>
          <w:numId w:val="3"/>
        </w:numPr>
        <w:suppressAutoHyphens/>
        <w:autoSpaceDN/>
        <w:spacing w:after="160" w:line="276" w:lineRule="auto"/>
        <w:textAlignment w:val="auto"/>
        <w:rPr>
          <w:rFonts w:eastAsiaTheme="majorEastAsia" w:cstheme="majorBidi"/>
          <w:color w:val="000000" w:themeColor="text1"/>
        </w:rPr>
      </w:pPr>
      <w:r w:rsidRPr="00107AFF">
        <w:rPr>
          <w:rFonts w:eastAsiaTheme="majorEastAsia" w:cstheme="majorBidi"/>
          <w:color w:val="000000" w:themeColor="text1"/>
        </w:rPr>
        <w:t>Toeristen die onvoldoende verzekerd zijn.</w:t>
      </w:r>
    </w:p>
    <w:p w:rsidR="00083A0A" w:rsidP="00083A0A" w:rsidRDefault="00083A0A" w14:paraId="57E5A54C" w14:textId="77777777">
      <w:pPr>
        <w:pStyle w:val="Geenafstand"/>
        <w:suppressAutoHyphens/>
        <w:spacing w:line="276" w:lineRule="auto"/>
        <w:rPr>
          <w:rFonts w:eastAsia="DejaVuSerifCondensed"/>
          <w:szCs w:val="18"/>
          <w:lang w:val="nl-NL"/>
        </w:rPr>
      </w:pPr>
      <w:r>
        <w:rPr>
          <w:rFonts w:eastAsia="DejaVuSerifCondensed"/>
          <w:szCs w:val="18"/>
          <w:lang w:val="nl-NL"/>
        </w:rPr>
        <w:t>De maatregel richt zich op deze laatste groep onverzekerde personen die niet verzekeringsplichtig zijn.</w:t>
      </w:r>
    </w:p>
    <w:p w:rsidR="00083A0A" w:rsidP="00083A0A" w:rsidRDefault="00083A0A" w14:paraId="200349E0" w14:textId="77777777">
      <w:pPr>
        <w:pStyle w:val="Geenafstand"/>
        <w:suppressAutoHyphens/>
        <w:spacing w:line="276" w:lineRule="auto"/>
        <w:rPr>
          <w:rFonts w:eastAsia="DejaVuSerifCondensed"/>
          <w:szCs w:val="18"/>
          <w:lang w:val="nl-NL"/>
        </w:rPr>
      </w:pPr>
    </w:p>
    <w:p w:rsidRPr="00107AFF" w:rsidR="00083A0A" w:rsidP="00083A0A" w:rsidRDefault="00083A0A" w14:paraId="3935D41E" w14:textId="77777777">
      <w:pPr>
        <w:pStyle w:val="Geenafstand"/>
        <w:suppressAutoHyphens/>
        <w:spacing w:line="276" w:lineRule="auto"/>
        <w:rPr>
          <w:rFonts w:eastAsia="DejaVuSerifCondensed"/>
          <w:szCs w:val="18"/>
          <w:lang w:val="nl-NL"/>
        </w:rPr>
      </w:pPr>
      <w:r w:rsidRPr="00107AFF">
        <w:rPr>
          <w:rFonts w:eastAsia="DejaVuSerifCondensed"/>
          <w:szCs w:val="18"/>
          <w:lang w:val="nl-NL"/>
        </w:rPr>
        <w:lastRenderedPageBreak/>
        <w:t>Vraag</w:t>
      </w:r>
      <w:r w:rsidRPr="00107AFF">
        <w:rPr>
          <w:rFonts w:eastAsia="DejaVuSerifCondensed"/>
          <w:szCs w:val="18"/>
          <w:lang w:val="nl-NL"/>
        </w:rPr>
        <w:tab/>
        <w:t>16</w:t>
      </w:r>
    </w:p>
    <w:p w:rsidRPr="00107AFF" w:rsidR="00083A0A" w:rsidP="00083A0A" w:rsidRDefault="00083A0A" w14:paraId="61175026"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Hoeveel minder mensen kunnen gebruik maken van de subsidieregeling medisch noodzakelijke zorg aan onverzekerden (SOV) na de bezuiniging van €40 miljoen per 2027? Hoe wordt de beoogde afweging gemaakt welke zorg vanaf 2027 wel en niet nodig is voor deze groep? Wat verstaat u onder acute zorg? Hoe verhoudt zich dit tot medisch noodzakelijke zorg?</w:t>
      </w:r>
    </w:p>
    <w:p w:rsidRPr="00107AFF" w:rsidR="00083A0A" w:rsidP="00083A0A" w:rsidRDefault="00083A0A" w14:paraId="566AA60F" w14:textId="77777777">
      <w:pPr>
        <w:pStyle w:val="Geenafstand"/>
        <w:suppressAutoHyphens/>
        <w:spacing w:line="276" w:lineRule="auto"/>
        <w:rPr>
          <w:rFonts w:eastAsia="DejaVuSerifCondensed"/>
          <w:szCs w:val="18"/>
          <w:lang w:val="nl-NL"/>
        </w:rPr>
      </w:pPr>
    </w:p>
    <w:p w:rsidRPr="00107AFF" w:rsidR="00083A0A" w:rsidP="00083A0A" w:rsidRDefault="00083A0A" w14:paraId="547168A3"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1DC8113B"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 xml:space="preserve">Het is niet bekend voor hoeveel unieke patiënten gebruik wordt gemaakt van de SOV. </w:t>
      </w:r>
    </w:p>
    <w:p w:rsidR="00083A0A" w:rsidP="00083A0A" w:rsidRDefault="00083A0A" w14:paraId="1F49BA02"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Acute zorg staat omschreven in artikel 1 van de Wet kwaliteit, klachten en geschillen zorg (</w:t>
      </w:r>
      <w:proofErr w:type="spellStart"/>
      <w:r w:rsidRPr="00107AFF">
        <w:rPr>
          <w:rFonts w:eastAsiaTheme="majorEastAsia" w:cstheme="majorBidi"/>
          <w:color w:val="000000" w:themeColor="text1"/>
          <w:szCs w:val="18"/>
        </w:rPr>
        <w:t>Wkkgz</w:t>
      </w:r>
      <w:proofErr w:type="spellEnd"/>
      <w:r w:rsidRPr="00107AFF">
        <w:rPr>
          <w:rFonts w:eastAsiaTheme="majorEastAsia" w:cstheme="majorBidi"/>
          <w:color w:val="000000" w:themeColor="text1"/>
          <w:szCs w:val="18"/>
        </w:rPr>
        <w:t xml:space="preserve">) als “zorg in verband met een ervaren of geobserveerde mogelijke ernstige of een op korte termijn levensbedreigende situatie als gevolg van een gezondheidsprobleem of letsel dat plotseling is ontstaan of is verergerd.” </w:t>
      </w:r>
      <w:r>
        <w:rPr>
          <w:rFonts w:eastAsiaTheme="majorEastAsia" w:cstheme="majorBidi"/>
          <w:color w:val="000000" w:themeColor="text1"/>
          <w:szCs w:val="18"/>
        </w:rPr>
        <w:t xml:space="preserve">Deze zorg blijft voor iedereen beschikbaar. </w:t>
      </w:r>
    </w:p>
    <w:p w:rsidR="00083A0A" w:rsidP="00083A0A" w:rsidRDefault="00083A0A" w14:paraId="6A71B3B1" w14:textId="77777777">
      <w:pPr>
        <w:spacing w:line="276" w:lineRule="auto"/>
        <w:rPr>
          <w:rFonts w:eastAsiaTheme="majorEastAsia" w:cstheme="majorBidi"/>
          <w:color w:val="000000" w:themeColor="text1"/>
          <w:szCs w:val="18"/>
        </w:rPr>
      </w:pPr>
      <w:r>
        <w:rPr>
          <w:rFonts w:eastAsiaTheme="majorEastAsia" w:cstheme="majorBidi"/>
          <w:color w:val="000000" w:themeColor="text1"/>
          <w:szCs w:val="18"/>
        </w:rPr>
        <w:t xml:space="preserve">Soms is </w:t>
      </w:r>
      <w:r w:rsidRPr="00107AFF">
        <w:rPr>
          <w:rFonts w:eastAsiaTheme="majorEastAsia" w:cstheme="majorBidi"/>
          <w:color w:val="000000" w:themeColor="text1"/>
          <w:szCs w:val="18"/>
        </w:rPr>
        <w:t xml:space="preserve">zorg medisch noodzakelijk, maar </w:t>
      </w:r>
      <w:r>
        <w:rPr>
          <w:rFonts w:eastAsiaTheme="majorEastAsia" w:cstheme="majorBidi"/>
          <w:color w:val="000000" w:themeColor="text1"/>
          <w:szCs w:val="18"/>
        </w:rPr>
        <w:t xml:space="preserve">is er geen </w:t>
      </w:r>
      <w:r w:rsidRPr="00107AFF">
        <w:rPr>
          <w:rFonts w:eastAsiaTheme="majorEastAsia" w:cstheme="majorBidi"/>
          <w:color w:val="000000" w:themeColor="text1"/>
          <w:szCs w:val="18"/>
        </w:rPr>
        <w:t>levensbedreigend</w:t>
      </w:r>
      <w:r>
        <w:rPr>
          <w:rFonts w:eastAsiaTheme="majorEastAsia" w:cstheme="majorBidi"/>
          <w:color w:val="000000" w:themeColor="text1"/>
          <w:szCs w:val="18"/>
        </w:rPr>
        <w:t>e</w:t>
      </w:r>
      <w:r w:rsidRPr="00107AFF">
        <w:rPr>
          <w:rFonts w:eastAsiaTheme="majorEastAsia" w:cstheme="majorBidi"/>
          <w:color w:val="000000" w:themeColor="text1"/>
          <w:szCs w:val="18"/>
        </w:rPr>
        <w:t xml:space="preserve"> </w:t>
      </w:r>
      <w:r>
        <w:rPr>
          <w:rFonts w:eastAsiaTheme="majorEastAsia" w:cstheme="majorBidi"/>
          <w:color w:val="000000" w:themeColor="text1"/>
          <w:szCs w:val="18"/>
        </w:rPr>
        <w:t>situatie</w:t>
      </w:r>
      <w:r w:rsidRPr="00107AFF">
        <w:rPr>
          <w:rFonts w:eastAsiaTheme="majorEastAsia" w:cstheme="majorBidi"/>
          <w:color w:val="000000" w:themeColor="text1"/>
          <w:szCs w:val="18"/>
        </w:rPr>
        <w:t>. Voor Nederlanders die in het buitenland op vakantie zijn geldt bijvoorbeeld ook dat acute zorg direct wordt geleverd</w:t>
      </w:r>
      <w:r>
        <w:rPr>
          <w:rFonts w:eastAsiaTheme="majorEastAsia" w:cstheme="majorBidi"/>
          <w:color w:val="000000" w:themeColor="text1"/>
          <w:szCs w:val="18"/>
        </w:rPr>
        <w:t>. M</w:t>
      </w:r>
      <w:r w:rsidRPr="00107AFF">
        <w:rPr>
          <w:rFonts w:eastAsiaTheme="majorEastAsia" w:cstheme="majorBidi"/>
          <w:color w:val="000000" w:themeColor="text1"/>
          <w:szCs w:val="18"/>
        </w:rPr>
        <w:t xml:space="preserve">aar als zorg </w:t>
      </w:r>
      <w:proofErr w:type="spellStart"/>
      <w:r w:rsidRPr="00107AFF">
        <w:rPr>
          <w:rFonts w:eastAsiaTheme="majorEastAsia" w:cstheme="majorBidi"/>
          <w:color w:val="000000" w:themeColor="text1"/>
          <w:szCs w:val="18"/>
        </w:rPr>
        <w:t>planbaar</w:t>
      </w:r>
      <w:proofErr w:type="spellEnd"/>
      <w:r w:rsidRPr="00107AFF">
        <w:rPr>
          <w:rFonts w:eastAsiaTheme="majorEastAsia" w:cstheme="majorBidi"/>
          <w:color w:val="000000" w:themeColor="text1"/>
          <w:szCs w:val="18"/>
        </w:rPr>
        <w:t xml:space="preserve"> is (dus niet-acuut) </w:t>
      </w:r>
      <w:r>
        <w:rPr>
          <w:rFonts w:eastAsiaTheme="majorEastAsia" w:cstheme="majorBidi"/>
          <w:color w:val="000000" w:themeColor="text1"/>
          <w:szCs w:val="18"/>
        </w:rPr>
        <w:t xml:space="preserve">wordt de zorg niet zomaar vergoed. Dan moet de zorgverzekeraar daar eerst toestemming voor geven. </w:t>
      </w:r>
    </w:p>
    <w:p w:rsidRPr="005600CE" w:rsidR="00083A0A" w:rsidP="00083A0A" w:rsidRDefault="00083A0A" w14:paraId="27078CC1" w14:textId="77777777">
      <w:pPr>
        <w:spacing w:line="276" w:lineRule="auto"/>
        <w:rPr>
          <w:rFonts w:eastAsiaTheme="majorEastAsia" w:cstheme="majorBidi"/>
          <w:color w:val="000000" w:themeColor="text1"/>
          <w:szCs w:val="18"/>
        </w:rPr>
      </w:pPr>
    </w:p>
    <w:p w:rsidRPr="00107AFF" w:rsidR="00083A0A" w:rsidP="00083A0A" w:rsidRDefault="00083A0A" w14:paraId="67AFA0D4"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 xml:space="preserve">17 </w:t>
      </w:r>
    </w:p>
    <w:p w:rsidRPr="00107AFF" w:rsidR="00083A0A" w:rsidP="00083A0A" w:rsidRDefault="00083A0A" w14:paraId="57B9C140"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Hoeveel levensjaren zou het naar verwachting kosten als er in 2027 ruim de helft van het budget voor de SOV wordt wegbezuinigd?</w:t>
      </w:r>
    </w:p>
    <w:p w:rsidRPr="00107AFF" w:rsidR="00083A0A" w:rsidP="00083A0A" w:rsidRDefault="00083A0A" w14:paraId="0C37A518" w14:textId="77777777">
      <w:pPr>
        <w:pStyle w:val="Geenafstand"/>
        <w:suppressAutoHyphens/>
        <w:spacing w:line="276" w:lineRule="auto"/>
        <w:rPr>
          <w:rFonts w:eastAsia="DejaVuSerifCondensed"/>
          <w:szCs w:val="18"/>
          <w:lang w:val="nl-NL"/>
        </w:rPr>
      </w:pPr>
    </w:p>
    <w:p w:rsidRPr="00107AFF" w:rsidR="00083A0A" w:rsidP="00083A0A" w:rsidRDefault="00083A0A" w14:paraId="4DC55253"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00083A0A" w:rsidP="00083A0A" w:rsidRDefault="00083A0A" w14:paraId="25F4145E"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 xml:space="preserve">Dat </w:t>
      </w:r>
      <w:r>
        <w:rPr>
          <w:rFonts w:eastAsiaTheme="majorEastAsia" w:cstheme="majorBidi"/>
          <w:color w:val="000000" w:themeColor="text1"/>
          <w:szCs w:val="18"/>
        </w:rPr>
        <w:t>valt</w:t>
      </w:r>
      <w:r w:rsidRPr="00107AFF">
        <w:rPr>
          <w:rFonts w:eastAsiaTheme="majorEastAsia" w:cstheme="majorBidi"/>
          <w:color w:val="000000" w:themeColor="text1"/>
          <w:szCs w:val="18"/>
        </w:rPr>
        <w:t xml:space="preserve"> niet te zeggen.</w:t>
      </w:r>
    </w:p>
    <w:p w:rsidRPr="00107AFF" w:rsidR="00083A0A" w:rsidP="00083A0A" w:rsidRDefault="00083A0A" w14:paraId="1FBE284D"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 xml:space="preserve"> </w:t>
      </w:r>
    </w:p>
    <w:p w:rsidRPr="00107AFF" w:rsidR="00083A0A" w:rsidP="00083A0A" w:rsidRDefault="00083A0A" w14:paraId="5D1CD6C1"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18</w:t>
      </w:r>
    </w:p>
    <w:p w:rsidRPr="00107AFF" w:rsidR="00083A0A" w:rsidP="00083A0A" w:rsidRDefault="00083A0A" w14:paraId="3667A093"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Welk deel van het budget van de SOV wordt gebruikt door toeristen en welk deel door dak- en</w:t>
      </w:r>
      <w:r>
        <w:rPr>
          <w:rFonts w:eastAsia="DejaVuSerifCondensed"/>
          <w:szCs w:val="18"/>
          <w:lang w:val="nl-NL"/>
        </w:rPr>
        <w:t xml:space="preserve"> </w:t>
      </w:r>
      <w:r w:rsidRPr="00107AFF">
        <w:rPr>
          <w:rFonts w:eastAsia="DejaVuSerifCondensed"/>
          <w:szCs w:val="18"/>
          <w:lang w:val="nl-NL"/>
        </w:rPr>
        <w:t>thuisloze mensen?</w:t>
      </w:r>
    </w:p>
    <w:p w:rsidRPr="00107AFF" w:rsidR="00083A0A" w:rsidP="00083A0A" w:rsidRDefault="00083A0A" w14:paraId="408807E9" w14:textId="77777777">
      <w:pPr>
        <w:pStyle w:val="Geenafstand"/>
        <w:suppressAutoHyphens/>
        <w:spacing w:line="276" w:lineRule="auto"/>
        <w:rPr>
          <w:rFonts w:eastAsia="DejaVuSerifCondensed"/>
          <w:szCs w:val="18"/>
          <w:lang w:val="nl-NL"/>
        </w:rPr>
      </w:pPr>
    </w:p>
    <w:p w:rsidRPr="00107AFF" w:rsidR="00083A0A" w:rsidP="00083A0A" w:rsidRDefault="00083A0A" w14:paraId="3DA44DB0"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63451CD2" w14:textId="77777777">
      <w:pPr>
        <w:spacing w:line="276" w:lineRule="auto"/>
        <w:rPr>
          <w:rFonts w:eastAsiaTheme="majorEastAsia" w:cstheme="majorBidi"/>
          <w:color w:val="000000" w:themeColor="text1"/>
          <w:szCs w:val="18"/>
        </w:rPr>
      </w:pPr>
      <w:r>
        <w:rPr>
          <w:rFonts w:eastAsiaTheme="majorEastAsia" w:cstheme="majorBidi"/>
          <w:color w:val="000000" w:themeColor="text1"/>
          <w:szCs w:val="18"/>
        </w:rPr>
        <w:t>Dit</w:t>
      </w:r>
      <w:r w:rsidRPr="00107AFF">
        <w:rPr>
          <w:rFonts w:eastAsiaTheme="majorEastAsia" w:cstheme="majorBidi"/>
          <w:color w:val="000000" w:themeColor="text1"/>
          <w:szCs w:val="18"/>
        </w:rPr>
        <w:t xml:space="preserve"> is niet bekend</w:t>
      </w:r>
      <w:r>
        <w:rPr>
          <w:rFonts w:eastAsiaTheme="majorEastAsia" w:cstheme="majorBidi"/>
          <w:color w:val="000000" w:themeColor="text1"/>
          <w:szCs w:val="18"/>
        </w:rPr>
        <w:t>.</w:t>
      </w:r>
      <w:r w:rsidRPr="00107AFF">
        <w:rPr>
          <w:rFonts w:eastAsiaTheme="majorEastAsia" w:cstheme="majorBidi"/>
          <w:color w:val="000000" w:themeColor="text1"/>
          <w:szCs w:val="18"/>
        </w:rPr>
        <w:t xml:space="preserve"> </w:t>
      </w:r>
    </w:p>
    <w:p w:rsidRPr="00107AFF" w:rsidR="00083A0A" w:rsidP="00083A0A" w:rsidRDefault="00083A0A" w14:paraId="6D6F93DB"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19</w:t>
      </w:r>
    </w:p>
    <w:p w:rsidRPr="00107AFF" w:rsidR="00083A0A" w:rsidP="00083A0A" w:rsidRDefault="00083A0A" w14:paraId="6C882427"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Wat betekent de ingeboekte bezuiniging op subsidies voor de regeling voor onverzekerbare</w:t>
      </w:r>
      <w:r>
        <w:rPr>
          <w:rFonts w:eastAsia="DejaVuSerifCondensed"/>
          <w:szCs w:val="18"/>
          <w:lang w:val="nl-NL"/>
        </w:rPr>
        <w:t xml:space="preserve"> </w:t>
      </w:r>
      <w:r w:rsidRPr="00107AFF">
        <w:rPr>
          <w:rFonts w:eastAsia="DejaVuSerifCondensed"/>
          <w:szCs w:val="18"/>
          <w:lang w:val="nl-NL"/>
        </w:rPr>
        <w:t>vreemdelingen?</w:t>
      </w:r>
    </w:p>
    <w:p w:rsidRPr="00107AFF" w:rsidR="00083A0A" w:rsidP="00083A0A" w:rsidRDefault="00083A0A" w14:paraId="3DDFE614" w14:textId="77777777">
      <w:pPr>
        <w:pStyle w:val="Geenafstand"/>
        <w:suppressAutoHyphens/>
        <w:spacing w:line="276" w:lineRule="auto"/>
        <w:rPr>
          <w:rFonts w:eastAsia="DejaVuSerifCondensed"/>
          <w:szCs w:val="18"/>
          <w:lang w:val="nl-NL"/>
        </w:rPr>
      </w:pPr>
    </w:p>
    <w:p w:rsidRPr="00107AFF" w:rsidR="00083A0A" w:rsidP="00083A0A" w:rsidRDefault="00083A0A" w14:paraId="518A551F"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00083A0A" w:rsidP="00083A0A" w:rsidRDefault="00083A0A" w14:paraId="42F06785" w14:textId="77777777">
      <w:pPr>
        <w:spacing w:line="276" w:lineRule="auto"/>
        <w:rPr>
          <w:rFonts w:eastAsiaTheme="majorEastAsia" w:cstheme="majorBidi"/>
          <w:color w:val="000000" w:themeColor="text1"/>
          <w:szCs w:val="18"/>
        </w:rPr>
      </w:pPr>
      <w:r w:rsidRPr="00107AFF">
        <w:rPr>
          <w:rFonts w:eastAsiaTheme="majorEastAsia" w:cstheme="majorBidi"/>
          <w:color w:val="000000" w:themeColor="text1"/>
          <w:szCs w:val="18"/>
        </w:rPr>
        <w:t>De regeling onverzekerbare vreemdelingen (OVV) is geen subsidieregeling, maar een wettelijke regeling</w:t>
      </w:r>
      <w:r>
        <w:rPr>
          <w:rFonts w:eastAsiaTheme="majorEastAsia" w:cstheme="majorBidi"/>
          <w:color w:val="000000" w:themeColor="text1"/>
          <w:szCs w:val="18"/>
        </w:rPr>
        <w:t xml:space="preserve">. Dit is </w:t>
      </w:r>
      <w:r w:rsidRPr="00107AFF">
        <w:rPr>
          <w:rFonts w:eastAsiaTheme="majorEastAsia" w:cstheme="majorBidi"/>
          <w:color w:val="000000" w:themeColor="text1"/>
          <w:szCs w:val="18"/>
        </w:rPr>
        <w:t xml:space="preserve">een andere regeling dan de subsidieregeling medisch noodzakelijke zorg aan onverzekerden (SOV). De OVV is bedoeld voor kosten van </w:t>
      </w:r>
      <w:r w:rsidRPr="00107AFF">
        <w:rPr>
          <w:rFonts w:eastAsiaTheme="majorEastAsia" w:cstheme="majorBidi"/>
          <w:color w:val="000000" w:themeColor="text1"/>
          <w:szCs w:val="18"/>
        </w:rPr>
        <w:lastRenderedPageBreak/>
        <w:t>zorg aan onverzekerbare vreemdelingen. Dit zijn vreemdelingen die onrechtmatig in Nederland verblijven, zoals uitgeprocedeerde asielzoekers. De ingeboekte bezuiniging heeft geen invloed op het budget voor de OVV.</w:t>
      </w:r>
    </w:p>
    <w:p w:rsidRPr="00107AFF" w:rsidR="00083A0A" w:rsidP="00083A0A" w:rsidRDefault="00083A0A" w14:paraId="1BC02A51" w14:textId="77777777">
      <w:pPr>
        <w:spacing w:line="276" w:lineRule="auto"/>
        <w:rPr>
          <w:rFonts w:eastAsia="DejaVuSerifCondensed"/>
          <w:szCs w:val="18"/>
        </w:rPr>
      </w:pPr>
    </w:p>
    <w:p w:rsidRPr="00107AFF" w:rsidR="00083A0A" w:rsidP="00083A0A" w:rsidRDefault="00083A0A" w14:paraId="36242677"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20</w:t>
      </w:r>
    </w:p>
    <w:p w:rsidRPr="00107AFF" w:rsidR="00083A0A" w:rsidP="00083A0A" w:rsidRDefault="00083A0A" w14:paraId="23E4702F"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 xml:space="preserve">Wat voor gevolgen hebben de bezuinigingen naar onderzoek in kwaliteit en kwaliteitsverbetering van de zorg bij het Rijksinstituut voor Volksgezondheid en Milieu (RIVM), het Zorginstituut en </w:t>
      </w:r>
      <w:proofErr w:type="spellStart"/>
      <w:r w:rsidRPr="00107AFF">
        <w:rPr>
          <w:rFonts w:eastAsia="DejaVuSerifCondensed"/>
          <w:szCs w:val="18"/>
          <w:lang w:val="nl-NL"/>
        </w:rPr>
        <w:t>ZonMw</w:t>
      </w:r>
      <w:proofErr w:type="spellEnd"/>
      <w:r w:rsidRPr="00107AFF">
        <w:rPr>
          <w:rFonts w:eastAsia="DejaVuSerifCondensed"/>
          <w:szCs w:val="18"/>
          <w:lang w:val="nl-NL"/>
        </w:rPr>
        <w:t>? Hoeveel mensen verliezen hierdoor hun baan? Worden lopende onderzoeken afgerond? Hoe wordt bepaald op welke onderzoeken geschrapt wordt?</w:t>
      </w:r>
    </w:p>
    <w:p w:rsidRPr="00107AFF" w:rsidR="00083A0A" w:rsidP="00083A0A" w:rsidRDefault="00083A0A" w14:paraId="0DB08375" w14:textId="77777777">
      <w:pPr>
        <w:pStyle w:val="Geenafstand"/>
        <w:suppressAutoHyphens/>
        <w:spacing w:line="276" w:lineRule="auto"/>
        <w:rPr>
          <w:rFonts w:eastAsia="DejaVuSerifCondensed"/>
          <w:szCs w:val="18"/>
          <w:lang w:val="nl-NL"/>
        </w:rPr>
      </w:pPr>
    </w:p>
    <w:p w:rsidRPr="00107AFF" w:rsidR="00083A0A" w:rsidP="00083A0A" w:rsidRDefault="00083A0A" w14:paraId="47AFE4D0"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41E9DA13" w14:textId="77777777">
      <w:pPr>
        <w:spacing w:line="276" w:lineRule="auto"/>
        <w:rPr>
          <w:rFonts w:eastAsiaTheme="majorEastAsia" w:cstheme="majorBidi"/>
          <w:szCs w:val="18"/>
        </w:rPr>
      </w:pPr>
      <w:r w:rsidRPr="00107AFF">
        <w:rPr>
          <w:rFonts w:eastAsiaTheme="majorEastAsia" w:cstheme="majorBidi"/>
          <w:szCs w:val="18"/>
        </w:rPr>
        <w:t xml:space="preserve">In de bijlage van de kamerbrief die u afgelopen maandag heeft ontvangen, heeft u kunnen lezen dat </w:t>
      </w:r>
      <w:r>
        <w:rPr>
          <w:rFonts w:eastAsiaTheme="majorEastAsia" w:cstheme="majorBidi"/>
          <w:szCs w:val="18"/>
        </w:rPr>
        <w:t xml:space="preserve">wij </w:t>
      </w:r>
      <w:r w:rsidRPr="00107AFF">
        <w:rPr>
          <w:rFonts w:eastAsiaTheme="majorEastAsia" w:cstheme="majorBidi"/>
          <w:szCs w:val="18"/>
        </w:rPr>
        <w:t xml:space="preserve">ervoor hebben gekozen om minder budget beschikbaar te stellen voor onderzoek en kwaliteit bij het RIVM, </w:t>
      </w:r>
      <w:proofErr w:type="spellStart"/>
      <w:r w:rsidRPr="00107AFF">
        <w:rPr>
          <w:rFonts w:eastAsiaTheme="majorEastAsia" w:cstheme="majorBidi"/>
          <w:szCs w:val="18"/>
        </w:rPr>
        <w:t>ZonMw</w:t>
      </w:r>
      <w:proofErr w:type="spellEnd"/>
      <w:r w:rsidRPr="00107AFF">
        <w:rPr>
          <w:rFonts w:eastAsiaTheme="majorEastAsia" w:cstheme="majorBidi"/>
          <w:szCs w:val="18"/>
        </w:rPr>
        <w:t xml:space="preserve"> en het Zorginstituut Nederland. De gevolgen hiervan voor RIVM en </w:t>
      </w:r>
      <w:proofErr w:type="spellStart"/>
      <w:r w:rsidRPr="00107AFF">
        <w:rPr>
          <w:rFonts w:eastAsiaTheme="majorEastAsia" w:cstheme="majorBidi"/>
          <w:szCs w:val="18"/>
        </w:rPr>
        <w:t>ZonMw</w:t>
      </w:r>
      <w:proofErr w:type="spellEnd"/>
      <w:r w:rsidRPr="00107AFF">
        <w:rPr>
          <w:rFonts w:eastAsiaTheme="majorEastAsia" w:cstheme="majorBidi"/>
          <w:szCs w:val="18"/>
        </w:rPr>
        <w:t>, ook voor het personeel, worden nader in kaart gebracht. Het Zorginstituut voert de Subsidieregeling veelbelovende zorg uit. De regeling zal worden gestopt. Na het stoppen van de subsidieregeling kunnen geen nieuwe subsidies worden verleend. Onderzoeken waarvoor al subsidie is verleend worden conform planning afgerond.</w:t>
      </w:r>
    </w:p>
    <w:p w:rsidR="00083A0A" w:rsidP="00083A0A" w:rsidRDefault="00083A0A" w14:paraId="435FF4ED" w14:textId="77777777">
      <w:pPr>
        <w:pStyle w:val="Geenafstand"/>
        <w:suppressAutoHyphens/>
        <w:spacing w:line="276" w:lineRule="auto"/>
        <w:rPr>
          <w:rFonts w:eastAsia="DejaVuSerifCondensed"/>
          <w:szCs w:val="18"/>
          <w:lang w:val="nl-NL"/>
        </w:rPr>
      </w:pPr>
    </w:p>
    <w:p w:rsidRPr="00107AFF" w:rsidR="00083A0A" w:rsidP="00083A0A" w:rsidRDefault="00083A0A" w14:paraId="534402C3"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21</w:t>
      </w:r>
    </w:p>
    <w:p w:rsidRPr="00107AFF" w:rsidR="00083A0A" w:rsidP="00083A0A" w:rsidRDefault="00083A0A" w14:paraId="732AC46F"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Welke onderzoeken en programma's worden niet voortgezet bij het Zorginstituut doordat de regeling Veelbelovende zorg niet wordt verlengd?</w:t>
      </w:r>
    </w:p>
    <w:p w:rsidRPr="00107AFF" w:rsidR="00083A0A" w:rsidP="00083A0A" w:rsidRDefault="00083A0A" w14:paraId="4ABECF1C" w14:textId="77777777">
      <w:pPr>
        <w:pStyle w:val="Geenafstand"/>
        <w:suppressAutoHyphens/>
        <w:spacing w:line="276" w:lineRule="auto"/>
        <w:rPr>
          <w:rFonts w:eastAsia="DejaVuSerifCondensed"/>
          <w:szCs w:val="18"/>
          <w:lang w:val="nl-NL"/>
        </w:rPr>
      </w:pPr>
    </w:p>
    <w:p w:rsidRPr="00107AFF" w:rsidR="00083A0A" w:rsidP="00083A0A" w:rsidRDefault="00083A0A" w14:paraId="151C3785"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Pr="00107AFF" w:rsidR="00083A0A" w:rsidP="00083A0A" w:rsidRDefault="00083A0A" w14:paraId="768AB4B1" w14:textId="77777777">
      <w:pPr>
        <w:spacing w:line="276" w:lineRule="auto"/>
        <w:rPr>
          <w:rFonts w:eastAsiaTheme="majorEastAsia" w:cstheme="majorBidi"/>
          <w:szCs w:val="18"/>
        </w:rPr>
      </w:pPr>
      <w:r w:rsidRPr="00107AFF">
        <w:rPr>
          <w:rFonts w:eastAsiaTheme="majorEastAsia" w:cstheme="majorBidi"/>
          <w:szCs w:val="18"/>
        </w:rPr>
        <w:t xml:space="preserve">De subsidieregeling Veelbelovende zorg stopt. </w:t>
      </w:r>
      <w:r>
        <w:rPr>
          <w:rFonts w:eastAsiaTheme="majorEastAsia" w:cstheme="majorBidi"/>
          <w:szCs w:val="18"/>
        </w:rPr>
        <w:t xml:space="preserve">Er was vaak sprake van </w:t>
      </w:r>
      <w:proofErr w:type="spellStart"/>
      <w:r>
        <w:rPr>
          <w:rFonts w:eastAsiaTheme="majorEastAsia" w:cstheme="majorBidi"/>
          <w:szCs w:val="18"/>
        </w:rPr>
        <w:t>onderuitputting</w:t>
      </w:r>
      <w:proofErr w:type="spellEnd"/>
      <w:r>
        <w:rPr>
          <w:rFonts w:eastAsiaTheme="majorEastAsia" w:cstheme="majorBidi"/>
          <w:szCs w:val="18"/>
        </w:rPr>
        <w:t xml:space="preserve">. </w:t>
      </w:r>
      <w:r w:rsidRPr="00107AFF">
        <w:rPr>
          <w:rFonts w:eastAsiaTheme="majorEastAsia" w:cstheme="majorBidi"/>
          <w:szCs w:val="18"/>
        </w:rPr>
        <w:t xml:space="preserve">Na het aflopen van de subsidieregeling </w:t>
      </w:r>
      <w:r>
        <w:rPr>
          <w:rFonts w:eastAsiaTheme="majorEastAsia" w:cstheme="majorBidi"/>
          <w:szCs w:val="18"/>
        </w:rPr>
        <w:t xml:space="preserve">worden </w:t>
      </w:r>
      <w:r w:rsidRPr="00107AFF">
        <w:rPr>
          <w:rFonts w:eastAsiaTheme="majorEastAsia" w:cstheme="majorBidi"/>
          <w:szCs w:val="18"/>
        </w:rPr>
        <w:t xml:space="preserve">geen nieuwe subsidies </w:t>
      </w:r>
      <w:r>
        <w:rPr>
          <w:rFonts w:eastAsiaTheme="majorEastAsia" w:cstheme="majorBidi"/>
          <w:szCs w:val="18"/>
        </w:rPr>
        <w:t>v</w:t>
      </w:r>
      <w:r w:rsidRPr="00107AFF">
        <w:rPr>
          <w:rFonts w:eastAsiaTheme="majorEastAsia" w:cstheme="majorBidi"/>
          <w:szCs w:val="18"/>
        </w:rPr>
        <w:t xml:space="preserve">erleend. Onderzoeken waarvoor al subsidie is verleend worden </w:t>
      </w:r>
      <w:r>
        <w:rPr>
          <w:rFonts w:eastAsiaTheme="majorEastAsia" w:cstheme="majorBidi"/>
          <w:szCs w:val="18"/>
        </w:rPr>
        <w:t>volgens</w:t>
      </w:r>
      <w:r w:rsidRPr="00107AFF">
        <w:rPr>
          <w:rFonts w:eastAsiaTheme="majorEastAsia" w:cstheme="majorBidi"/>
          <w:szCs w:val="18"/>
        </w:rPr>
        <w:t xml:space="preserve"> planning afgerond.</w:t>
      </w:r>
      <w:r>
        <w:rPr>
          <w:rFonts w:eastAsiaTheme="majorEastAsia" w:cstheme="majorBidi"/>
          <w:szCs w:val="18"/>
        </w:rPr>
        <w:t xml:space="preserve"> Zo wordt een huidig onderzoek naar neusdruppels met stamcellen bij pasgeborenen met hersenschade nog afgerond. </w:t>
      </w:r>
    </w:p>
    <w:p w:rsidR="00083A0A" w:rsidP="00083A0A" w:rsidRDefault="00083A0A" w14:paraId="4242E02A" w14:textId="77777777">
      <w:pPr>
        <w:pStyle w:val="Geenafstand"/>
        <w:suppressAutoHyphens/>
        <w:spacing w:line="276" w:lineRule="auto"/>
        <w:rPr>
          <w:rFonts w:eastAsia="DejaVuSerifCondensed"/>
          <w:szCs w:val="18"/>
          <w:lang w:val="nl-NL"/>
        </w:rPr>
      </w:pPr>
    </w:p>
    <w:p w:rsidRPr="00107AFF" w:rsidR="00083A0A" w:rsidP="00083A0A" w:rsidRDefault="00083A0A" w14:paraId="1A9E7A76"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Vraag</w:t>
      </w:r>
      <w:r w:rsidRPr="00107AFF">
        <w:rPr>
          <w:rFonts w:eastAsia="DejaVuSerifCondensed"/>
          <w:szCs w:val="18"/>
          <w:lang w:val="nl-NL"/>
        </w:rPr>
        <w:tab/>
        <w:t>22</w:t>
      </w:r>
    </w:p>
    <w:p w:rsidRPr="00107AFF" w:rsidR="00083A0A" w:rsidP="00083A0A" w:rsidRDefault="00083A0A" w14:paraId="4CCCB41E"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Hoeveel subsidie kreeg het Nederlandse Jeugdinstituut (NJI) en Stichting LOC waardevolle zorg de</w:t>
      </w:r>
    </w:p>
    <w:p w:rsidRPr="00107AFF" w:rsidR="00083A0A" w:rsidP="00083A0A" w:rsidRDefault="00083A0A" w14:paraId="6426C607"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afgelopen jaren? Op welke manier is het doelmatig om €2 miljoen te korten op beiden? Ten koste van welke taken gaat dit?</w:t>
      </w:r>
    </w:p>
    <w:p w:rsidRPr="00107AFF" w:rsidR="00083A0A" w:rsidP="00083A0A" w:rsidRDefault="00083A0A" w14:paraId="3E87E04C" w14:textId="77777777">
      <w:pPr>
        <w:pStyle w:val="Geenafstand"/>
        <w:suppressAutoHyphens/>
        <w:spacing w:line="276" w:lineRule="auto"/>
        <w:rPr>
          <w:rFonts w:eastAsia="DejaVuSerifCondensed"/>
          <w:szCs w:val="18"/>
          <w:lang w:val="nl-NL"/>
        </w:rPr>
      </w:pPr>
    </w:p>
    <w:p w:rsidRPr="00107AFF" w:rsidR="00083A0A" w:rsidP="00083A0A" w:rsidRDefault="00083A0A" w14:paraId="7DB490B5" w14:textId="77777777">
      <w:pPr>
        <w:pStyle w:val="Geenafstand"/>
        <w:suppressAutoHyphens/>
        <w:spacing w:line="276" w:lineRule="auto"/>
        <w:rPr>
          <w:rFonts w:eastAsia="DejaVuSerifCondensed"/>
          <w:szCs w:val="18"/>
          <w:lang w:val="nl-NL"/>
        </w:rPr>
      </w:pPr>
      <w:r w:rsidRPr="00107AFF">
        <w:rPr>
          <w:rFonts w:eastAsia="DejaVuSerifCondensed"/>
          <w:szCs w:val="18"/>
          <w:lang w:val="nl-NL"/>
        </w:rPr>
        <w:t>Antwoord:</w:t>
      </w:r>
    </w:p>
    <w:p w:rsidR="00083A0A" w:rsidP="00083A0A" w:rsidRDefault="00083A0A" w14:paraId="13206C70" w14:textId="77777777">
      <w:pPr>
        <w:spacing w:line="276" w:lineRule="auto"/>
        <w:rPr>
          <w:rFonts w:eastAsiaTheme="majorEastAsia" w:cstheme="majorBidi"/>
          <w:szCs w:val="18"/>
        </w:rPr>
      </w:pPr>
      <w:r w:rsidRPr="00107AFF">
        <w:rPr>
          <w:rFonts w:eastAsiaTheme="majorEastAsia" w:cstheme="majorBidi"/>
          <w:szCs w:val="18"/>
        </w:rPr>
        <w:t>Stichting LOC en het Nederlands Jeugdinstituut (</w:t>
      </w:r>
      <w:proofErr w:type="spellStart"/>
      <w:r w:rsidRPr="00107AFF">
        <w:rPr>
          <w:rFonts w:eastAsiaTheme="majorEastAsia" w:cstheme="majorBidi"/>
          <w:szCs w:val="18"/>
        </w:rPr>
        <w:t>Nji</w:t>
      </w:r>
      <w:proofErr w:type="spellEnd"/>
      <w:r w:rsidRPr="00107AFF">
        <w:rPr>
          <w:rFonts w:eastAsiaTheme="majorEastAsia" w:cstheme="majorBidi"/>
          <w:szCs w:val="18"/>
        </w:rPr>
        <w:t>) kregen over de periode 2022 tot en met 2024 de volgende bedragen.</w:t>
      </w:r>
    </w:p>
    <w:p w:rsidRPr="00107AFF" w:rsidR="00083A0A" w:rsidP="00083A0A" w:rsidRDefault="00083A0A" w14:paraId="5DECC1C1" w14:textId="77777777">
      <w:pPr>
        <w:spacing w:line="276" w:lineRule="auto"/>
        <w:rPr>
          <w:rFonts w:eastAsiaTheme="majorEastAsia" w:cstheme="majorBidi"/>
          <w:szCs w:val="18"/>
        </w:rPr>
      </w:pPr>
    </w:p>
    <w:tbl>
      <w:tblPr>
        <w:tblW w:w="0" w:type="auto"/>
        <w:tblInd w:w="-8" w:type="dxa"/>
        <w:tblCellMar>
          <w:left w:w="0" w:type="dxa"/>
          <w:right w:w="0" w:type="dxa"/>
        </w:tblCellMar>
        <w:tblLook w:val="04A0" w:firstRow="1" w:lastRow="0" w:firstColumn="1" w:lastColumn="0" w:noHBand="0" w:noVBand="1"/>
      </w:tblPr>
      <w:tblGrid>
        <w:gridCol w:w="1647"/>
        <w:gridCol w:w="1960"/>
        <w:gridCol w:w="1960"/>
        <w:gridCol w:w="1960"/>
      </w:tblGrid>
      <w:tr w:rsidRPr="000E050E" w:rsidR="00083A0A" w:rsidTr="004D6EAD" w14:paraId="326EBFEA" w14:textId="77777777">
        <w:tc>
          <w:tcPr>
            <w:tcW w:w="20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404CA" w:rsidR="00083A0A" w:rsidP="004D6EAD" w:rsidRDefault="00083A0A" w14:paraId="5ED1E460" w14:textId="77777777">
            <w:pPr>
              <w:rPr>
                <w:rFonts w:eastAsiaTheme="majorEastAsia" w:cstheme="majorBidi"/>
                <w:sz w:val="16"/>
                <w:szCs w:val="16"/>
              </w:rPr>
            </w:pPr>
          </w:p>
        </w:tc>
        <w:tc>
          <w:tcPr>
            <w:tcW w:w="23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353319DB" w14:textId="77777777">
            <w:pPr>
              <w:rPr>
                <w:rFonts w:eastAsiaTheme="majorEastAsia" w:cstheme="majorBidi"/>
                <w:sz w:val="16"/>
                <w:szCs w:val="16"/>
              </w:rPr>
            </w:pPr>
            <w:r w:rsidRPr="007404CA">
              <w:rPr>
                <w:rFonts w:eastAsiaTheme="majorEastAsia" w:cstheme="majorBidi"/>
                <w:sz w:val="16"/>
                <w:szCs w:val="16"/>
              </w:rPr>
              <w:t>2022</w:t>
            </w:r>
          </w:p>
        </w:tc>
        <w:tc>
          <w:tcPr>
            <w:tcW w:w="23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0473BE61" w14:textId="77777777">
            <w:pPr>
              <w:rPr>
                <w:rFonts w:eastAsiaTheme="majorEastAsia" w:cstheme="majorBidi"/>
                <w:sz w:val="16"/>
                <w:szCs w:val="16"/>
              </w:rPr>
            </w:pPr>
            <w:r w:rsidRPr="007404CA">
              <w:rPr>
                <w:rFonts w:eastAsiaTheme="majorEastAsia" w:cstheme="majorBidi"/>
                <w:sz w:val="16"/>
                <w:szCs w:val="16"/>
              </w:rPr>
              <w:t>2023</w:t>
            </w:r>
          </w:p>
        </w:tc>
        <w:tc>
          <w:tcPr>
            <w:tcW w:w="23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675B3E37" w14:textId="77777777">
            <w:pPr>
              <w:rPr>
                <w:rFonts w:eastAsiaTheme="majorEastAsia" w:cstheme="majorBidi"/>
                <w:sz w:val="16"/>
                <w:szCs w:val="16"/>
              </w:rPr>
            </w:pPr>
            <w:r w:rsidRPr="007404CA">
              <w:rPr>
                <w:rFonts w:eastAsiaTheme="majorEastAsia" w:cstheme="majorBidi"/>
                <w:sz w:val="16"/>
                <w:szCs w:val="16"/>
              </w:rPr>
              <w:t>2024</w:t>
            </w:r>
          </w:p>
        </w:tc>
      </w:tr>
      <w:tr w:rsidRPr="000E050E" w:rsidR="00083A0A" w:rsidTr="004D6EAD" w14:paraId="0E2A12B9" w14:textId="77777777">
        <w:tc>
          <w:tcPr>
            <w:tcW w:w="20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5DC5381E" w14:textId="77777777">
            <w:pPr>
              <w:rPr>
                <w:rFonts w:eastAsiaTheme="majorEastAsia" w:cstheme="majorBidi"/>
                <w:sz w:val="16"/>
                <w:szCs w:val="16"/>
              </w:rPr>
            </w:pPr>
            <w:r w:rsidRPr="007404CA">
              <w:rPr>
                <w:rFonts w:eastAsiaTheme="majorEastAsia" w:cstheme="majorBidi"/>
                <w:sz w:val="16"/>
                <w:szCs w:val="16"/>
              </w:rPr>
              <w:t xml:space="preserve">Stichting Loc </w:t>
            </w:r>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7206B501" w14:textId="77777777">
            <w:pPr>
              <w:rPr>
                <w:rFonts w:eastAsiaTheme="majorEastAsia" w:cstheme="majorBidi"/>
                <w:sz w:val="16"/>
                <w:szCs w:val="16"/>
              </w:rPr>
            </w:pPr>
            <w:r w:rsidRPr="007404CA">
              <w:rPr>
                <w:rFonts w:eastAsiaTheme="majorEastAsia" w:cstheme="majorBidi"/>
                <w:sz w:val="16"/>
                <w:szCs w:val="16"/>
              </w:rPr>
              <w:t xml:space="preserve">€440.000 </w:t>
            </w:r>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065AECF7" w14:textId="77777777">
            <w:pPr>
              <w:rPr>
                <w:rFonts w:eastAsiaTheme="majorEastAsia" w:cstheme="majorBidi"/>
                <w:sz w:val="16"/>
                <w:szCs w:val="16"/>
              </w:rPr>
            </w:pPr>
            <w:r w:rsidRPr="007404CA">
              <w:rPr>
                <w:rFonts w:eastAsiaTheme="majorEastAsia" w:cstheme="majorBidi"/>
                <w:sz w:val="16"/>
                <w:szCs w:val="16"/>
              </w:rPr>
              <w:t>€446.000</w:t>
            </w:r>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69416E1C" w14:textId="77777777">
            <w:pPr>
              <w:rPr>
                <w:rFonts w:eastAsiaTheme="majorEastAsia" w:cstheme="majorBidi"/>
                <w:sz w:val="16"/>
                <w:szCs w:val="16"/>
              </w:rPr>
            </w:pPr>
            <w:r w:rsidRPr="007404CA">
              <w:rPr>
                <w:rFonts w:eastAsiaTheme="majorEastAsia" w:cstheme="majorBidi"/>
                <w:sz w:val="16"/>
                <w:szCs w:val="16"/>
              </w:rPr>
              <w:t>€447.600</w:t>
            </w:r>
          </w:p>
        </w:tc>
      </w:tr>
      <w:tr w:rsidRPr="000E050E" w:rsidR="00083A0A" w:rsidTr="004D6EAD" w14:paraId="05D84DEC" w14:textId="77777777">
        <w:tc>
          <w:tcPr>
            <w:tcW w:w="20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7F1D01EB" w14:textId="77777777">
            <w:pPr>
              <w:rPr>
                <w:rFonts w:eastAsiaTheme="majorEastAsia" w:cstheme="majorBidi"/>
                <w:sz w:val="16"/>
                <w:szCs w:val="16"/>
              </w:rPr>
            </w:pPr>
            <w:proofErr w:type="spellStart"/>
            <w:r w:rsidRPr="007404CA">
              <w:rPr>
                <w:rFonts w:eastAsiaTheme="majorEastAsia" w:cstheme="majorBidi"/>
                <w:sz w:val="16"/>
                <w:szCs w:val="16"/>
              </w:rPr>
              <w:t>Nji</w:t>
            </w:r>
            <w:proofErr w:type="spellEnd"/>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16DF95DA" w14:textId="77777777">
            <w:pPr>
              <w:rPr>
                <w:rFonts w:eastAsiaTheme="majorEastAsia" w:cstheme="majorBidi"/>
                <w:sz w:val="16"/>
                <w:szCs w:val="16"/>
              </w:rPr>
            </w:pPr>
            <w:r w:rsidRPr="007404CA">
              <w:rPr>
                <w:rFonts w:eastAsiaTheme="majorEastAsia" w:cstheme="majorBidi"/>
                <w:sz w:val="16"/>
                <w:szCs w:val="16"/>
              </w:rPr>
              <w:t>€11.000.000</w:t>
            </w:r>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1A847AE1" w14:textId="77777777">
            <w:pPr>
              <w:rPr>
                <w:rFonts w:eastAsiaTheme="majorEastAsia" w:cstheme="majorBidi"/>
                <w:sz w:val="16"/>
                <w:szCs w:val="16"/>
              </w:rPr>
            </w:pPr>
            <w:r w:rsidRPr="007404CA">
              <w:rPr>
                <w:rFonts w:eastAsiaTheme="majorEastAsia" w:cstheme="majorBidi"/>
                <w:sz w:val="16"/>
                <w:szCs w:val="16"/>
              </w:rPr>
              <w:t>€12.500.000</w:t>
            </w:r>
          </w:p>
        </w:tc>
        <w:tc>
          <w:tcPr>
            <w:tcW w:w="2349" w:type="dxa"/>
            <w:tcBorders>
              <w:top w:val="nil"/>
              <w:left w:val="nil"/>
              <w:bottom w:val="single" w:color="auto" w:sz="8" w:space="0"/>
              <w:right w:val="single" w:color="auto" w:sz="8" w:space="0"/>
            </w:tcBorders>
            <w:tcMar>
              <w:top w:w="0" w:type="dxa"/>
              <w:left w:w="108" w:type="dxa"/>
              <w:bottom w:w="0" w:type="dxa"/>
              <w:right w:w="108" w:type="dxa"/>
            </w:tcMar>
            <w:hideMark/>
          </w:tcPr>
          <w:p w:rsidRPr="007404CA" w:rsidR="00083A0A" w:rsidP="004D6EAD" w:rsidRDefault="00083A0A" w14:paraId="676AC36E" w14:textId="77777777">
            <w:pPr>
              <w:rPr>
                <w:rFonts w:eastAsiaTheme="majorEastAsia" w:cstheme="majorBidi"/>
                <w:sz w:val="16"/>
                <w:szCs w:val="16"/>
              </w:rPr>
            </w:pPr>
            <w:r w:rsidRPr="007404CA">
              <w:rPr>
                <w:rFonts w:eastAsiaTheme="majorEastAsia" w:cstheme="majorBidi"/>
                <w:sz w:val="16"/>
                <w:szCs w:val="16"/>
              </w:rPr>
              <w:t>€19.037.000</w:t>
            </w:r>
          </w:p>
        </w:tc>
      </w:tr>
    </w:tbl>
    <w:p w:rsidR="00083A0A" w:rsidP="00083A0A" w:rsidRDefault="00083A0A" w14:paraId="56320CFB" w14:textId="77777777">
      <w:pPr>
        <w:rPr>
          <w:rFonts w:eastAsiaTheme="majorEastAsia" w:cstheme="majorBidi"/>
          <w:szCs w:val="18"/>
        </w:rPr>
      </w:pPr>
    </w:p>
    <w:p w:rsidRPr="000C6799" w:rsidR="00083A0A" w:rsidP="00083A0A" w:rsidRDefault="00083A0A" w14:paraId="5928E681" w14:textId="77777777">
      <w:pPr>
        <w:rPr>
          <w:rFonts w:eastAsiaTheme="majorEastAsia" w:cstheme="majorBidi"/>
          <w:szCs w:val="18"/>
        </w:rPr>
      </w:pPr>
      <w:r w:rsidRPr="000C6799">
        <w:rPr>
          <w:rFonts w:eastAsiaTheme="majorEastAsia" w:cstheme="majorBidi"/>
          <w:szCs w:val="18"/>
        </w:rPr>
        <w:t xml:space="preserve">Het </w:t>
      </w:r>
      <w:proofErr w:type="spellStart"/>
      <w:r w:rsidRPr="000C6799">
        <w:rPr>
          <w:rFonts w:eastAsiaTheme="majorEastAsia" w:cstheme="majorBidi"/>
          <w:szCs w:val="18"/>
        </w:rPr>
        <w:t>Nji</w:t>
      </w:r>
      <w:proofErr w:type="spellEnd"/>
      <w:r w:rsidRPr="000C6799">
        <w:rPr>
          <w:rFonts w:eastAsiaTheme="majorEastAsia" w:cstheme="majorBidi"/>
          <w:szCs w:val="18"/>
        </w:rPr>
        <w:t xml:space="preserve"> kreeg in 2024 18 miljoen, hiervan is €</w:t>
      </w:r>
      <w:r>
        <w:rPr>
          <w:rFonts w:eastAsiaTheme="majorEastAsia" w:cstheme="majorBidi"/>
          <w:szCs w:val="18"/>
        </w:rPr>
        <w:t xml:space="preserve"> </w:t>
      </w:r>
      <w:r w:rsidRPr="000C6799">
        <w:rPr>
          <w:rFonts w:eastAsiaTheme="majorEastAsia" w:cstheme="majorBidi"/>
          <w:szCs w:val="18"/>
        </w:rPr>
        <w:t xml:space="preserve">6,7 miljoen euro bestemd voor de uitvoering van de Hervormingsagenda jeugd, op dit gedeelte wordt niet gekort. Gezamenlijk voor beide instellingen is er met deze taakstelling een korting van €1,7 miljoen euro ingeboekt. Per instelling is bekeken welke korting passend is. Beide organisaties zijn op de hoogte gesteld over de korting. Over welke specifieke taken dit gaat gaan we nog nader in gesprek met </w:t>
      </w:r>
      <w:proofErr w:type="spellStart"/>
      <w:r w:rsidRPr="000C6799">
        <w:rPr>
          <w:rFonts w:eastAsiaTheme="majorEastAsia" w:cstheme="majorBidi"/>
          <w:szCs w:val="18"/>
        </w:rPr>
        <w:t>NJi</w:t>
      </w:r>
      <w:proofErr w:type="spellEnd"/>
      <w:r w:rsidRPr="000C6799">
        <w:rPr>
          <w:rFonts w:eastAsiaTheme="majorEastAsia" w:cstheme="majorBidi"/>
          <w:szCs w:val="18"/>
        </w:rPr>
        <w:t xml:space="preserve"> en LOC.  </w:t>
      </w:r>
    </w:p>
    <w:p w:rsidR="00083A0A" w:rsidP="00083A0A" w:rsidRDefault="00083A0A" w14:paraId="111FBD3B" w14:textId="77777777">
      <w:pPr>
        <w:pStyle w:val="Geenafstand"/>
        <w:suppressAutoHyphens/>
        <w:spacing w:line="276" w:lineRule="auto"/>
        <w:rPr>
          <w:rFonts w:eastAsia="DejaVuSerifCondensed"/>
          <w:lang w:val="nl-NL"/>
        </w:rPr>
      </w:pPr>
    </w:p>
    <w:p w:rsidR="00083A0A" w:rsidP="00083A0A" w:rsidRDefault="00083A0A" w14:paraId="09AB3629"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r>
      <w:r w:rsidRPr="006829D4">
        <w:rPr>
          <w:rFonts w:eastAsia="DejaVuSerifCondensed"/>
          <w:lang w:val="nl-NL"/>
        </w:rPr>
        <w:t>23</w:t>
      </w:r>
    </w:p>
    <w:p w:rsidR="00083A0A" w:rsidP="00083A0A" w:rsidRDefault="00083A0A" w14:paraId="08497F71" w14:textId="77777777">
      <w:pPr>
        <w:pStyle w:val="Geenafstand"/>
        <w:suppressAutoHyphens/>
        <w:spacing w:line="276" w:lineRule="auto"/>
        <w:rPr>
          <w:rFonts w:eastAsia="DejaVuSerifCondensed"/>
          <w:lang w:val="nl-NL"/>
        </w:rPr>
      </w:pPr>
      <w:r w:rsidRPr="006829D4">
        <w:rPr>
          <w:rFonts w:eastAsia="DejaVuSerifCondensed"/>
          <w:lang w:val="nl-NL"/>
        </w:rPr>
        <w:t>Welke projecten en opdrachten zaten in de planning die door de circa €</w:t>
      </w:r>
      <w:r>
        <w:rPr>
          <w:rFonts w:eastAsia="DejaVuSerifCondensed"/>
          <w:lang w:val="nl-NL"/>
        </w:rPr>
        <w:t xml:space="preserve"> </w:t>
      </w:r>
      <w:r w:rsidRPr="006829D4">
        <w:rPr>
          <w:rFonts w:eastAsia="DejaVuSerifCondensed"/>
          <w:lang w:val="nl-NL"/>
        </w:rPr>
        <w:t>2 miljoen oplopend tot</w:t>
      </w:r>
      <w:r>
        <w:rPr>
          <w:rFonts w:eastAsia="DejaVuSerifCondensed"/>
          <w:lang w:val="nl-NL"/>
        </w:rPr>
        <w:t xml:space="preserve"> </w:t>
      </w:r>
      <w:r w:rsidRPr="006829D4">
        <w:rPr>
          <w:rFonts w:eastAsia="DejaVuSerifCondensed"/>
          <w:lang w:val="nl-NL"/>
        </w:rPr>
        <w:t>structureel circa €10 miljoen korting op de niet verplichte subsidie- en opdrachtenbudgetten Jeugd</w:t>
      </w:r>
      <w:r>
        <w:rPr>
          <w:rFonts w:eastAsia="DejaVuSerifCondensed"/>
          <w:lang w:val="nl-NL"/>
        </w:rPr>
        <w:t xml:space="preserve"> </w:t>
      </w:r>
      <w:r w:rsidRPr="006829D4">
        <w:rPr>
          <w:rFonts w:eastAsia="DejaVuSerifCondensed"/>
          <w:lang w:val="nl-NL"/>
        </w:rPr>
        <w:t>vanaf 2026 nu niet door kunnen gaan? In hoeverre raakt dit de afspraken van de Hervormingsagenda</w:t>
      </w:r>
      <w:r>
        <w:rPr>
          <w:rFonts w:eastAsia="DejaVuSerifCondensed"/>
          <w:lang w:val="nl-NL"/>
        </w:rPr>
        <w:t xml:space="preserve"> </w:t>
      </w:r>
      <w:r w:rsidRPr="006829D4">
        <w:rPr>
          <w:rFonts w:eastAsia="DejaVuSerifCondensed"/>
          <w:lang w:val="nl-NL"/>
        </w:rPr>
        <w:t>Jeugd?</w:t>
      </w:r>
    </w:p>
    <w:p w:rsidR="00083A0A" w:rsidP="00083A0A" w:rsidRDefault="00083A0A" w14:paraId="06AABC8A" w14:textId="77777777">
      <w:pPr>
        <w:pStyle w:val="Geenafstand"/>
        <w:suppressAutoHyphens/>
        <w:spacing w:line="276" w:lineRule="auto"/>
        <w:rPr>
          <w:rFonts w:eastAsia="DejaVuSerifCondensed"/>
          <w:lang w:val="nl-NL"/>
        </w:rPr>
      </w:pPr>
    </w:p>
    <w:p w:rsidR="00083A0A" w:rsidP="00083A0A" w:rsidRDefault="00083A0A" w14:paraId="5F0FAD3B" w14:textId="77777777">
      <w:pPr>
        <w:pStyle w:val="Geenafstand"/>
        <w:suppressAutoHyphens/>
        <w:spacing w:line="276" w:lineRule="auto"/>
        <w:rPr>
          <w:rFonts w:eastAsia="DejaVuSerifCondensed"/>
          <w:lang w:val="nl-NL"/>
        </w:rPr>
      </w:pPr>
      <w:r>
        <w:rPr>
          <w:rFonts w:eastAsia="DejaVuSerifCondensed"/>
          <w:lang w:val="nl-NL"/>
        </w:rPr>
        <w:t>Antwoord:</w:t>
      </w:r>
    </w:p>
    <w:p w:rsidR="00083A0A" w:rsidP="00083A0A" w:rsidRDefault="00083A0A" w14:paraId="7775ABFD" w14:textId="77777777">
      <w:pPr>
        <w:rPr>
          <w:rFonts w:eastAsiaTheme="majorEastAsia" w:cstheme="majorBidi"/>
          <w:szCs w:val="18"/>
        </w:rPr>
      </w:pPr>
      <w:r w:rsidRPr="007404CA">
        <w:rPr>
          <w:rFonts w:eastAsiaTheme="majorEastAsia" w:cstheme="majorBidi"/>
          <w:szCs w:val="18"/>
        </w:rPr>
        <w:t>Vanaf 2026 wordt het niet verplichte deel van het subsidie- en opdrachtenbudget gekort. Op het moment van inboeken van de taakstelling zijn hier nog geen verplichtingen voor aangegaan. Dit beperkt de ruimte, zeker vanaf 2028, om nieuwe regelingen, projectsubsidies en opdrachten in de toekomst te verstrekken. De middelen die reeds beschikbaar waren voor de uitvoering van de Hervormingsagenda zijn niet gekort met deze taakstelling.  </w:t>
      </w:r>
    </w:p>
    <w:p w:rsidR="00083A0A" w:rsidP="00083A0A" w:rsidRDefault="00083A0A" w14:paraId="7853F6E7" w14:textId="77777777">
      <w:pPr>
        <w:rPr>
          <w:rFonts w:eastAsia="DejaVuSerifCondensed"/>
        </w:rPr>
      </w:pPr>
    </w:p>
    <w:p w:rsidRPr="006829D4" w:rsidR="00083A0A" w:rsidP="00083A0A" w:rsidRDefault="00083A0A" w14:paraId="4833EEA2"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24</w:t>
      </w:r>
    </w:p>
    <w:p w:rsidR="00083A0A" w:rsidP="00083A0A" w:rsidRDefault="00083A0A" w14:paraId="0B569A4A" w14:textId="77777777">
      <w:pPr>
        <w:pStyle w:val="Geenafstand"/>
        <w:suppressAutoHyphens/>
        <w:spacing w:line="276" w:lineRule="auto"/>
        <w:rPr>
          <w:rFonts w:eastAsia="DejaVuSerifCondensed"/>
          <w:lang w:val="nl-NL"/>
        </w:rPr>
      </w:pPr>
      <w:r w:rsidRPr="006829D4">
        <w:rPr>
          <w:rFonts w:eastAsia="DejaVuSerifCondensed"/>
          <w:lang w:val="nl-NL"/>
        </w:rPr>
        <w:t>Hoeveel subsidie wordt er in de duurzaam maatschappelijk vastgoed (DUMAVA) regeling beschikbaar</w:t>
      </w:r>
      <w:r>
        <w:rPr>
          <w:rFonts w:eastAsia="DejaVuSerifCondensed"/>
          <w:lang w:val="nl-NL"/>
        </w:rPr>
        <w:t xml:space="preserve"> </w:t>
      </w:r>
      <w:r w:rsidRPr="006829D4">
        <w:rPr>
          <w:rFonts w:eastAsia="DejaVuSerifCondensed"/>
          <w:lang w:val="nl-NL"/>
        </w:rPr>
        <w:t>gesteld voor specifiek de verduurzaming van sportverenigingen?</w:t>
      </w:r>
    </w:p>
    <w:p w:rsidR="00083A0A" w:rsidP="00083A0A" w:rsidRDefault="00083A0A" w14:paraId="1469CFC5" w14:textId="77777777">
      <w:pPr>
        <w:pStyle w:val="Geenafstand"/>
        <w:suppressAutoHyphens/>
        <w:spacing w:line="276" w:lineRule="auto"/>
        <w:rPr>
          <w:rFonts w:eastAsia="DejaVuSerifCondensed"/>
          <w:lang w:val="nl-NL"/>
        </w:rPr>
      </w:pPr>
    </w:p>
    <w:p w:rsidR="00083A0A" w:rsidP="00083A0A" w:rsidRDefault="00083A0A" w14:paraId="3A546599" w14:textId="77777777">
      <w:pPr>
        <w:pStyle w:val="Geenafstand"/>
        <w:suppressAutoHyphens/>
        <w:spacing w:line="276" w:lineRule="auto"/>
        <w:rPr>
          <w:rFonts w:eastAsia="DejaVuSerifCondensed"/>
          <w:lang w:val="nl-NL"/>
        </w:rPr>
      </w:pPr>
      <w:r>
        <w:rPr>
          <w:rFonts w:eastAsia="DejaVuSerifCondensed"/>
          <w:lang w:val="nl-NL"/>
        </w:rPr>
        <w:t>Antwoord:</w:t>
      </w:r>
    </w:p>
    <w:p w:rsidRPr="007404CA" w:rsidR="00083A0A" w:rsidP="00083A0A" w:rsidRDefault="00083A0A" w14:paraId="52CA7ECA" w14:textId="77777777">
      <w:pPr>
        <w:rPr>
          <w:rFonts w:eastAsiaTheme="majorEastAsia" w:cstheme="majorBidi"/>
          <w:szCs w:val="18"/>
        </w:rPr>
      </w:pPr>
      <w:r w:rsidRPr="007404CA">
        <w:rPr>
          <w:rFonts w:eastAsiaTheme="majorEastAsia" w:cstheme="majorBidi"/>
          <w:szCs w:val="18"/>
        </w:rPr>
        <w:t xml:space="preserve">De </w:t>
      </w:r>
      <w:r>
        <w:rPr>
          <w:rFonts w:eastAsiaTheme="majorEastAsia" w:cstheme="majorBidi"/>
          <w:szCs w:val="18"/>
        </w:rPr>
        <w:t>regeling voor duurzaam maatschappelijk vastgoed (</w:t>
      </w:r>
      <w:r w:rsidRPr="007404CA">
        <w:rPr>
          <w:rFonts w:eastAsiaTheme="majorEastAsia" w:cstheme="majorBidi"/>
          <w:szCs w:val="18"/>
        </w:rPr>
        <w:t>DUMAVA</w:t>
      </w:r>
      <w:r>
        <w:rPr>
          <w:rFonts w:eastAsiaTheme="majorEastAsia" w:cstheme="majorBidi"/>
          <w:szCs w:val="18"/>
        </w:rPr>
        <w:t>)</w:t>
      </w:r>
      <w:r w:rsidRPr="007404CA">
        <w:rPr>
          <w:rFonts w:eastAsiaTheme="majorEastAsia" w:cstheme="majorBidi"/>
          <w:szCs w:val="18"/>
        </w:rPr>
        <w:t xml:space="preserve"> is een subsidieregeling voor al het maatschappelijk vastgoed in Nederland. Samen met het Ministerie van Volkshuisvesting en Ruimtelijke Ordening zorg ik ervoor dat sportverenigingen vanaf 1 april 2025 gebruik kunnen maken van deze regeling. Daarbij is 2025 een overgangsjaar, waarbij sportverenigingen voor verschillende maatregelen gebruik kunnen maken van zowel de BOSA als DUMAVA. Binnen </w:t>
      </w:r>
      <w:r>
        <w:rPr>
          <w:rFonts w:eastAsiaTheme="majorEastAsia" w:cstheme="majorBidi"/>
          <w:szCs w:val="18"/>
        </w:rPr>
        <w:t xml:space="preserve">de </w:t>
      </w:r>
      <w:r w:rsidRPr="007404CA">
        <w:rPr>
          <w:rFonts w:eastAsiaTheme="majorEastAsia" w:cstheme="majorBidi"/>
          <w:szCs w:val="18"/>
        </w:rPr>
        <w:t>DUMAVA is er geen geld geoormerkt voor sportverenigingen. Het zijn algemene middelen. Specifieke schotten zijn onwenselijk. Voor 2025 is er momenteel € 358 miljoen begroot voor de DUMAVA.</w:t>
      </w:r>
    </w:p>
    <w:p w:rsidR="00083A0A" w:rsidP="00083A0A" w:rsidRDefault="00083A0A" w14:paraId="3D6EEDEA" w14:textId="77777777">
      <w:pPr>
        <w:pStyle w:val="Geenafstand"/>
        <w:suppressAutoHyphens/>
        <w:spacing w:line="276" w:lineRule="auto"/>
        <w:rPr>
          <w:rFonts w:eastAsia="DejaVuSerifCondensed"/>
          <w:lang w:val="nl-NL"/>
        </w:rPr>
      </w:pPr>
    </w:p>
    <w:p w:rsidR="00083A0A" w:rsidP="00083A0A" w:rsidRDefault="00083A0A" w14:paraId="63A9FE60"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r>
      <w:r w:rsidRPr="006829D4">
        <w:rPr>
          <w:rFonts w:eastAsia="DejaVuSerifCondensed"/>
          <w:lang w:val="nl-NL"/>
        </w:rPr>
        <w:t>25</w:t>
      </w:r>
    </w:p>
    <w:p w:rsidRPr="006829D4" w:rsidR="00083A0A" w:rsidP="00083A0A" w:rsidRDefault="00083A0A" w14:paraId="0B9096F3" w14:textId="77777777">
      <w:pPr>
        <w:pStyle w:val="Geenafstand"/>
        <w:suppressAutoHyphens/>
        <w:spacing w:line="276" w:lineRule="auto"/>
        <w:rPr>
          <w:rFonts w:eastAsia="DejaVuSerifCondensed"/>
          <w:lang w:val="nl-NL"/>
        </w:rPr>
      </w:pPr>
      <w:r w:rsidRPr="006829D4">
        <w:rPr>
          <w:rFonts w:eastAsia="DejaVuSerifCondensed"/>
          <w:lang w:val="nl-NL"/>
        </w:rPr>
        <w:lastRenderedPageBreak/>
        <w:t>Hoe gaat u ervoor zorgen dat de nog niet ingewilligde Stimulering bouw en onderhoud van</w:t>
      </w:r>
      <w:r>
        <w:rPr>
          <w:rFonts w:eastAsia="DejaVuSerifCondensed"/>
          <w:lang w:val="nl-NL"/>
        </w:rPr>
        <w:t xml:space="preserve"> </w:t>
      </w:r>
      <w:proofErr w:type="spellStart"/>
      <w:r w:rsidRPr="006829D4">
        <w:rPr>
          <w:rFonts w:eastAsia="DejaVuSerifCondensed"/>
          <w:lang w:val="nl-NL"/>
        </w:rPr>
        <w:t>sportaccomodaties</w:t>
      </w:r>
      <w:proofErr w:type="spellEnd"/>
      <w:r w:rsidRPr="006829D4">
        <w:rPr>
          <w:rFonts w:eastAsia="DejaVuSerifCondensed"/>
          <w:lang w:val="nl-NL"/>
        </w:rPr>
        <w:t xml:space="preserve"> (BOSA) aanvragen bij de DUMAVA-regeling terecht komen, aangezien de</w:t>
      </w:r>
      <w:r>
        <w:rPr>
          <w:rFonts w:eastAsia="DejaVuSerifCondensed"/>
          <w:lang w:val="nl-NL"/>
        </w:rPr>
        <w:t xml:space="preserve"> </w:t>
      </w:r>
      <w:r w:rsidRPr="006829D4">
        <w:rPr>
          <w:rFonts w:eastAsia="DejaVuSerifCondensed"/>
          <w:lang w:val="nl-NL"/>
        </w:rPr>
        <w:t>DUMAVA-regeling op dit moment niet openstaat voor sportorganisaties?</w:t>
      </w:r>
    </w:p>
    <w:p w:rsidR="00083A0A" w:rsidP="00083A0A" w:rsidRDefault="00083A0A" w14:paraId="44FB953C" w14:textId="77777777">
      <w:pPr>
        <w:pStyle w:val="Geenafstand"/>
        <w:suppressAutoHyphens/>
        <w:spacing w:line="276" w:lineRule="auto"/>
        <w:rPr>
          <w:rFonts w:eastAsia="DejaVuSerifCondensed"/>
          <w:lang w:val="nl-NL"/>
        </w:rPr>
      </w:pPr>
    </w:p>
    <w:p w:rsidR="00083A0A" w:rsidP="00083A0A" w:rsidRDefault="00083A0A" w14:paraId="0298F80A" w14:textId="77777777">
      <w:pPr>
        <w:pStyle w:val="Geenafstand"/>
        <w:suppressAutoHyphens/>
        <w:spacing w:line="276" w:lineRule="auto"/>
        <w:rPr>
          <w:rFonts w:eastAsia="DejaVuSerifCondensed"/>
          <w:lang w:val="nl-NL"/>
        </w:rPr>
      </w:pPr>
      <w:r>
        <w:rPr>
          <w:rFonts w:eastAsia="DejaVuSerifCondensed"/>
          <w:lang w:val="nl-NL"/>
        </w:rPr>
        <w:t>Antwoord:</w:t>
      </w:r>
    </w:p>
    <w:p w:rsidRPr="007404CA" w:rsidR="00083A0A" w:rsidP="00083A0A" w:rsidRDefault="00083A0A" w14:paraId="417057EC" w14:textId="77777777">
      <w:pPr>
        <w:rPr>
          <w:rFonts w:eastAsiaTheme="majorEastAsia" w:cstheme="majorBidi"/>
          <w:szCs w:val="18"/>
        </w:rPr>
      </w:pPr>
      <w:r w:rsidRPr="007404CA">
        <w:rPr>
          <w:rFonts w:eastAsiaTheme="majorEastAsia" w:cstheme="majorBidi"/>
          <w:szCs w:val="18"/>
        </w:rPr>
        <w:t>Samen met het Ministerie van Volkshuisvesting en Ruimtelijke Ordening zorg ik</w:t>
      </w:r>
      <w:r>
        <w:rPr>
          <w:rFonts w:eastAsiaTheme="majorEastAsia" w:cstheme="majorBidi"/>
          <w:szCs w:val="18"/>
        </w:rPr>
        <w:t>, de staatssecretaris Jeugd, Preventie en Sport,</w:t>
      </w:r>
      <w:r w:rsidRPr="007404CA">
        <w:rPr>
          <w:rFonts w:eastAsiaTheme="majorEastAsia" w:cstheme="majorBidi"/>
          <w:szCs w:val="18"/>
        </w:rPr>
        <w:t xml:space="preserve"> ervoor dat sportverenigingen vanaf 1 april 2025 gebruik kunnen maken van deze regeling. Hiervoor wordt momenteel een wijzigingsregeling opgesteld om dit juridisch ook mogelijk te maken. Verenigingen met een niet ingewilligde BOSA-aanvraag kunnen volgend jaar een nieuwe aanvraag indienen bij DUMAVA.</w:t>
      </w:r>
    </w:p>
    <w:p w:rsidR="00083A0A" w:rsidP="00083A0A" w:rsidRDefault="00083A0A" w14:paraId="0DE9CCBC" w14:textId="77777777">
      <w:pPr>
        <w:pStyle w:val="Geenafstand"/>
        <w:suppressAutoHyphens/>
        <w:spacing w:line="276" w:lineRule="auto"/>
        <w:rPr>
          <w:rFonts w:eastAsia="DejaVuSerifCondensed"/>
          <w:lang w:val="nl-NL"/>
        </w:rPr>
      </w:pPr>
    </w:p>
    <w:p w:rsidR="00083A0A" w:rsidP="00083A0A" w:rsidRDefault="00083A0A" w14:paraId="5D60042A"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26</w:t>
      </w:r>
    </w:p>
    <w:p w:rsidR="00083A0A" w:rsidP="00083A0A" w:rsidRDefault="00083A0A" w14:paraId="478C9E1E" w14:textId="77777777">
      <w:pPr>
        <w:pStyle w:val="Geenafstand"/>
        <w:suppressAutoHyphens/>
        <w:spacing w:line="276" w:lineRule="auto"/>
        <w:rPr>
          <w:rFonts w:eastAsia="DejaVuSerifCondensed"/>
          <w:lang w:val="nl-NL"/>
        </w:rPr>
      </w:pPr>
      <w:r w:rsidRPr="006829D4">
        <w:rPr>
          <w:rFonts w:eastAsia="DejaVuSerifCondensed"/>
          <w:lang w:val="nl-NL"/>
        </w:rPr>
        <w:t>Hoeveel sportverenigingen kunnen er de komende jaren verduurzaamd worden met hulp van de</w:t>
      </w:r>
      <w:r>
        <w:rPr>
          <w:rFonts w:eastAsia="DejaVuSerifCondensed"/>
          <w:lang w:val="nl-NL"/>
        </w:rPr>
        <w:t xml:space="preserve"> </w:t>
      </w:r>
      <w:r w:rsidRPr="006829D4">
        <w:rPr>
          <w:rFonts w:eastAsia="DejaVuSerifCondensed"/>
          <w:lang w:val="nl-NL"/>
        </w:rPr>
        <w:t>BOSA-subsidie, als we uitgaan van de gemiddelde hoogte van aanvragen uit het verleden?</w:t>
      </w:r>
    </w:p>
    <w:p w:rsidR="00083A0A" w:rsidP="00083A0A" w:rsidRDefault="00083A0A" w14:paraId="789ABD16" w14:textId="77777777">
      <w:pPr>
        <w:pStyle w:val="Geenafstand"/>
        <w:suppressAutoHyphens/>
        <w:spacing w:line="276" w:lineRule="auto"/>
        <w:rPr>
          <w:rFonts w:eastAsia="DejaVuSerifCondensed"/>
          <w:lang w:val="nl-NL"/>
        </w:rPr>
      </w:pPr>
    </w:p>
    <w:p w:rsidR="00083A0A" w:rsidP="00083A0A" w:rsidRDefault="00083A0A" w14:paraId="6354ED2D" w14:textId="77777777">
      <w:pPr>
        <w:pStyle w:val="Geenafstand"/>
        <w:suppressAutoHyphens/>
        <w:spacing w:line="276" w:lineRule="auto"/>
        <w:rPr>
          <w:rFonts w:eastAsia="DejaVuSerifCondensed"/>
          <w:lang w:val="nl-NL"/>
        </w:rPr>
      </w:pPr>
      <w:r>
        <w:rPr>
          <w:rFonts w:eastAsia="DejaVuSerifCondensed"/>
          <w:lang w:val="nl-NL"/>
        </w:rPr>
        <w:t>Antwoord:</w:t>
      </w:r>
    </w:p>
    <w:p w:rsidRPr="007404CA" w:rsidR="00083A0A" w:rsidP="00083A0A" w:rsidRDefault="00083A0A" w14:paraId="4C1BBEAC" w14:textId="77777777">
      <w:pPr>
        <w:rPr>
          <w:rFonts w:eastAsiaTheme="majorEastAsia" w:cstheme="majorBidi"/>
          <w:szCs w:val="18"/>
        </w:rPr>
      </w:pPr>
      <w:r w:rsidRPr="007404CA">
        <w:rPr>
          <w:rFonts w:eastAsiaTheme="majorEastAsia" w:cstheme="majorBidi"/>
          <w:szCs w:val="18"/>
        </w:rPr>
        <w:t>Allereerst moet ik</w:t>
      </w:r>
      <w:r>
        <w:rPr>
          <w:rFonts w:eastAsiaTheme="majorEastAsia" w:cstheme="majorBidi"/>
          <w:szCs w:val="18"/>
        </w:rPr>
        <w:t>, de staatssecretaris Jeugd, Preventie en Sport,</w:t>
      </w:r>
      <w:r w:rsidRPr="007404CA">
        <w:rPr>
          <w:rFonts w:eastAsiaTheme="majorEastAsia" w:cstheme="majorBidi"/>
          <w:szCs w:val="18"/>
        </w:rPr>
        <w:t xml:space="preserve"> benadrukken dat het moeilijk is om hier exacte aantallen aan te koppelen, vanwege alle variabelen binnen de regeling. Bijvoorbeeld dat verenigingen meermaals een aanvraag kunnen indienen. </w:t>
      </w:r>
    </w:p>
    <w:p w:rsidRPr="007404CA" w:rsidR="00083A0A" w:rsidP="00083A0A" w:rsidRDefault="00083A0A" w14:paraId="5F6EB8D4" w14:textId="77777777">
      <w:pPr>
        <w:rPr>
          <w:rFonts w:eastAsiaTheme="majorEastAsia" w:cstheme="majorBidi"/>
          <w:szCs w:val="18"/>
        </w:rPr>
      </w:pPr>
      <w:r w:rsidRPr="007404CA">
        <w:rPr>
          <w:rFonts w:eastAsiaTheme="majorEastAsia" w:cstheme="majorBidi"/>
          <w:szCs w:val="18"/>
        </w:rPr>
        <w:t xml:space="preserve">Voor 2025 is een budget van circa € 74 miljoen beschikbaar. Over de jaren heen kan ik grofweg concluderen dat 1/3 van dit bedrag naar verduurzamingsmaatregelen gaat. Dit betekent dat in 2025 een bedrag van circa € 24,5 miljoen uit de BOSA regeling gebruikt wordt voor verduurzamingsmaatregelen. </w:t>
      </w:r>
    </w:p>
    <w:p w:rsidRPr="007404CA" w:rsidR="00083A0A" w:rsidP="00083A0A" w:rsidRDefault="00083A0A" w14:paraId="35B58FE2" w14:textId="77777777">
      <w:pPr>
        <w:rPr>
          <w:rFonts w:eastAsiaTheme="majorEastAsia" w:cstheme="majorBidi"/>
          <w:szCs w:val="18"/>
        </w:rPr>
      </w:pPr>
      <w:r w:rsidRPr="007404CA">
        <w:rPr>
          <w:rFonts w:eastAsiaTheme="majorEastAsia" w:cstheme="majorBidi"/>
          <w:szCs w:val="18"/>
        </w:rPr>
        <w:t>Concluderend is de verwachting dat in 2025 circa 900 sportverenigingen voor een totaal bedrag van circa € 24,5 miljoen verduurzamingsmaatregelen nemen. Voor de periode vanaf 2026 onderzoek ik de mogelijkheid de verduurzaming van sportverenigingen volledig bij DUMAVA te beleggen.</w:t>
      </w:r>
    </w:p>
    <w:p w:rsidR="00083A0A" w:rsidP="00083A0A" w:rsidRDefault="00083A0A" w14:paraId="115D960A" w14:textId="77777777">
      <w:pPr>
        <w:rPr>
          <w:rFonts w:eastAsia="DejaVuSerifCondensed"/>
        </w:rPr>
      </w:pPr>
    </w:p>
    <w:p w:rsidRPr="006829D4" w:rsidR="00083A0A" w:rsidP="00083A0A" w:rsidRDefault="00083A0A" w14:paraId="4E51B54E" w14:textId="77777777">
      <w:pPr>
        <w:rPr>
          <w:rFonts w:eastAsia="DejaVuSerifCondensed"/>
        </w:rPr>
      </w:pPr>
      <w:r>
        <w:rPr>
          <w:rFonts w:eastAsia="DejaVuSerifCondensed"/>
        </w:rPr>
        <w:t>Vraag</w:t>
      </w:r>
      <w:r>
        <w:rPr>
          <w:rFonts w:eastAsia="DejaVuSerifCondensed"/>
        </w:rPr>
        <w:tab/>
        <w:t>27</w:t>
      </w:r>
    </w:p>
    <w:p w:rsidR="00083A0A" w:rsidP="00083A0A" w:rsidRDefault="00083A0A" w14:paraId="2FA5499A" w14:textId="77777777">
      <w:pPr>
        <w:pStyle w:val="Geenafstand"/>
        <w:suppressAutoHyphens/>
        <w:spacing w:line="276" w:lineRule="auto"/>
        <w:rPr>
          <w:rFonts w:eastAsia="DejaVuSerifCondensed"/>
          <w:lang w:val="nl-NL"/>
        </w:rPr>
      </w:pPr>
      <w:r w:rsidRPr="006829D4">
        <w:rPr>
          <w:rFonts w:eastAsia="DejaVuSerifCondensed"/>
          <w:lang w:val="nl-NL"/>
        </w:rPr>
        <w:t xml:space="preserve">Wat bedoelt u precies met de </w:t>
      </w:r>
      <w:proofErr w:type="spellStart"/>
      <w:r w:rsidRPr="006829D4">
        <w:rPr>
          <w:rFonts w:eastAsia="DejaVuSerifCondensed"/>
          <w:lang w:val="nl-NL"/>
        </w:rPr>
        <w:t>zinsnee</w:t>
      </w:r>
      <w:proofErr w:type="spellEnd"/>
      <w:r w:rsidRPr="006829D4">
        <w:rPr>
          <w:rFonts w:eastAsia="DejaVuSerifCondensed"/>
          <w:lang w:val="nl-NL"/>
        </w:rPr>
        <w:t xml:space="preserve"> dat de bezuiniging van €5 miljoen op onderzoek en innovatie</w:t>
      </w:r>
      <w:r>
        <w:rPr>
          <w:rFonts w:eastAsia="DejaVuSerifCondensed"/>
          <w:lang w:val="nl-NL"/>
        </w:rPr>
        <w:t xml:space="preserve"> </w:t>
      </w:r>
      <w:r w:rsidRPr="006829D4">
        <w:rPr>
          <w:rFonts w:eastAsia="DejaVuSerifCondensed"/>
          <w:lang w:val="nl-NL"/>
        </w:rPr>
        <w:t>voor de sport de sport ‘in de basis niet raakt'?</w:t>
      </w:r>
    </w:p>
    <w:p w:rsidR="00083A0A" w:rsidP="00083A0A" w:rsidRDefault="00083A0A" w14:paraId="730571BC" w14:textId="77777777">
      <w:pPr>
        <w:pStyle w:val="Geenafstand"/>
        <w:suppressAutoHyphens/>
        <w:spacing w:line="276" w:lineRule="auto"/>
        <w:rPr>
          <w:rFonts w:eastAsia="DejaVuSerifCondensed"/>
          <w:lang w:val="nl-NL"/>
        </w:rPr>
      </w:pPr>
    </w:p>
    <w:p w:rsidR="00083A0A" w:rsidP="00083A0A" w:rsidRDefault="00083A0A" w14:paraId="32E91C81" w14:textId="77777777">
      <w:pPr>
        <w:pStyle w:val="Geenafstand"/>
        <w:suppressAutoHyphens/>
        <w:spacing w:line="276" w:lineRule="auto"/>
        <w:rPr>
          <w:rFonts w:eastAsia="DejaVuSerifCondensed"/>
          <w:lang w:val="nl-NL"/>
        </w:rPr>
      </w:pPr>
      <w:r>
        <w:rPr>
          <w:rFonts w:eastAsia="DejaVuSerifCondensed"/>
          <w:lang w:val="nl-NL"/>
        </w:rPr>
        <w:t>Antwoord:</w:t>
      </w:r>
    </w:p>
    <w:p w:rsidRPr="007404CA" w:rsidR="00083A0A" w:rsidP="00083A0A" w:rsidRDefault="00083A0A" w14:paraId="33F74739" w14:textId="77777777">
      <w:pPr>
        <w:rPr>
          <w:rFonts w:eastAsiaTheme="majorEastAsia" w:cstheme="majorBidi"/>
          <w:szCs w:val="18"/>
        </w:rPr>
      </w:pPr>
      <w:r w:rsidRPr="007404CA">
        <w:rPr>
          <w:rFonts w:eastAsiaTheme="majorEastAsia" w:cstheme="majorBidi"/>
          <w:szCs w:val="18"/>
        </w:rPr>
        <w:t>Deze middelen worden ingezet om onderzoek te doen, professionals te ondersteunen met kennis of om innovaties in de sport te ontwikkelen. Deze middelen worden niet ingezet ten behoeve van ondersteuning van sportverenigingen en -clubs of ten behoeve van het ondersteunen van mensen om te gaan of blijven sporten of bewegen. Zo worden subsidies aan bijvoorbeeld Jeugdfonds Sport en Cultuur en Fonds Gehandicaptensport Nederland niet geraakt.</w:t>
      </w:r>
    </w:p>
    <w:p w:rsidR="00083A0A" w:rsidP="00083A0A" w:rsidRDefault="00083A0A" w14:paraId="30741EB0" w14:textId="77777777">
      <w:pPr>
        <w:pStyle w:val="Geenafstand"/>
        <w:suppressAutoHyphens/>
        <w:spacing w:line="276" w:lineRule="auto"/>
        <w:rPr>
          <w:rFonts w:eastAsia="DejaVuSerifCondensed"/>
          <w:lang w:val="nl-NL"/>
        </w:rPr>
      </w:pPr>
    </w:p>
    <w:p w:rsidR="00083A0A" w:rsidP="00083A0A" w:rsidRDefault="00083A0A" w14:paraId="71CA1CA0"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28</w:t>
      </w:r>
    </w:p>
    <w:p w:rsidR="00083A0A" w:rsidP="00083A0A" w:rsidRDefault="00083A0A" w14:paraId="71B92C65" w14:textId="77777777">
      <w:pPr>
        <w:pStyle w:val="Geenafstand"/>
        <w:suppressAutoHyphens/>
        <w:spacing w:line="276" w:lineRule="auto"/>
        <w:rPr>
          <w:rFonts w:eastAsia="DejaVuSerifCondensed"/>
          <w:lang w:val="nl-NL"/>
        </w:rPr>
      </w:pPr>
      <w:r w:rsidRPr="006829D4">
        <w:rPr>
          <w:rFonts w:eastAsia="DejaVuSerifCondensed"/>
          <w:lang w:val="nl-NL"/>
        </w:rPr>
        <w:t>Welke specifieke maatregelen worden geschrapt met de €10 miljoen bezuiniging op het specifieke</w:t>
      </w:r>
      <w:r>
        <w:rPr>
          <w:rFonts w:eastAsia="DejaVuSerifCondensed"/>
          <w:lang w:val="nl-NL"/>
        </w:rPr>
        <w:t xml:space="preserve"> </w:t>
      </w:r>
      <w:r w:rsidRPr="006829D4">
        <w:rPr>
          <w:rFonts w:eastAsia="DejaVuSerifCondensed"/>
          <w:lang w:val="nl-NL"/>
        </w:rPr>
        <w:t>uitkering (SPUK) Sportakkoord 2?</w:t>
      </w:r>
    </w:p>
    <w:p w:rsidR="00083A0A" w:rsidP="00083A0A" w:rsidRDefault="00083A0A" w14:paraId="67E90BB6" w14:textId="77777777">
      <w:pPr>
        <w:pStyle w:val="Geenafstand"/>
        <w:suppressAutoHyphens/>
        <w:spacing w:line="276" w:lineRule="auto"/>
        <w:rPr>
          <w:rFonts w:eastAsia="DejaVuSerifCondensed"/>
          <w:lang w:val="nl-NL"/>
        </w:rPr>
      </w:pPr>
    </w:p>
    <w:p w:rsidR="00083A0A" w:rsidP="00083A0A" w:rsidRDefault="00083A0A" w14:paraId="72732A0B" w14:textId="77777777">
      <w:pPr>
        <w:pStyle w:val="Geenafstand"/>
        <w:suppressAutoHyphens/>
        <w:spacing w:line="276" w:lineRule="auto"/>
        <w:rPr>
          <w:rFonts w:eastAsia="DejaVuSerifCondensed"/>
          <w:lang w:val="nl-NL"/>
        </w:rPr>
      </w:pPr>
      <w:r>
        <w:rPr>
          <w:rFonts w:eastAsia="DejaVuSerifCondensed"/>
          <w:lang w:val="nl-NL"/>
        </w:rPr>
        <w:t>Antwoord:</w:t>
      </w:r>
    </w:p>
    <w:p w:rsidRPr="007404CA" w:rsidR="00083A0A" w:rsidP="00083A0A" w:rsidRDefault="00083A0A" w14:paraId="4720DB89" w14:textId="77777777">
      <w:pPr>
        <w:rPr>
          <w:rFonts w:eastAsiaTheme="majorEastAsia" w:cstheme="majorBidi"/>
          <w:szCs w:val="18"/>
        </w:rPr>
      </w:pPr>
      <w:r w:rsidRPr="007404CA">
        <w:rPr>
          <w:rFonts w:eastAsiaTheme="majorEastAsia" w:cstheme="majorBidi"/>
          <w:szCs w:val="18"/>
        </w:rPr>
        <w:t>De SPUK Sportakkoord zijn middelen voor gemeenten om uitvoering te geven aan het Sportakkoord. De bestuurlijke afspraken met gemeenten en de sportsector met betrekking tot het Sportakkoord lopen tot eind 2026. De middelen worden geschrapt vanaf 2027. Zoals afgesproken met de Tweede Kamer willen we deze eerst goed evalueren, alvorens we besluiten hoe en op welke manier we hier mee doorgaan. Er is nu nog geen vervolg vastgesteld voor het Sportakkoord.</w:t>
      </w:r>
    </w:p>
    <w:p w:rsidR="00083A0A" w:rsidP="00083A0A" w:rsidRDefault="00083A0A" w14:paraId="5292F434" w14:textId="77777777">
      <w:pPr>
        <w:pStyle w:val="Geenafstand"/>
        <w:suppressAutoHyphens/>
        <w:spacing w:line="276" w:lineRule="auto"/>
        <w:rPr>
          <w:rFonts w:eastAsia="DejaVuSerifCondensed"/>
          <w:lang w:val="nl-NL"/>
        </w:rPr>
      </w:pPr>
    </w:p>
    <w:p w:rsidR="00083A0A" w:rsidP="00083A0A" w:rsidRDefault="00083A0A" w14:paraId="6AAF5C22"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29</w:t>
      </w:r>
    </w:p>
    <w:p w:rsidR="00083A0A" w:rsidP="00083A0A" w:rsidRDefault="00083A0A" w14:paraId="646E7E1C" w14:textId="77777777">
      <w:pPr>
        <w:pStyle w:val="Geenafstand"/>
        <w:suppressAutoHyphens/>
        <w:spacing w:line="276" w:lineRule="auto"/>
        <w:rPr>
          <w:rFonts w:eastAsia="DejaVuSerifCondensed"/>
          <w:lang w:val="nl-NL"/>
        </w:rPr>
      </w:pPr>
      <w:r w:rsidRPr="006829D4">
        <w:rPr>
          <w:rFonts w:eastAsia="DejaVuSerifCondensed"/>
          <w:lang w:val="nl-NL"/>
        </w:rPr>
        <w:t>Welke specifieke taken gaat NOC-NSF loslaten naar aanleiding van de €900.000 bezuiniging?</w:t>
      </w:r>
    </w:p>
    <w:p w:rsidR="00083A0A" w:rsidP="00083A0A" w:rsidRDefault="00083A0A" w14:paraId="7DE8D860" w14:textId="77777777">
      <w:pPr>
        <w:pStyle w:val="Geenafstand"/>
        <w:suppressAutoHyphens/>
        <w:spacing w:line="276" w:lineRule="auto"/>
        <w:rPr>
          <w:rFonts w:eastAsia="DejaVuSerifCondensed"/>
          <w:lang w:val="nl-NL"/>
        </w:rPr>
      </w:pPr>
      <w:r>
        <w:rPr>
          <w:rFonts w:eastAsia="DejaVuSerifCondensed"/>
          <w:lang w:val="nl-NL"/>
        </w:rPr>
        <w:t>Antwoord:</w:t>
      </w:r>
    </w:p>
    <w:p w:rsidRPr="00382253" w:rsidR="00083A0A" w:rsidP="00083A0A" w:rsidRDefault="00083A0A" w14:paraId="68C1E3C4" w14:textId="77777777">
      <w:pPr>
        <w:rPr>
          <w:rFonts w:eastAsiaTheme="majorEastAsia" w:cstheme="majorBidi"/>
          <w:szCs w:val="18"/>
        </w:rPr>
      </w:pPr>
      <w:r w:rsidRPr="00382253">
        <w:rPr>
          <w:rFonts w:eastAsiaTheme="majorEastAsia" w:cstheme="majorBidi"/>
          <w:szCs w:val="18"/>
        </w:rPr>
        <w:t>De bezuiniging van €900.000 in de sportsector gaat in vanaf 2027. De projectsubsidie aan NOC*NSF, waarmee de afspraken die in Sportakkoord II zijn gemaakt worden uitgevoerd, is dan afgelopen. In de lopende subsidie afspraken hoeft NOC*NSF niet te bezuinigen. Op basis van het dan in te zetten beleid worden nieuwe afspraken gemaakt met de sportsector waar eventuele middelen voor worden ingezet.</w:t>
      </w:r>
    </w:p>
    <w:p w:rsidR="00083A0A" w:rsidP="00083A0A" w:rsidRDefault="00083A0A" w14:paraId="714BD102" w14:textId="77777777">
      <w:pPr>
        <w:spacing w:line="276" w:lineRule="auto"/>
        <w:rPr>
          <w:rFonts w:eastAsiaTheme="majorEastAsia" w:cstheme="majorBidi"/>
          <w:szCs w:val="18"/>
        </w:rPr>
      </w:pPr>
    </w:p>
    <w:p w:rsidRPr="00382253" w:rsidR="00083A0A" w:rsidP="00083A0A" w:rsidRDefault="00083A0A" w14:paraId="049E2EC5" w14:textId="77777777">
      <w:pPr>
        <w:pStyle w:val="Geenafstand"/>
        <w:suppressAutoHyphens/>
        <w:spacing w:line="276" w:lineRule="auto"/>
        <w:rPr>
          <w:rFonts w:eastAsia="DejaVuSerifCondensed"/>
          <w:lang w:val="nl-NL"/>
        </w:rPr>
      </w:pPr>
      <w:r w:rsidRPr="00382253">
        <w:rPr>
          <w:rFonts w:eastAsia="DejaVuSerifCondensed"/>
          <w:lang w:val="nl-NL"/>
        </w:rPr>
        <w:t>Vraag</w:t>
      </w:r>
      <w:r w:rsidRPr="00382253">
        <w:rPr>
          <w:rFonts w:eastAsia="DejaVuSerifCondensed"/>
          <w:lang w:val="nl-NL"/>
        </w:rPr>
        <w:tab/>
        <w:t>30</w:t>
      </w:r>
    </w:p>
    <w:p w:rsidR="00083A0A" w:rsidP="00083A0A" w:rsidRDefault="00083A0A" w14:paraId="4374E48D" w14:textId="77777777">
      <w:pPr>
        <w:pStyle w:val="Geenafstand"/>
        <w:suppressAutoHyphens/>
        <w:spacing w:line="276" w:lineRule="auto"/>
        <w:rPr>
          <w:rFonts w:eastAsia="DejaVuSerifCondensed"/>
          <w:lang w:val="nl-NL"/>
        </w:rPr>
      </w:pPr>
      <w:r w:rsidRPr="006829D4">
        <w:rPr>
          <w:rFonts w:eastAsia="DejaVuSerifCondensed"/>
          <w:lang w:val="nl-NL"/>
        </w:rPr>
        <w:t xml:space="preserve">Ten koste van wat gaat de bezuiniging van €400.000 op het </w:t>
      </w:r>
      <w:proofErr w:type="spellStart"/>
      <w:r w:rsidRPr="006829D4">
        <w:rPr>
          <w:rFonts w:eastAsia="DejaVuSerifCondensed"/>
          <w:lang w:val="nl-NL"/>
        </w:rPr>
        <w:t>Mulier</w:t>
      </w:r>
      <w:proofErr w:type="spellEnd"/>
      <w:r w:rsidRPr="006829D4">
        <w:rPr>
          <w:rFonts w:eastAsia="DejaVuSerifCondensed"/>
          <w:lang w:val="nl-NL"/>
        </w:rPr>
        <w:t xml:space="preserve"> instituut? Gaan andere instituten</w:t>
      </w:r>
      <w:r>
        <w:rPr>
          <w:rFonts w:eastAsia="DejaVuSerifCondensed"/>
          <w:lang w:val="nl-NL"/>
        </w:rPr>
        <w:t xml:space="preserve"> </w:t>
      </w:r>
      <w:r w:rsidRPr="006829D4">
        <w:rPr>
          <w:rFonts w:eastAsia="DejaVuSerifCondensed"/>
          <w:lang w:val="nl-NL"/>
        </w:rPr>
        <w:t>het sportonderzoek overnemen?</w:t>
      </w:r>
    </w:p>
    <w:p w:rsidR="00083A0A" w:rsidP="00083A0A" w:rsidRDefault="00083A0A" w14:paraId="7670DCC5" w14:textId="77777777">
      <w:pPr>
        <w:pStyle w:val="Geenafstand"/>
        <w:suppressAutoHyphens/>
        <w:rPr>
          <w:lang w:val="nl-NL"/>
        </w:rPr>
      </w:pPr>
    </w:p>
    <w:p w:rsidR="00083A0A" w:rsidP="00083A0A" w:rsidRDefault="00083A0A" w14:paraId="62D272D1" w14:textId="77777777">
      <w:pPr>
        <w:pStyle w:val="Geenafstand"/>
        <w:suppressAutoHyphens/>
        <w:spacing w:line="276" w:lineRule="auto"/>
        <w:rPr>
          <w:rFonts w:eastAsia="DejaVuSerifCondensed"/>
          <w:lang w:val="nl-NL"/>
        </w:rPr>
      </w:pPr>
      <w:r>
        <w:rPr>
          <w:rFonts w:eastAsia="DejaVuSerifCondensed"/>
          <w:lang w:val="nl-NL"/>
        </w:rPr>
        <w:t>Antwoord:</w:t>
      </w:r>
    </w:p>
    <w:p w:rsidRPr="00382253" w:rsidR="00083A0A" w:rsidP="00083A0A" w:rsidRDefault="00083A0A" w14:paraId="3E8BA281" w14:textId="77777777">
      <w:pPr>
        <w:pStyle w:val="Geenafstand"/>
        <w:suppressAutoHyphens/>
        <w:spacing w:line="276" w:lineRule="auto"/>
        <w:rPr>
          <w:rFonts w:eastAsia="DejaVuSerifCondensed"/>
          <w:lang w:val="nl-NL"/>
        </w:rPr>
      </w:pPr>
      <w:r w:rsidRPr="00382253">
        <w:rPr>
          <w:rFonts w:eastAsia="DejaVuSerifCondensed"/>
          <w:lang w:val="nl-NL"/>
        </w:rPr>
        <w:t xml:space="preserve">Er kunnen nu nog geen uitspraken worden gedaan wat er niet of minder onderzocht gaat worden door </w:t>
      </w:r>
      <w:proofErr w:type="spellStart"/>
      <w:r w:rsidRPr="00382253">
        <w:rPr>
          <w:rFonts w:eastAsia="DejaVuSerifCondensed"/>
          <w:lang w:val="nl-NL"/>
        </w:rPr>
        <w:t>Mulier</w:t>
      </w:r>
      <w:proofErr w:type="spellEnd"/>
      <w:r w:rsidRPr="00382253">
        <w:rPr>
          <w:rFonts w:eastAsia="DejaVuSerifCondensed"/>
          <w:lang w:val="nl-NL"/>
        </w:rPr>
        <w:t xml:space="preserve"> Instituut. In 2025 wordt er op de instellingssubsidie van </w:t>
      </w:r>
      <w:proofErr w:type="spellStart"/>
      <w:r w:rsidRPr="00382253">
        <w:rPr>
          <w:rFonts w:eastAsia="DejaVuSerifCondensed"/>
          <w:lang w:val="nl-NL"/>
        </w:rPr>
        <w:t>Mulier</w:t>
      </w:r>
      <w:proofErr w:type="spellEnd"/>
      <w:r w:rsidRPr="00382253">
        <w:rPr>
          <w:rFonts w:eastAsia="DejaVuSerifCondensed"/>
          <w:lang w:val="nl-NL"/>
        </w:rPr>
        <w:t xml:space="preserve"> Instituut nog geen bezuiniging gedaan. De bezuiniging van €366.000 zal ingaan per 2026. In het eerste kwartaal van 2025 worden met </w:t>
      </w:r>
      <w:proofErr w:type="spellStart"/>
      <w:r w:rsidRPr="00382253">
        <w:rPr>
          <w:rFonts w:eastAsia="DejaVuSerifCondensed"/>
          <w:lang w:val="nl-NL"/>
        </w:rPr>
        <w:t>Mulier</w:t>
      </w:r>
      <w:proofErr w:type="spellEnd"/>
      <w:r w:rsidRPr="00382253">
        <w:rPr>
          <w:rFonts w:eastAsia="DejaVuSerifCondensed"/>
          <w:lang w:val="nl-NL"/>
        </w:rPr>
        <w:t xml:space="preserve"> Instituut besproken gemaakt welke onderzoeken wel, en welke onderzoeken niet zullen worden opgepakt. De kennisinstituten zijn momenteel met elkaar in overleg over hoe de onderzoeken zo goed mogelijk op elkaar kunnen worden afgestemd. </w:t>
      </w:r>
      <w:r>
        <w:rPr>
          <w:rFonts w:eastAsia="DejaVuSerifCondensed"/>
          <w:lang w:val="nl-NL"/>
        </w:rPr>
        <w:t>Als staatssecretaris Jeugd, Preventie en Sport</w:t>
      </w:r>
      <w:r w:rsidRPr="00382253">
        <w:rPr>
          <w:rFonts w:eastAsia="DejaVuSerifCondensed"/>
          <w:lang w:val="nl-NL"/>
        </w:rPr>
        <w:t xml:space="preserve"> zal </w:t>
      </w:r>
      <w:r>
        <w:rPr>
          <w:rFonts w:eastAsia="DejaVuSerifCondensed"/>
          <w:lang w:val="nl-NL"/>
        </w:rPr>
        <w:t xml:space="preserve">ik </w:t>
      </w:r>
      <w:r w:rsidRPr="00382253">
        <w:rPr>
          <w:rFonts w:eastAsia="DejaVuSerifCondensed"/>
          <w:lang w:val="nl-NL"/>
        </w:rPr>
        <w:t>daar ook bij aansluiten.</w:t>
      </w:r>
    </w:p>
    <w:p w:rsidR="00083A0A" w:rsidP="00083A0A" w:rsidRDefault="00083A0A" w14:paraId="0DE5FBE5" w14:textId="77777777">
      <w:pPr>
        <w:pStyle w:val="Geenafstand"/>
        <w:suppressAutoHyphens/>
        <w:spacing w:line="276" w:lineRule="auto"/>
        <w:rPr>
          <w:rFonts w:eastAsia="DejaVuSerifCondensed"/>
          <w:lang w:val="nl-NL"/>
        </w:rPr>
      </w:pPr>
    </w:p>
    <w:p w:rsidR="00083A0A" w:rsidP="00083A0A" w:rsidRDefault="00083A0A" w14:paraId="4AFD292D"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 xml:space="preserve">31 </w:t>
      </w:r>
    </w:p>
    <w:p w:rsidR="00083A0A" w:rsidP="00083A0A" w:rsidRDefault="00083A0A" w14:paraId="6D218AE5" w14:textId="77777777">
      <w:pPr>
        <w:pStyle w:val="Geenafstand"/>
        <w:suppressAutoHyphens/>
        <w:spacing w:line="276" w:lineRule="auto"/>
        <w:rPr>
          <w:rFonts w:eastAsia="DejaVuSerifCondensed"/>
          <w:lang w:val="nl-NL"/>
        </w:rPr>
      </w:pPr>
      <w:r w:rsidRPr="006829D4">
        <w:rPr>
          <w:rFonts w:eastAsia="DejaVuSerifCondensed"/>
          <w:lang w:val="nl-NL"/>
        </w:rPr>
        <w:t>Waar landt de generieke apparaatstelling? Om hoeveel fte gaat het? Kan dit uitgesplitst worden per</w:t>
      </w:r>
      <w:r>
        <w:rPr>
          <w:rFonts w:eastAsia="DejaVuSerifCondensed"/>
          <w:lang w:val="nl-NL"/>
        </w:rPr>
        <w:t xml:space="preserve"> </w:t>
      </w:r>
      <w:r w:rsidRPr="006829D4">
        <w:rPr>
          <w:rFonts w:eastAsia="DejaVuSerifCondensed"/>
          <w:lang w:val="nl-NL"/>
        </w:rPr>
        <w:t>uitvoeringsorganisatie? Hoe verhoudt zich dit tot eerdere berichtgeving dat de taakstelling op het</w:t>
      </w:r>
      <w:r>
        <w:rPr>
          <w:rFonts w:eastAsia="DejaVuSerifCondensed"/>
          <w:lang w:val="nl-NL"/>
        </w:rPr>
        <w:t xml:space="preserve"> </w:t>
      </w:r>
      <w:r w:rsidRPr="006829D4">
        <w:rPr>
          <w:rFonts w:eastAsia="DejaVuSerifCondensed"/>
          <w:lang w:val="nl-NL"/>
        </w:rPr>
        <w:t>ambtenarenapparaat niet bij uitvoeringsorganisaties terecht zou komen?</w:t>
      </w:r>
    </w:p>
    <w:p w:rsidR="00083A0A" w:rsidP="00083A0A" w:rsidRDefault="00083A0A" w14:paraId="3ADA7471" w14:textId="77777777">
      <w:pPr>
        <w:pStyle w:val="Geenafstand"/>
        <w:suppressAutoHyphens/>
        <w:spacing w:line="276" w:lineRule="auto"/>
        <w:rPr>
          <w:rFonts w:eastAsia="DejaVuSerifCondensed"/>
          <w:lang w:val="nl-NL"/>
        </w:rPr>
      </w:pPr>
    </w:p>
    <w:p w:rsidR="00083A0A" w:rsidP="00083A0A" w:rsidRDefault="00083A0A" w14:paraId="69B1F9A0" w14:textId="77777777">
      <w:pPr>
        <w:pStyle w:val="Geenafstand"/>
        <w:suppressAutoHyphens/>
        <w:spacing w:line="276" w:lineRule="auto"/>
        <w:rPr>
          <w:rFonts w:eastAsia="DejaVuSerifCondensed"/>
          <w:lang w:val="nl-NL"/>
        </w:rPr>
      </w:pPr>
      <w:r>
        <w:rPr>
          <w:rFonts w:eastAsia="DejaVuSerifCondensed"/>
          <w:lang w:val="nl-NL"/>
        </w:rPr>
        <w:t>Antwoord:</w:t>
      </w:r>
    </w:p>
    <w:p w:rsidRPr="00382253" w:rsidR="00083A0A" w:rsidP="00083A0A" w:rsidRDefault="00083A0A" w14:paraId="6BC26283" w14:textId="77777777">
      <w:pPr>
        <w:rPr>
          <w:rFonts w:eastAsiaTheme="majorEastAsia" w:cstheme="majorBidi"/>
          <w:szCs w:val="18"/>
        </w:rPr>
      </w:pPr>
      <w:r w:rsidRPr="00382253">
        <w:rPr>
          <w:rFonts w:eastAsiaTheme="majorEastAsia" w:cstheme="majorBidi"/>
          <w:szCs w:val="18"/>
        </w:rPr>
        <w:lastRenderedPageBreak/>
        <w:t>In antwoorden op Kamervragen is door de minister van Binnenlandse Zaken aangegeven dat de generieke taakstelling op het apparaat een budgettaire taakstelling is.</w:t>
      </w:r>
      <w:r>
        <w:rPr>
          <w:rStyle w:val="Voetnootmarkering"/>
          <w:rFonts w:eastAsiaTheme="majorEastAsia" w:cstheme="majorBidi"/>
          <w:szCs w:val="18"/>
        </w:rPr>
        <w:footnoteReference w:id="1"/>
      </w:r>
      <w:r w:rsidRPr="00382253">
        <w:rPr>
          <w:rFonts w:eastAsiaTheme="majorEastAsia" w:cstheme="majorBidi"/>
          <w:szCs w:val="18"/>
        </w:rPr>
        <w:t xml:space="preserve"> Daarbij is gesteld dat de ministers zelf</w:t>
      </w:r>
      <w:r>
        <w:rPr>
          <w:rFonts w:eastAsiaTheme="majorEastAsia" w:cstheme="majorBidi"/>
          <w:szCs w:val="18"/>
        </w:rPr>
        <w:t xml:space="preserve"> over</w:t>
      </w:r>
      <w:r w:rsidRPr="00382253">
        <w:rPr>
          <w:rFonts w:eastAsiaTheme="majorEastAsia" w:cstheme="majorBidi"/>
          <w:szCs w:val="18"/>
        </w:rPr>
        <w:t xml:space="preserve"> de invulling </w:t>
      </w:r>
      <w:r>
        <w:rPr>
          <w:rFonts w:eastAsiaTheme="majorEastAsia" w:cstheme="majorBidi"/>
          <w:szCs w:val="18"/>
        </w:rPr>
        <w:t xml:space="preserve">gaan. </w:t>
      </w:r>
      <w:r w:rsidRPr="00382253">
        <w:rPr>
          <w:rFonts w:eastAsiaTheme="majorEastAsia" w:cstheme="majorBidi"/>
          <w:szCs w:val="18"/>
        </w:rPr>
        <w:t>Dit maakt dat ook de uitvoering onderdeel kan uitmaken van de taakstelling. De generieke taakstelling is toegepast voor het gehele VWS-concern. Dit is in 2025 een taakstelling van 1%, oplopend naar 2,5% in 2029 en structureel. Het toepassen van de generieke taakstelling is in lijn met de invulling van de taakstelling bij andere departementen.</w:t>
      </w:r>
    </w:p>
    <w:p w:rsidR="00083A0A" w:rsidP="00083A0A" w:rsidRDefault="00083A0A" w14:paraId="406F9B29" w14:textId="77777777">
      <w:pPr>
        <w:rPr>
          <w:rFonts w:eastAsiaTheme="majorEastAsia" w:cstheme="majorBidi"/>
          <w:szCs w:val="18"/>
        </w:rPr>
      </w:pPr>
    </w:p>
    <w:p w:rsidR="00083A0A" w:rsidP="00083A0A" w:rsidRDefault="00083A0A" w14:paraId="14A047D1" w14:textId="77777777">
      <w:pPr>
        <w:rPr>
          <w:rFonts w:eastAsiaTheme="majorEastAsia" w:cstheme="majorBidi"/>
          <w:szCs w:val="18"/>
        </w:rPr>
      </w:pPr>
    </w:p>
    <w:p w:rsidR="00083A0A" w:rsidP="00083A0A" w:rsidRDefault="00083A0A" w14:paraId="63EFE12F" w14:textId="77777777">
      <w:pPr>
        <w:rPr>
          <w:rFonts w:eastAsiaTheme="majorEastAsia" w:cstheme="majorBidi"/>
          <w:szCs w:val="18"/>
        </w:rPr>
      </w:pPr>
    </w:p>
    <w:p w:rsidRPr="00382253" w:rsidR="00083A0A" w:rsidP="00083A0A" w:rsidRDefault="00083A0A" w14:paraId="049EB420" w14:textId="77777777">
      <w:pPr>
        <w:rPr>
          <w:rFonts w:eastAsiaTheme="majorEastAsia" w:cstheme="majorBidi"/>
          <w:szCs w:val="18"/>
        </w:rPr>
      </w:pPr>
      <w:r w:rsidRPr="00382253">
        <w:rPr>
          <w:rFonts w:eastAsiaTheme="majorEastAsia" w:cstheme="majorBidi"/>
          <w:szCs w:val="18"/>
        </w:rPr>
        <w:t>In onderstaande tabel is een uitsplitsing gegeven van de generieke taakstelling per uitvoeringsorganisatie:</w:t>
      </w:r>
    </w:p>
    <w:tbl>
      <w:tblPr>
        <w:tblW w:w="7778" w:type="dxa"/>
        <w:tblInd w:w="70" w:type="dxa"/>
        <w:tblCellMar>
          <w:left w:w="70" w:type="dxa"/>
          <w:right w:w="70" w:type="dxa"/>
        </w:tblCellMar>
        <w:tblLook w:val="04A0" w:firstRow="1" w:lastRow="0" w:firstColumn="1" w:lastColumn="0" w:noHBand="0" w:noVBand="1"/>
      </w:tblPr>
      <w:tblGrid>
        <w:gridCol w:w="3474"/>
        <w:gridCol w:w="851"/>
        <w:gridCol w:w="850"/>
        <w:gridCol w:w="789"/>
        <w:gridCol w:w="907"/>
        <w:gridCol w:w="907"/>
      </w:tblGrid>
      <w:tr w:rsidRPr="001034A5" w:rsidR="00083A0A" w:rsidTr="004D6EAD" w14:paraId="5DCBCFEA" w14:textId="77777777">
        <w:trPr>
          <w:trHeight w:val="300"/>
        </w:trPr>
        <w:tc>
          <w:tcPr>
            <w:tcW w:w="3474" w:type="dxa"/>
            <w:tcBorders>
              <w:top w:val="nil"/>
              <w:left w:val="nil"/>
              <w:bottom w:val="nil"/>
              <w:right w:val="nil"/>
            </w:tcBorders>
            <w:shd w:val="clear" w:color="000000" w:fill="203764"/>
            <w:noWrap/>
            <w:vAlign w:val="center"/>
            <w:hideMark/>
          </w:tcPr>
          <w:p w:rsidRPr="001034A5" w:rsidR="00083A0A" w:rsidP="004D6EAD" w:rsidRDefault="00083A0A" w14:paraId="5770E041" w14:textId="77777777">
            <w:pPr>
              <w:spacing w:line="240" w:lineRule="auto"/>
              <w:rPr>
                <w:rFonts w:eastAsia="Times New Roman" w:cs="Calibri"/>
                <w:b/>
                <w:bCs/>
                <w:color w:val="FFFFFF"/>
                <w:sz w:val="16"/>
                <w:szCs w:val="16"/>
                <w:lang w:eastAsia="nl-NL"/>
              </w:rPr>
            </w:pPr>
            <w:r>
              <w:rPr>
                <w:rFonts w:cs="Calibri"/>
                <w:b/>
                <w:bCs/>
                <w:color w:val="FFFFFF"/>
                <w:sz w:val="16"/>
                <w:szCs w:val="16"/>
              </w:rPr>
              <w:t>Bedrag in mln.</w:t>
            </w:r>
          </w:p>
        </w:tc>
        <w:tc>
          <w:tcPr>
            <w:tcW w:w="851" w:type="dxa"/>
            <w:tcBorders>
              <w:top w:val="nil"/>
              <w:left w:val="nil"/>
              <w:bottom w:val="single" w:color="8EA9DB" w:sz="4" w:space="0"/>
              <w:right w:val="nil"/>
            </w:tcBorders>
            <w:shd w:val="clear" w:color="D9E1F2" w:fill="203764"/>
            <w:noWrap/>
            <w:vAlign w:val="center"/>
            <w:hideMark/>
          </w:tcPr>
          <w:p w:rsidRPr="001034A5" w:rsidR="00083A0A" w:rsidP="004D6EAD" w:rsidRDefault="00083A0A" w14:paraId="2057F309" w14:textId="77777777">
            <w:pPr>
              <w:spacing w:line="240" w:lineRule="auto"/>
              <w:rPr>
                <w:rFonts w:eastAsia="Times New Roman" w:cs="Calibri"/>
                <w:b/>
                <w:bCs/>
                <w:color w:val="FFFFFF"/>
                <w:sz w:val="16"/>
                <w:szCs w:val="16"/>
                <w:lang w:eastAsia="nl-NL"/>
              </w:rPr>
            </w:pPr>
            <w:r>
              <w:rPr>
                <w:rFonts w:cs="Calibri"/>
                <w:b/>
                <w:bCs/>
                <w:color w:val="FFFFFF"/>
                <w:sz w:val="16"/>
                <w:szCs w:val="16"/>
              </w:rPr>
              <w:t>2025</w:t>
            </w:r>
          </w:p>
        </w:tc>
        <w:tc>
          <w:tcPr>
            <w:tcW w:w="850" w:type="dxa"/>
            <w:tcBorders>
              <w:top w:val="nil"/>
              <w:left w:val="nil"/>
              <w:bottom w:val="single" w:color="8EA9DB" w:sz="4" w:space="0"/>
              <w:right w:val="nil"/>
            </w:tcBorders>
            <w:shd w:val="clear" w:color="D9E1F2" w:fill="203764"/>
            <w:noWrap/>
            <w:vAlign w:val="center"/>
            <w:hideMark/>
          </w:tcPr>
          <w:p w:rsidRPr="001034A5" w:rsidR="00083A0A" w:rsidP="004D6EAD" w:rsidRDefault="00083A0A" w14:paraId="69135671" w14:textId="77777777">
            <w:pPr>
              <w:spacing w:line="240" w:lineRule="auto"/>
              <w:rPr>
                <w:rFonts w:eastAsia="Times New Roman" w:cs="Calibri"/>
                <w:b/>
                <w:bCs/>
                <w:color w:val="FFFFFF"/>
                <w:sz w:val="16"/>
                <w:szCs w:val="16"/>
                <w:lang w:eastAsia="nl-NL"/>
              </w:rPr>
            </w:pPr>
            <w:r>
              <w:rPr>
                <w:rFonts w:cs="Calibri"/>
                <w:b/>
                <w:bCs/>
                <w:color w:val="FFFFFF"/>
                <w:sz w:val="16"/>
                <w:szCs w:val="16"/>
              </w:rPr>
              <w:t>2026</w:t>
            </w:r>
          </w:p>
        </w:tc>
        <w:tc>
          <w:tcPr>
            <w:tcW w:w="789" w:type="dxa"/>
            <w:tcBorders>
              <w:top w:val="nil"/>
              <w:left w:val="nil"/>
              <w:bottom w:val="single" w:color="8EA9DB" w:sz="4" w:space="0"/>
              <w:right w:val="nil"/>
            </w:tcBorders>
            <w:shd w:val="clear" w:color="D9E1F2" w:fill="203764"/>
            <w:noWrap/>
            <w:vAlign w:val="center"/>
            <w:hideMark/>
          </w:tcPr>
          <w:p w:rsidRPr="001034A5" w:rsidR="00083A0A" w:rsidP="004D6EAD" w:rsidRDefault="00083A0A" w14:paraId="25E81368" w14:textId="77777777">
            <w:pPr>
              <w:spacing w:line="240" w:lineRule="auto"/>
              <w:rPr>
                <w:rFonts w:eastAsia="Times New Roman" w:cs="Calibri"/>
                <w:b/>
                <w:bCs/>
                <w:color w:val="FFFFFF"/>
                <w:sz w:val="16"/>
                <w:szCs w:val="16"/>
                <w:lang w:eastAsia="nl-NL"/>
              </w:rPr>
            </w:pPr>
            <w:r>
              <w:rPr>
                <w:rFonts w:cs="Calibri"/>
                <w:b/>
                <w:bCs/>
                <w:color w:val="FFFFFF"/>
                <w:sz w:val="16"/>
                <w:szCs w:val="16"/>
              </w:rPr>
              <w:t>2027</w:t>
            </w:r>
          </w:p>
        </w:tc>
        <w:tc>
          <w:tcPr>
            <w:tcW w:w="907" w:type="dxa"/>
            <w:tcBorders>
              <w:top w:val="nil"/>
              <w:left w:val="nil"/>
              <w:bottom w:val="single" w:color="8EA9DB" w:sz="4" w:space="0"/>
              <w:right w:val="nil"/>
            </w:tcBorders>
            <w:shd w:val="clear" w:color="D9E1F2" w:fill="203764"/>
            <w:noWrap/>
            <w:vAlign w:val="center"/>
            <w:hideMark/>
          </w:tcPr>
          <w:p w:rsidRPr="001034A5" w:rsidR="00083A0A" w:rsidP="004D6EAD" w:rsidRDefault="00083A0A" w14:paraId="533D34E7" w14:textId="77777777">
            <w:pPr>
              <w:spacing w:line="240" w:lineRule="auto"/>
              <w:rPr>
                <w:rFonts w:eastAsia="Times New Roman" w:cs="Calibri"/>
                <w:b/>
                <w:bCs/>
                <w:color w:val="FFFFFF"/>
                <w:sz w:val="16"/>
                <w:szCs w:val="16"/>
                <w:lang w:eastAsia="nl-NL"/>
              </w:rPr>
            </w:pPr>
            <w:r>
              <w:rPr>
                <w:rFonts w:cs="Calibri"/>
                <w:b/>
                <w:bCs/>
                <w:color w:val="FFFFFF"/>
                <w:sz w:val="16"/>
                <w:szCs w:val="16"/>
              </w:rPr>
              <w:t>2028</w:t>
            </w:r>
          </w:p>
        </w:tc>
        <w:tc>
          <w:tcPr>
            <w:tcW w:w="907" w:type="dxa"/>
            <w:tcBorders>
              <w:top w:val="nil"/>
              <w:left w:val="nil"/>
              <w:bottom w:val="single" w:color="8EA9DB" w:sz="4" w:space="0"/>
              <w:right w:val="nil"/>
            </w:tcBorders>
            <w:shd w:val="clear" w:color="D9E1F2" w:fill="203764"/>
            <w:noWrap/>
            <w:vAlign w:val="center"/>
            <w:hideMark/>
          </w:tcPr>
          <w:p w:rsidRPr="001034A5" w:rsidR="00083A0A" w:rsidP="004D6EAD" w:rsidRDefault="00083A0A" w14:paraId="6E235DA1" w14:textId="77777777">
            <w:pPr>
              <w:spacing w:line="240" w:lineRule="auto"/>
              <w:rPr>
                <w:rFonts w:eastAsia="Times New Roman" w:cs="Calibri"/>
                <w:b/>
                <w:bCs/>
                <w:color w:val="FFFFFF"/>
                <w:sz w:val="16"/>
                <w:szCs w:val="16"/>
                <w:lang w:eastAsia="nl-NL"/>
              </w:rPr>
            </w:pPr>
            <w:r>
              <w:rPr>
                <w:rFonts w:cs="Calibri"/>
                <w:b/>
                <w:bCs/>
                <w:color w:val="FFFFFF"/>
                <w:sz w:val="16"/>
                <w:szCs w:val="16"/>
              </w:rPr>
              <w:t>2029</w:t>
            </w:r>
          </w:p>
        </w:tc>
      </w:tr>
      <w:tr w:rsidRPr="001034A5" w:rsidR="00083A0A" w:rsidTr="004D6EAD" w14:paraId="558E14BC" w14:textId="77777777">
        <w:trPr>
          <w:trHeight w:val="276"/>
        </w:trPr>
        <w:tc>
          <w:tcPr>
            <w:tcW w:w="3474"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6EF42988"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 Generieke Taakstelling</w:t>
            </w:r>
          </w:p>
        </w:tc>
        <w:tc>
          <w:tcPr>
            <w:tcW w:w="851"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27EA4B55" w14:textId="77777777">
            <w:pPr>
              <w:spacing w:line="240" w:lineRule="auto"/>
              <w:rPr>
                <w:rFonts w:eastAsia="Times New Roman" w:cs="Arial"/>
                <w:color w:val="000000"/>
                <w:sz w:val="16"/>
                <w:szCs w:val="16"/>
                <w:lang w:eastAsia="nl-NL"/>
              </w:rPr>
            </w:pPr>
            <w:r>
              <w:rPr>
                <w:rFonts w:cs="Calibri"/>
                <w:color w:val="000000"/>
                <w:sz w:val="16"/>
                <w:szCs w:val="16"/>
              </w:rPr>
              <w:t>-1%</w:t>
            </w:r>
          </w:p>
        </w:tc>
        <w:tc>
          <w:tcPr>
            <w:tcW w:w="850"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6258B858" w14:textId="77777777">
            <w:pPr>
              <w:spacing w:line="240" w:lineRule="auto"/>
              <w:rPr>
                <w:rFonts w:eastAsia="Times New Roman" w:cs="Arial"/>
                <w:color w:val="000000"/>
                <w:sz w:val="16"/>
                <w:szCs w:val="16"/>
                <w:lang w:eastAsia="nl-NL"/>
              </w:rPr>
            </w:pPr>
            <w:r>
              <w:rPr>
                <w:rFonts w:cs="Calibri"/>
                <w:color w:val="000000"/>
                <w:sz w:val="16"/>
                <w:szCs w:val="16"/>
              </w:rPr>
              <w:t>-1%</w:t>
            </w:r>
          </w:p>
        </w:tc>
        <w:tc>
          <w:tcPr>
            <w:tcW w:w="789"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00A4F837"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907"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53D30D34" w14:textId="77777777">
            <w:pPr>
              <w:spacing w:line="240" w:lineRule="auto"/>
              <w:rPr>
                <w:rFonts w:eastAsia="Times New Roman" w:cs="Arial"/>
                <w:color w:val="000000"/>
                <w:sz w:val="16"/>
                <w:szCs w:val="16"/>
                <w:lang w:eastAsia="nl-NL"/>
              </w:rPr>
            </w:pPr>
            <w:r>
              <w:rPr>
                <w:rFonts w:cs="Calibri"/>
                <w:color w:val="000000"/>
                <w:sz w:val="16"/>
                <w:szCs w:val="16"/>
              </w:rPr>
              <w:t>-2%</w:t>
            </w:r>
          </w:p>
        </w:tc>
        <w:tc>
          <w:tcPr>
            <w:tcW w:w="907" w:type="dxa"/>
            <w:tcBorders>
              <w:top w:val="single" w:color="auto" w:sz="8" w:space="0"/>
              <w:left w:val="nil"/>
              <w:bottom w:val="single" w:color="8EAADB" w:sz="4" w:space="0"/>
              <w:right w:val="nil"/>
            </w:tcBorders>
            <w:shd w:val="clear" w:color="auto" w:fill="auto"/>
            <w:noWrap/>
            <w:vAlign w:val="center"/>
            <w:hideMark/>
          </w:tcPr>
          <w:p w:rsidRPr="001034A5" w:rsidR="00083A0A" w:rsidP="004D6EAD" w:rsidRDefault="00083A0A" w14:paraId="62AE58B5" w14:textId="77777777">
            <w:pPr>
              <w:spacing w:line="240" w:lineRule="auto"/>
              <w:rPr>
                <w:rFonts w:eastAsia="Times New Roman" w:cs="Arial"/>
                <w:color w:val="000000"/>
                <w:sz w:val="16"/>
                <w:szCs w:val="16"/>
                <w:lang w:eastAsia="nl-NL"/>
              </w:rPr>
            </w:pPr>
            <w:r>
              <w:rPr>
                <w:rFonts w:cs="Calibri"/>
                <w:color w:val="000000"/>
                <w:sz w:val="16"/>
                <w:szCs w:val="16"/>
              </w:rPr>
              <w:t>-2,5%</w:t>
            </w:r>
          </w:p>
        </w:tc>
      </w:tr>
      <w:tr w:rsidRPr="001034A5" w:rsidR="00083A0A" w:rsidTr="004D6EAD" w14:paraId="53DD93AE" w14:textId="77777777">
        <w:trPr>
          <w:trHeight w:val="276"/>
        </w:trPr>
        <w:tc>
          <w:tcPr>
            <w:tcW w:w="3474"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46BE493D" w14:textId="77777777">
            <w:pPr>
              <w:spacing w:line="240" w:lineRule="auto"/>
              <w:rPr>
                <w:rFonts w:eastAsia="Times New Roman" w:cs="Arial"/>
                <w:b/>
                <w:bCs/>
                <w:color w:val="000000"/>
                <w:sz w:val="16"/>
                <w:szCs w:val="16"/>
                <w:lang w:eastAsia="nl-NL"/>
              </w:rPr>
            </w:pPr>
            <w:r>
              <w:rPr>
                <w:rFonts w:cs="Calibri"/>
                <w:b/>
                <w:bCs/>
                <w:color w:val="000000"/>
                <w:sz w:val="16"/>
                <w:szCs w:val="16"/>
              </w:rPr>
              <w:t>Totale generieke taakstelling uitvoering</w:t>
            </w:r>
          </w:p>
        </w:tc>
        <w:tc>
          <w:tcPr>
            <w:tcW w:w="851"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0D0C73F1" w14:textId="77777777">
            <w:pPr>
              <w:spacing w:line="240" w:lineRule="auto"/>
              <w:rPr>
                <w:rFonts w:eastAsia="Times New Roman" w:cs="Arial"/>
                <w:b/>
                <w:bCs/>
                <w:color w:val="000000"/>
                <w:sz w:val="16"/>
                <w:szCs w:val="16"/>
                <w:lang w:eastAsia="nl-NL"/>
              </w:rPr>
            </w:pPr>
            <w:r>
              <w:rPr>
                <w:rFonts w:cs="Calibri"/>
                <w:b/>
                <w:bCs/>
                <w:color w:val="000000"/>
                <w:sz w:val="16"/>
                <w:szCs w:val="16"/>
              </w:rPr>
              <w:t>-14,1</w:t>
            </w:r>
          </w:p>
        </w:tc>
        <w:tc>
          <w:tcPr>
            <w:tcW w:w="850"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31C8A2AB" w14:textId="77777777">
            <w:pPr>
              <w:spacing w:line="240" w:lineRule="auto"/>
              <w:rPr>
                <w:rFonts w:eastAsia="Times New Roman" w:cs="Arial"/>
                <w:b/>
                <w:bCs/>
                <w:color w:val="000000"/>
                <w:sz w:val="16"/>
                <w:szCs w:val="16"/>
                <w:lang w:eastAsia="nl-NL"/>
              </w:rPr>
            </w:pPr>
            <w:r>
              <w:rPr>
                <w:rFonts w:cs="Calibri"/>
                <w:b/>
                <w:bCs/>
                <w:color w:val="000000"/>
                <w:sz w:val="16"/>
                <w:szCs w:val="16"/>
              </w:rPr>
              <w:t>-13,4</w:t>
            </w:r>
          </w:p>
        </w:tc>
        <w:tc>
          <w:tcPr>
            <w:tcW w:w="789"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791543D9" w14:textId="77777777">
            <w:pPr>
              <w:spacing w:line="240" w:lineRule="auto"/>
              <w:rPr>
                <w:rFonts w:eastAsia="Times New Roman" w:cs="Arial"/>
                <w:b/>
                <w:bCs/>
                <w:color w:val="000000"/>
                <w:sz w:val="16"/>
                <w:szCs w:val="16"/>
                <w:lang w:eastAsia="nl-NL"/>
              </w:rPr>
            </w:pPr>
            <w:r>
              <w:rPr>
                <w:rFonts w:cs="Calibri"/>
                <w:b/>
                <w:bCs/>
                <w:color w:val="000000"/>
                <w:sz w:val="16"/>
                <w:szCs w:val="16"/>
              </w:rPr>
              <w:t>-19,7</w:t>
            </w:r>
          </w:p>
        </w:tc>
        <w:tc>
          <w:tcPr>
            <w:tcW w:w="907"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3FD8D1D8" w14:textId="77777777">
            <w:pPr>
              <w:spacing w:line="240" w:lineRule="auto"/>
              <w:rPr>
                <w:rFonts w:eastAsia="Times New Roman" w:cs="Arial"/>
                <w:b/>
                <w:bCs/>
                <w:color w:val="000000"/>
                <w:sz w:val="16"/>
                <w:szCs w:val="16"/>
                <w:lang w:eastAsia="nl-NL"/>
              </w:rPr>
            </w:pPr>
            <w:r>
              <w:rPr>
                <w:rFonts w:cs="Calibri"/>
                <w:b/>
                <w:bCs/>
                <w:color w:val="000000"/>
                <w:sz w:val="16"/>
                <w:szCs w:val="16"/>
              </w:rPr>
              <w:t>-25,7</w:t>
            </w:r>
          </w:p>
        </w:tc>
        <w:tc>
          <w:tcPr>
            <w:tcW w:w="907"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7BF7289A" w14:textId="77777777">
            <w:pPr>
              <w:spacing w:line="240" w:lineRule="auto"/>
              <w:rPr>
                <w:rFonts w:eastAsia="Times New Roman" w:cs="Arial"/>
                <w:b/>
                <w:bCs/>
                <w:color w:val="000000"/>
                <w:sz w:val="16"/>
                <w:szCs w:val="16"/>
                <w:lang w:eastAsia="nl-NL"/>
              </w:rPr>
            </w:pPr>
            <w:r>
              <w:rPr>
                <w:rFonts w:cs="Calibri"/>
                <w:b/>
                <w:bCs/>
                <w:color w:val="000000"/>
                <w:sz w:val="16"/>
                <w:szCs w:val="16"/>
              </w:rPr>
              <w:t>-31,5</w:t>
            </w:r>
          </w:p>
        </w:tc>
      </w:tr>
      <w:tr w:rsidRPr="001034A5" w:rsidR="00083A0A" w:rsidTr="004D6EAD" w14:paraId="055A6532" w14:textId="77777777">
        <w:trPr>
          <w:trHeight w:val="276"/>
        </w:trPr>
        <w:tc>
          <w:tcPr>
            <w:tcW w:w="3474" w:type="dxa"/>
            <w:tcBorders>
              <w:top w:val="single" w:color="8EAADB" w:sz="4" w:space="0"/>
              <w:left w:val="nil"/>
              <w:bottom w:val="single" w:color="8EA9DB" w:sz="4" w:space="0"/>
              <w:right w:val="nil"/>
            </w:tcBorders>
            <w:shd w:val="clear" w:color="auto" w:fill="auto"/>
            <w:noWrap/>
            <w:vAlign w:val="center"/>
          </w:tcPr>
          <w:p w:rsidR="00083A0A" w:rsidP="004D6EAD" w:rsidRDefault="00083A0A" w14:paraId="76775E3D" w14:textId="77777777">
            <w:pPr>
              <w:spacing w:line="240" w:lineRule="auto"/>
              <w:rPr>
                <w:rFonts w:cs="Arial"/>
                <w:b/>
                <w:bCs/>
                <w:color w:val="000000"/>
                <w:sz w:val="16"/>
                <w:szCs w:val="16"/>
                <w:lang w:eastAsia="nl-NL"/>
              </w:rPr>
            </w:pPr>
            <w:r>
              <w:rPr>
                <w:rFonts w:cs="Calibri"/>
                <w:b/>
                <w:bCs/>
                <w:color w:val="000000"/>
                <w:sz w:val="16"/>
                <w:szCs w:val="16"/>
              </w:rPr>
              <w:t>Totaal taakstelling buitendiensten</w:t>
            </w:r>
          </w:p>
        </w:tc>
        <w:tc>
          <w:tcPr>
            <w:tcW w:w="851"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5C6736CE" w14:textId="77777777">
            <w:pPr>
              <w:spacing w:line="240" w:lineRule="auto"/>
              <w:rPr>
                <w:rFonts w:cs="Arial"/>
                <w:b/>
                <w:bCs/>
                <w:color w:val="000000"/>
                <w:sz w:val="16"/>
                <w:szCs w:val="16"/>
                <w:lang w:eastAsia="nl-NL"/>
              </w:rPr>
            </w:pPr>
            <w:r>
              <w:rPr>
                <w:rFonts w:cs="Calibri"/>
                <w:b/>
                <w:bCs/>
                <w:color w:val="000000"/>
                <w:sz w:val="16"/>
                <w:szCs w:val="16"/>
              </w:rPr>
              <w:t>-0,5</w:t>
            </w:r>
          </w:p>
        </w:tc>
        <w:tc>
          <w:tcPr>
            <w:tcW w:w="850"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7EAE655B" w14:textId="77777777">
            <w:pPr>
              <w:spacing w:line="240" w:lineRule="auto"/>
              <w:rPr>
                <w:rFonts w:cs="Arial"/>
                <w:b/>
                <w:bCs/>
                <w:color w:val="000000"/>
                <w:sz w:val="16"/>
                <w:szCs w:val="16"/>
                <w:lang w:eastAsia="nl-NL"/>
              </w:rPr>
            </w:pPr>
            <w:r>
              <w:rPr>
                <w:rFonts w:cs="Calibri"/>
                <w:b/>
                <w:bCs/>
                <w:color w:val="000000"/>
                <w:sz w:val="16"/>
                <w:szCs w:val="16"/>
              </w:rPr>
              <w:t>-0,4</w:t>
            </w:r>
          </w:p>
        </w:tc>
        <w:tc>
          <w:tcPr>
            <w:tcW w:w="789"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0373632D" w14:textId="77777777">
            <w:pPr>
              <w:spacing w:line="240" w:lineRule="auto"/>
              <w:rPr>
                <w:rFonts w:cs="Arial"/>
                <w:b/>
                <w:bCs/>
                <w:color w:val="000000"/>
                <w:sz w:val="16"/>
                <w:szCs w:val="16"/>
                <w:lang w:eastAsia="nl-NL"/>
              </w:rPr>
            </w:pPr>
            <w:r>
              <w:rPr>
                <w:rFonts w:cs="Calibri"/>
                <w:b/>
                <w:bCs/>
                <w:color w:val="000000"/>
                <w:sz w:val="16"/>
                <w:szCs w:val="16"/>
              </w:rPr>
              <w:t>-1</w:t>
            </w:r>
          </w:p>
        </w:tc>
        <w:tc>
          <w:tcPr>
            <w:tcW w:w="907"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7CB0666C" w14:textId="77777777">
            <w:pPr>
              <w:spacing w:line="240" w:lineRule="auto"/>
              <w:rPr>
                <w:rFonts w:cs="Arial"/>
                <w:b/>
                <w:bCs/>
                <w:color w:val="000000"/>
                <w:sz w:val="16"/>
                <w:szCs w:val="16"/>
                <w:lang w:eastAsia="nl-NL"/>
              </w:rPr>
            </w:pPr>
            <w:r>
              <w:rPr>
                <w:rFonts w:cs="Calibri"/>
                <w:b/>
                <w:bCs/>
                <w:color w:val="000000"/>
                <w:sz w:val="16"/>
                <w:szCs w:val="16"/>
              </w:rPr>
              <w:t>-1,1</w:t>
            </w:r>
          </w:p>
        </w:tc>
        <w:tc>
          <w:tcPr>
            <w:tcW w:w="907"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16563C77" w14:textId="77777777">
            <w:pPr>
              <w:spacing w:line="240" w:lineRule="auto"/>
              <w:rPr>
                <w:rFonts w:cs="Arial"/>
                <w:b/>
                <w:bCs/>
                <w:color w:val="000000"/>
                <w:sz w:val="16"/>
                <w:szCs w:val="16"/>
                <w:lang w:eastAsia="nl-NL"/>
              </w:rPr>
            </w:pPr>
            <w:r>
              <w:rPr>
                <w:rFonts w:cs="Calibri"/>
                <w:b/>
                <w:bCs/>
                <w:color w:val="000000"/>
                <w:sz w:val="16"/>
                <w:szCs w:val="16"/>
              </w:rPr>
              <w:t>-1,4</w:t>
            </w:r>
          </w:p>
        </w:tc>
      </w:tr>
      <w:tr w:rsidRPr="001034A5" w:rsidR="00083A0A" w:rsidTr="004D6EAD" w14:paraId="0A194D94"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77E8D8F9"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CCMO</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3AD8AFEF"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25E237D2"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72843E84"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565F35E1"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1DA2D02F" w14:textId="77777777">
            <w:pPr>
              <w:spacing w:line="240" w:lineRule="auto"/>
              <w:rPr>
                <w:rFonts w:eastAsia="Times New Roman" w:cs="Arial"/>
                <w:color w:val="000000"/>
                <w:sz w:val="16"/>
                <w:szCs w:val="16"/>
                <w:lang w:eastAsia="nl-NL"/>
              </w:rPr>
            </w:pPr>
            <w:r>
              <w:rPr>
                <w:rFonts w:cs="Calibri"/>
                <w:color w:val="000000"/>
                <w:sz w:val="16"/>
                <w:szCs w:val="16"/>
              </w:rPr>
              <w:t>-0,3</w:t>
            </w:r>
          </w:p>
        </w:tc>
      </w:tr>
      <w:tr w:rsidRPr="001034A5" w:rsidR="00083A0A" w:rsidTr="004D6EAD" w14:paraId="65822DC0"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07C1EA94"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DUS-I</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3550F201"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7D60D9B7"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078D3B05"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501DD3E8"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235741C0" w14:textId="77777777">
            <w:pPr>
              <w:spacing w:line="240" w:lineRule="auto"/>
              <w:rPr>
                <w:rFonts w:eastAsia="Times New Roman" w:cs="Arial"/>
                <w:color w:val="000000"/>
                <w:sz w:val="16"/>
                <w:szCs w:val="16"/>
                <w:lang w:eastAsia="nl-NL"/>
              </w:rPr>
            </w:pPr>
            <w:r>
              <w:rPr>
                <w:rFonts w:cs="Calibri"/>
                <w:color w:val="000000"/>
                <w:sz w:val="16"/>
                <w:szCs w:val="16"/>
              </w:rPr>
              <w:t>-0,1</w:t>
            </w:r>
          </w:p>
        </w:tc>
      </w:tr>
      <w:tr w:rsidRPr="001034A5" w:rsidR="00083A0A" w:rsidTr="004D6EAD" w14:paraId="4AB20005"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4E221822"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ESTT</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0D04B416"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087D5A68"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4C01F3EA"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01F73154"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032C046A" w14:textId="77777777">
            <w:pPr>
              <w:spacing w:line="240" w:lineRule="auto"/>
              <w:rPr>
                <w:rFonts w:eastAsia="Times New Roman" w:cs="Arial"/>
                <w:color w:val="000000"/>
                <w:sz w:val="16"/>
                <w:szCs w:val="16"/>
                <w:lang w:eastAsia="nl-NL"/>
              </w:rPr>
            </w:pPr>
            <w:r>
              <w:rPr>
                <w:rFonts w:cs="Calibri"/>
                <w:color w:val="000000"/>
                <w:sz w:val="16"/>
                <w:szCs w:val="16"/>
              </w:rPr>
              <w:t>-0,3</w:t>
            </w:r>
          </w:p>
        </w:tc>
      </w:tr>
      <w:tr w:rsidRPr="001034A5" w:rsidR="00083A0A" w:rsidTr="004D6EAD" w14:paraId="295F4D36"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29B7A26B"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GR</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04DEB692"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6F0EAE64"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21452ABD"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75856A9A"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1A577CE6" w14:textId="77777777">
            <w:pPr>
              <w:spacing w:line="240" w:lineRule="auto"/>
              <w:rPr>
                <w:rFonts w:eastAsia="Times New Roman" w:cs="Arial"/>
                <w:color w:val="000000"/>
                <w:sz w:val="16"/>
                <w:szCs w:val="16"/>
                <w:lang w:eastAsia="nl-NL"/>
              </w:rPr>
            </w:pPr>
            <w:r>
              <w:rPr>
                <w:rFonts w:cs="Calibri"/>
                <w:color w:val="000000"/>
                <w:sz w:val="16"/>
                <w:szCs w:val="16"/>
              </w:rPr>
              <w:t>-0,1</w:t>
            </w:r>
          </w:p>
        </w:tc>
      </w:tr>
      <w:tr w:rsidRPr="001034A5" w:rsidR="00083A0A" w:rsidTr="004D6EAD" w14:paraId="36DB1A4D"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4821D94C"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NSR</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559A19CA"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13DC4AC7"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052D7975"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3C9923B8"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59FC15BF" w14:textId="77777777">
            <w:pPr>
              <w:spacing w:line="240" w:lineRule="auto"/>
              <w:rPr>
                <w:rFonts w:eastAsia="Times New Roman" w:cs="Arial"/>
                <w:color w:val="000000"/>
                <w:sz w:val="16"/>
                <w:szCs w:val="16"/>
                <w:lang w:eastAsia="nl-NL"/>
              </w:rPr>
            </w:pPr>
            <w:r>
              <w:rPr>
                <w:rFonts w:cs="Calibri"/>
                <w:color w:val="000000"/>
                <w:sz w:val="16"/>
                <w:szCs w:val="16"/>
              </w:rPr>
              <w:t>0</w:t>
            </w:r>
          </w:p>
        </w:tc>
      </w:tr>
      <w:tr w:rsidRPr="001034A5" w:rsidR="00083A0A" w:rsidTr="004D6EAD" w14:paraId="2913C6F6"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0E8CD49E"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RVS</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4BC5604E"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6E0C5EEF"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6BA2E56B"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6348179B"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5FBE7823" w14:textId="77777777">
            <w:pPr>
              <w:spacing w:line="240" w:lineRule="auto"/>
              <w:rPr>
                <w:rFonts w:eastAsia="Times New Roman" w:cs="Arial"/>
                <w:color w:val="000000"/>
                <w:sz w:val="16"/>
                <w:szCs w:val="16"/>
                <w:lang w:eastAsia="nl-NL"/>
              </w:rPr>
            </w:pPr>
            <w:r>
              <w:rPr>
                <w:rFonts w:cs="Calibri"/>
                <w:color w:val="000000"/>
                <w:sz w:val="16"/>
                <w:szCs w:val="16"/>
              </w:rPr>
              <w:t>-0,1</w:t>
            </w:r>
          </w:p>
        </w:tc>
      </w:tr>
      <w:tr w:rsidRPr="001034A5" w:rsidR="00083A0A" w:rsidTr="004D6EAD" w14:paraId="7FAA8314" w14:textId="77777777">
        <w:trPr>
          <w:trHeight w:val="264"/>
        </w:trPr>
        <w:tc>
          <w:tcPr>
            <w:tcW w:w="3474" w:type="dxa"/>
            <w:tcBorders>
              <w:top w:val="nil"/>
              <w:left w:val="nil"/>
              <w:bottom w:val="single" w:color="8EAADB" w:sz="4" w:space="0"/>
              <w:right w:val="nil"/>
            </w:tcBorders>
            <w:shd w:val="clear" w:color="auto" w:fill="auto"/>
            <w:noWrap/>
            <w:vAlign w:val="center"/>
            <w:hideMark/>
          </w:tcPr>
          <w:p w:rsidRPr="001034A5" w:rsidR="00083A0A" w:rsidP="004D6EAD" w:rsidRDefault="00083A0A" w14:paraId="76C48296"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SCP</w:t>
            </w:r>
          </w:p>
        </w:tc>
        <w:tc>
          <w:tcPr>
            <w:tcW w:w="851" w:type="dxa"/>
            <w:tcBorders>
              <w:top w:val="nil"/>
              <w:left w:val="nil"/>
              <w:bottom w:val="single" w:color="8EAADB" w:sz="4" w:space="0"/>
              <w:right w:val="nil"/>
            </w:tcBorders>
            <w:shd w:val="clear" w:color="auto" w:fill="auto"/>
            <w:noWrap/>
            <w:vAlign w:val="center"/>
            <w:hideMark/>
          </w:tcPr>
          <w:p w:rsidRPr="001034A5" w:rsidR="00083A0A" w:rsidP="004D6EAD" w:rsidRDefault="00083A0A" w14:paraId="6BD2AFAC"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850" w:type="dxa"/>
            <w:tcBorders>
              <w:top w:val="nil"/>
              <w:left w:val="nil"/>
              <w:bottom w:val="single" w:color="8EAADB" w:sz="4" w:space="0"/>
              <w:right w:val="nil"/>
            </w:tcBorders>
            <w:shd w:val="clear" w:color="auto" w:fill="auto"/>
            <w:noWrap/>
            <w:vAlign w:val="center"/>
            <w:hideMark/>
          </w:tcPr>
          <w:p w:rsidRPr="001034A5" w:rsidR="00083A0A" w:rsidP="004D6EAD" w:rsidRDefault="00083A0A" w14:paraId="0CAA4B01" w14:textId="77777777">
            <w:pPr>
              <w:spacing w:line="240" w:lineRule="auto"/>
              <w:rPr>
                <w:rFonts w:eastAsia="Times New Roman" w:cs="Arial"/>
                <w:color w:val="000000"/>
                <w:sz w:val="16"/>
                <w:szCs w:val="16"/>
                <w:lang w:eastAsia="nl-NL"/>
              </w:rPr>
            </w:pPr>
            <w:r>
              <w:rPr>
                <w:rFonts w:cs="Calibri"/>
                <w:color w:val="000000"/>
                <w:sz w:val="16"/>
                <w:szCs w:val="16"/>
              </w:rPr>
              <w:t>-0,2</w:t>
            </w:r>
          </w:p>
        </w:tc>
        <w:tc>
          <w:tcPr>
            <w:tcW w:w="789" w:type="dxa"/>
            <w:tcBorders>
              <w:top w:val="nil"/>
              <w:left w:val="nil"/>
              <w:bottom w:val="single" w:color="8EAADB" w:sz="4" w:space="0"/>
              <w:right w:val="nil"/>
            </w:tcBorders>
            <w:shd w:val="clear" w:color="auto" w:fill="auto"/>
            <w:noWrap/>
            <w:vAlign w:val="center"/>
            <w:hideMark/>
          </w:tcPr>
          <w:p w:rsidRPr="001034A5" w:rsidR="00083A0A" w:rsidP="004D6EAD" w:rsidRDefault="00083A0A" w14:paraId="7C0C2007" w14:textId="77777777">
            <w:pPr>
              <w:spacing w:line="240" w:lineRule="auto"/>
              <w:rPr>
                <w:rFonts w:eastAsia="Times New Roman" w:cs="Arial"/>
                <w:color w:val="000000"/>
                <w:sz w:val="16"/>
                <w:szCs w:val="16"/>
                <w:lang w:eastAsia="nl-NL"/>
              </w:rPr>
            </w:pPr>
            <w:r>
              <w:rPr>
                <w:rFonts w:cs="Calibri"/>
                <w:color w:val="000000"/>
                <w:sz w:val="16"/>
                <w:szCs w:val="16"/>
              </w:rPr>
              <w:t>-0,3</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7835B55C" w14:textId="77777777">
            <w:pPr>
              <w:spacing w:line="240" w:lineRule="auto"/>
              <w:rPr>
                <w:rFonts w:eastAsia="Times New Roman" w:cs="Arial"/>
                <w:color w:val="000000"/>
                <w:sz w:val="16"/>
                <w:szCs w:val="16"/>
                <w:lang w:eastAsia="nl-NL"/>
              </w:rPr>
            </w:pPr>
            <w:r>
              <w:rPr>
                <w:rFonts w:cs="Calibri"/>
                <w:color w:val="000000"/>
                <w:sz w:val="16"/>
                <w:szCs w:val="16"/>
              </w:rPr>
              <w:t>-0,4</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3F7B7E56" w14:textId="77777777">
            <w:pPr>
              <w:spacing w:line="240" w:lineRule="auto"/>
              <w:rPr>
                <w:rFonts w:eastAsia="Times New Roman" w:cs="Arial"/>
                <w:color w:val="000000"/>
                <w:sz w:val="16"/>
                <w:szCs w:val="16"/>
                <w:lang w:eastAsia="nl-NL"/>
              </w:rPr>
            </w:pPr>
            <w:r>
              <w:rPr>
                <w:rFonts w:cs="Calibri"/>
                <w:color w:val="000000"/>
                <w:sz w:val="16"/>
                <w:szCs w:val="16"/>
              </w:rPr>
              <w:t>-0,5</w:t>
            </w:r>
          </w:p>
        </w:tc>
      </w:tr>
      <w:tr w:rsidRPr="001034A5" w:rsidR="00083A0A" w:rsidTr="004D6EAD" w14:paraId="69ACEEF0" w14:textId="77777777">
        <w:trPr>
          <w:trHeight w:val="264"/>
        </w:trPr>
        <w:tc>
          <w:tcPr>
            <w:tcW w:w="3474"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4B738E4D" w14:textId="77777777">
            <w:pPr>
              <w:spacing w:line="240" w:lineRule="auto"/>
              <w:rPr>
                <w:rFonts w:cs="Calibri"/>
                <w:b/>
                <w:bCs/>
                <w:color w:val="000000"/>
                <w:sz w:val="16"/>
                <w:szCs w:val="16"/>
              </w:rPr>
            </w:pPr>
            <w:r>
              <w:rPr>
                <w:rFonts w:cs="Calibri"/>
                <w:b/>
                <w:bCs/>
                <w:color w:val="000000"/>
                <w:sz w:val="16"/>
                <w:szCs w:val="16"/>
              </w:rPr>
              <w:t xml:space="preserve">Totaal </w:t>
            </w:r>
            <w:r w:rsidRPr="00140B7B">
              <w:rPr>
                <w:rFonts w:cs="Calibri"/>
                <w:b/>
                <w:bCs/>
                <w:color w:val="000000"/>
                <w:sz w:val="16"/>
                <w:szCs w:val="16"/>
              </w:rPr>
              <w:t>taakstelling IGJ</w:t>
            </w:r>
          </w:p>
        </w:tc>
        <w:tc>
          <w:tcPr>
            <w:tcW w:w="851"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2B26F983"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-1,2</w:t>
            </w:r>
          </w:p>
        </w:tc>
        <w:tc>
          <w:tcPr>
            <w:tcW w:w="850"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113EF2C1"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-1,2</w:t>
            </w:r>
          </w:p>
        </w:tc>
        <w:tc>
          <w:tcPr>
            <w:tcW w:w="789"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36F399A0"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-1,8</w:t>
            </w:r>
          </w:p>
        </w:tc>
        <w:tc>
          <w:tcPr>
            <w:tcW w:w="907"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3A595BDA"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-2,4</w:t>
            </w:r>
          </w:p>
        </w:tc>
        <w:tc>
          <w:tcPr>
            <w:tcW w:w="907" w:type="dxa"/>
            <w:tcBorders>
              <w:top w:val="single" w:color="8EAADB" w:sz="4" w:space="0"/>
              <w:left w:val="nil"/>
              <w:bottom w:val="single" w:color="8EA9DB" w:sz="4" w:space="0"/>
              <w:right w:val="nil"/>
            </w:tcBorders>
            <w:shd w:val="clear" w:color="auto" w:fill="auto"/>
            <w:noWrap/>
            <w:vAlign w:val="center"/>
            <w:hideMark/>
          </w:tcPr>
          <w:p w:rsidRPr="001034A5" w:rsidR="00083A0A" w:rsidP="004D6EAD" w:rsidRDefault="00083A0A" w14:paraId="1125940A" w14:textId="77777777">
            <w:pPr>
              <w:spacing w:line="240" w:lineRule="auto"/>
              <w:rPr>
                <w:rFonts w:eastAsia="Times New Roman" w:cs="Arial"/>
                <w:b/>
                <w:bCs/>
                <w:color w:val="000000"/>
                <w:sz w:val="16"/>
                <w:szCs w:val="16"/>
                <w:lang w:eastAsia="nl-NL"/>
              </w:rPr>
            </w:pPr>
            <w:r w:rsidRPr="00140B7B">
              <w:rPr>
                <w:rFonts w:cs="Calibri"/>
                <w:b/>
                <w:bCs/>
                <w:color w:val="000000"/>
                <w:sz w:val="16"/>
                <w:szCs w:val="16"/>
              </w:rPr>
              <w:t>-3</w:t>
            </w:r>
            <w:r>
              <w:rPr>
                <w:rFonts w:cs="Calibri"/>
                <w:b/>
                <w:bCs/>
                <w:color w:val="000000"/>
                <w:sz w:val="16"/>
                <w:szCs w:val="16"/>
              </w:rPr>
              <w:t>,0</w:t>
            </w:r>
          </w:p>
        </w:tc>
      </w:tr>
      <w:tr w:rsidRPr="001034A5" w:rsidR="00083A0A" w:rsidTr="004D6EAD" w14:paraId="7D01C65C" w14:textId="77777777">
        <w:trPr>
          <w:trHeight w:val="264"/>
        </w:trPr>
        <w:tc>
          <w:tcPr>
            <w:tcW w:w="3474" w:type="dxa"/>
            <w:tcBorders>
              <w:top w:val="single" w:color="8EAADB" w:sz="4" w:space="0"/>
              <w:left w:val="nil"/>
              <w:bottom w:val="single" w:color="8EA9DB" w:sz="4" w:space="0"/>
              <w:right w:val="nil"/>
            </w:tcBorders>
            <w:shd w:val="clear" w:color="auto" w:fill="auto"/>
            <w:noWrap/>
            <w:vAlign w:val="center"/>
          </w:tcPr>
          <w:p w:rsidR="00083A0A" w:rsidP="004D6EAD" w:rsidRDefault="00083A0A" w14:paraId="2A576CF1" w14:textId="77777777">
            <w:pPr>
              <w:spacing w:line="240" w:lineRule="auto"/>
              <w:rPr>
                <w:rFonts w:cs="Arial"/>
                <w:b/>
                <w:bCs/>
                <w:color w:val="000000"/>
                <w:sz w:val="16"/>
                <w:szCs w:val="16"/>
                <w:lang w:eastAsia="nl-NL"/>
              </w:rPr>
            </w:pPr>
            <w:r>
              <w:rPr>
                <w:rFonts w:cs="Calibri"/>
                <w:b/>
                <w:bCs/>
                <w:color w:val="000000"/>
                <w:sz w:val="16"/>
                <w:szCs w:val="16"/>
              </w:rPr>
              <w:t>Totaal taakstelling agentschappen</w:t>
            </w:r>
          </w:p>
        </w:tc>
        <w:tc>
          <w:tcPr>
            <w:tcW w:w="851"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76FB27C6" w14:textId="77777777">
            <w:pPr>
              <w:spacing w:line="240" w:lineRule="auto"/>
              <w:rPr>
                <w:rFonts w:cs="Arial"/>
                <w:b/>
                <w:bCs/>
                <w:color w:val="000000"/>
                <w:sz w:val="16"/>
                <w:szCs w:val="16"/>
                <w:lang w:eastAsia="nl-NL"/>
              </w:rPr>
            </w:pPr>
            <w:r>
              <w:rPr>
                <w:rFonts w:cs="Calibri"/>
                <w:b/>
                <w:bCs/>
                <w:color w:val="000000"/>
                <w:sz w:val="16"/>
                <w:szCs w:val="16"/>
              </w:rPr>
              <w:t>-5,8</w:t>
            </w:r>
          </w:p>
        </w:tc>
        <w:tc>
          <w:tcPr>
            <w:tcW w:w="850"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1C31C90C" w14:textId="77777777">
            <w:pPr>
              <w:spacing w:line="240" w:lineRule="auto"/>
              <w:rPr>
                <w:rFonts w:cs="Arial"/>
                <w:b/>
                <w:bCs/>
                <w:color w:val="000000"/>
                <w:sz w:val="16"/>
                <w:szCs w:val="16"/>
                <w:lang w:eastAsia="nl-NL"/>
              </w:rPr>
            </w:pPr>
            <w:r>
              <w:rPr>
                <w:rFonts w:cs="Calibri"/>
                <w:b/>
                <w:bCs/>
                <w:color w:val="000000"/>
                <w:sz w:val="16"/>
                <w:szCs w:val="16"/>
              </w:rPr>
              <w:t>-5,2</w:t>
            </w:r>
          </w:p>
        </w:tc>
        <w:tc>
          <w:tcPr>
            <w:tcW w:w="789"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3CFA9D69" w14:textId="77777777">
            <w:pPr>
              <w:spacing w:line="240" w:lineRule="auto"/>
              <w:rPr>
                <w:rFonts w:cs="Arial"/>
                <w:b/>
                <w:bCs/>
                <w:color w:val="000000"/>
                <w:sz w:val="16"/>
                <w:szCs w:val="16"/>
                <w:lang w:eastAsia="nl-NL"/>
              </w:rPr>
            </w:pPr>
            <w:r>
              <w:rPr>
                <w:rFonts w:cs="Calibri"/>
                <w:b/>
                <w:bCs/>
                <w:color w:val="000000"/>
                <w:sz w:val="16"/>
                <w:szCs w:val="16"/>
              </w:rPr>
              <w:t>-7,1</w:t>
            </w:r>
          </w:p>
        </w:tc>
        <w:tc>
          <w:tcPr>
            <w:tcW w:w="907"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7575ACFE" w14:textId="77777777">
            <w:pPr>
              <w:spacing w:line="240" w:lineRule="auto"/>
              <w:rPr>
                <w:rFonts w:cs="Arial"/>
                <w:b/>
                <w:bCs/>
                <w:color w:val="000000"/>
                <w:sz w:val="16"/>
                <w:szCs w:val="16"/>
                <w:lang w:eastAsia="nl-NL"/>
              </w:rPr>
            </w:pPr>
            <w:r>
              <w:rPr>
                <w:rFonts w:cs="Calibri"/>
                <w:b/>
                <w:bCs/>
                <w:color w:val="000000"/>
                <w:sz w:val="16"/>
                <w:szCs w:val="16"/>
              </w:rPr>
              <w:t>-8,9</w:t>
            </w:r>
          </w:p>
        </w:tc>
        <w:tc>
          <w:tcPr>
            <w:tcW w:w="907" w:type="dxa"/>
            <w:tcBorders>
              <w:top w:val="single" w:color="8EAADB" w:sz="4" w:space="0"/>
              <w:left w:val="nil"/>
              <w:bottom w:val="single" w:color="8EA9DB" w:sz="4" w:space="0"/>
              <w:right w:val="nil"/>
            </w:tcBorders>
            <w:shd w:val="clear" w:color="auto" w:fill="auto"/>
            <w:noWrap/>
            <w:vAlign w:val="center"/>
          </w:tcPr>
          <w:p w:rsidRPr="001034A5" w:rsidR="00083A0A" w:rsidP="004D6EAD" w:rsidRDefault="00083A0A" w14:paraId="3E7A8309" w14:textId="77777777">
            <w:pPr>
              <w:spacing w:line="240" w:lineRule="auto"/>
              <w:rPr>
                <w:rFonts w:cs="Arial"/>
                <w:b/>
                <w:bCs/>
                <w:color w:val="000000"/>
                <w:sz w:val="16"/>
                <w:szCs w:val="16"/>
                <w:lang w:eastAsia="nl-NL"/>
              </w:rPr>
            </w:pPr>
            <w:r>
              <w:rPr>
                <w:rFonts w:cs="Calibri"/>
                <w:b/>
                <w:bCs/>
                <w:color w:val="000000"/>
                <w:sz w:val="16"/>
                <w:szCs w:val="16"/>
              </w:rPr>
              <w:t>-10,6</w:t>
            </w:r>
          </w:p>
        </w:tc>
      </w:tr>
      <w:tr w:rsidRPr="001034A5" w:rsidR="00083A0A" w:rsidTr="004D6EAD" w14:paraId="77AB096F" w14:textId="77777777">
        <w:trPr>
          <w:trHeight w:val="264"/>
        </w:trPr>
        <w:tc>
          <w:tcPr>
            <w:tcW w:w="3474" w:type="dxa"/>
            <w:tcBorders>
              <w:left w:val="nil"/>
              <w:right w:val="nil"/>
            </w:tcBorders>
            <w:shd w:val="clear" w:color="auto" w:fill="auto"/>
            <w:noWrap/>
            <w:vAlign w:val="center"/>
            <w:hideMark/>
          </w:tcPr>
          <w:p w:rsidRPr="001034A5" w:rsidR="00083A0A" w:rsidP="004D6EAD" w:rsidRDefault="00083A0A" w14:paraId="4823AC4F"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(a)CBG</w:t>
            </w:r>
          </w:p>
        </w:tc>
        <w:tc>
          <w:tcPr>
            <w:tcW w:w="851" w:type="dxa"/>
            <w:tcBorders>
              <w:left w:val="nil"/>
              <w:right w:val="nil"/>
            </w:tcBorders>
            <w:shd w:val="clear" w:color="auto" w:fill="auto"/>
            <w:noWrap/>
            <w:vAlign w:val="center"/>
            <w:hideMark/>
          </w:tcPr>
          <w:p w:rsidRPr="001034A5" w:rsidR="00083A0A" w:rsidP="004D6EAD" w:rsidRDefault="00083A0A" w14:paraId="1B963A54"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850" w:type="dxa"/>
            <w:tcBorders>
              <w:left w:val="nil"/>
              <w:right w:val="nil"/>
            </w:tcBorders>
            <w:shd w:val="clear" w:color="auto" w:fill="auto"/>
            <w:noWrap/>
            <w:vAlign w:val="center"/>
            <w:hideMark/>
          </w:tcPr>
          <w:p w:rsidRPr="001034A5" w:rsidR="00083A0A" w:rsidP="004D6EAD" w:rsidRDefault="00083A0A" w14:paraId="6D486402"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789" w:type="dxa"/>
            <w:tcBorders>
              <w:left w:val="nil"/>
              <w:right w:val="nil"/>
            </w:tcBorders>
            <w:shd w:val="clear" w:color="auto" w:fill="auto"/>
            <w:noWrap/>
            <w:vAlign w:val="center"/>
            <w:hideMark/>
          </w:tcPr>
          <w:p w:rsidRPr="001034A5" w:rsidR="00083A0A" w:rsidP="004D6EAD" w:rsidRDefault="00083A0A" w14:paraId="0D31831C"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left w:val="nil"/>
              <w:right w:val="nil"/>
            </w:tcBorders>
            <w:shd w:val="clear" w:color="auto" w:fill="auto"/>
            <w:noWrap/>
            <w:vAlign w:val="center"/>
            <w:hideMark/>
          </w:tcPr>
          <w:p w:rsidRPr="001034A5" w:rsidR="00083A0A" w:rsidP="004D6EAD" w:rsidRDefault="00083A0A" w14:paraId="3F7F8FAE"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left w:val="nil"/>
              <w:right w:val="nil"/>
            </w:tcBorders>
            <w:shd w:val="clear" w:color="auto" w:fill="auto"/>
            <w:noWrap/>
            <w:vAlign w:val="center"/>
            <w:hideMark/>
          </w:tcPr>
          <w:p w:rsidRPr="001034A5" w:rsidR="00083A0A" w:rsidP="004D6EAD" w:rsidRDefault="00083A0A" w14:paraId="1BB7DD21" w14:textId="77777777">
            <w:pPr>
              <w:spacing w:line="240" w:lineRule="auto"/>
              <w:rPr>
                <w:rFonts w:eastAsia="Times New Roman" w:cs="Arial"/>
                <w:color w:val="000000"/>
                <w:sz w:val="16"/>
                <w:szCs w:val="16"/>
                <w:lang w:eastAsia="nl-NL"/>
              </w:rPr>
            </w:pPr>
            <w:r>
              <w:rPr>
                <w:rFonts w:cs="Calibri"/>
                <w:color w:val="000000"/>
                <w:sz w:val="16"/>
                <w:szCs w:val="16"/>
              </w:rPr>
              <w:t>-0,1</w:t>
            </w:r>
          </w:p>
        </w:tc>
      </w:tr>
      <w:tr w:rsidRPr="001034A5" w:rsidR="00083A0A" w:rsidTr="004D6EAD" w14:paraId="3714B352"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7795EE58"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CIBG</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4DE58C18" w14:textId="77777777">
            <w:pPr>
              <w:spacing w:line="240" w:lineRule="auto"/>
              <w:rPr>
                <w:rFonts w:eastAsia="Times New Roman" w:cs="Arial"/>
                <w:color w:val="000000"/>
                <w:sz w:val="16"/>
                <w:szCs w:val="16"/>
                <w:lang w:eastAsia="nl-NL"/>
              </w:rPr>
            </w:pPr>
            <w:r>
              <w:rPr>
                <w:rFonts w:cs="Calibri"/>
                <w:color w:val="000000"/>
                <w:sz w:val="16"/>
                <w:szCs w:val="16"/>
              </w:rPr>
              <w:t>-0,5</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7A3C64BC" w14:textId="77777777">
            <w:pPr>
              <w:spacing w:line="240" w:lineRule="auto"/>
              <w:rPr>
                <w:rFonts w:eastAsia="Times New Roman" w:cs="Arial"/>
                <w:color w:val="000000"/>
                <w:sz w:val="16"/>
                <w:szCs w:val="16"/>
                <w:lang w:eastAsia="nl-NL"/>
              </w:rPr>
            </w:pPr>
            <w:r>
              <w:rPr>
                <w:rFonts w:cs="Calibri"/>
                <w:color w:val="000000"/>
                <w:sz w:val="16"/>
                <w:szCs w:val="16"/>
              </w:rPr>
              <w:t>-0,5</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79F16F56" w14:textId="77777777">
            <w:pPr>
              <w:spacing w:line="240" w:lineRule="auto"/>
              <w:rPr>
                <w:rFonts w:eastAsia="Times New Roman" w:cs="Arial"/>
                <w:color w:val="000000"/>
                <w:sz w:val="16"/>
                <w:szCs w:val="16"/>
                <w:lang w:eastAsia="nl-NL"/>
              </w:rPr>
            </w:pPr>
            <w:r>
              <w:rPr>
                <w:rFonts w:cs="Calibri"/>
                <w:color w:val="000000"/>
                <w:sz w:val="16"/>
                <w:szCs w:val="16"/>
              </w:rPr>
              <w:t>-0,7</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3E493DF0" w14:textId="77777777">
            <w:pPr>
              <w:spacing w:line="240" w:lineRule="auto"/>
              <w:rPr>
                <w:rFonts w:eastAsia="Times New Roman" w:cs="Arial"/>
                <w:color w:val="000000"/>
                <w:sz w:val="16"/>
                <w:szCs w:val="16"/>
                <w:lang w:eastAsia="nl-NL"/>
              </w:rPr>
            </w:pPr>
            <w:r>
              <w:rPr>
                <w:rFonts w:cs="Calibri"/>
                <w:color w:val="000000"/>
                <w:sz w:val="16"/>
                <w:szCs w:val="16"/>
              </w:rPr>
              <w:t>-0,9</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1AD9F83B" w14:textId="77777777">
            <w:pPr>
              <w:spacing w:line="240" w:lineRule="auto"/>
              <w:rPr>
                <w:rFonts w:eastAsia="Times New Roman" w:cs="Arial"/>
                <w:color w:val="000000"/>
                <w:sz w:val="16"/>
                <w:szCs w:val="16"/>
                <w:lang w:eastAsia="nl-NL"/>
              </w:rPr>
            </w:pPr>
            <w:r>
              <w:rPr>
                <w:rFonts w:cs="Calibri"/>
                <w:color w:val="000000"/>
                <w:sz w:val="16"/>
                <w:szCs w:val="16"/>
              </w:rPr>
              <w:t>-1,1</w:t>
            </w:r>
          </w:p>
        </w:tc>
      </w:tr>
      <w:tr w:rsidRPr="001034A5" w:rsidR="00083A0A" w:rsidTr="004D6EAD" w14:paraId="38D05FAE" w14:textId="77777777">
        <w:trPr>
          <w:trHeight w:val="264"/>
        </w:trPr>
        <w:tc>
          <w:tcPr>
            <w:tcW w:w="3474" w:type="dxa"/>
            <w:tcBorders>
              <w:top w:val="nil"/>
              <w:left w:val="nil"/>
              <w:bottom w:val="single" w:color="8EAADB" w:sz="4" w:space="0"/>
              <w:right w:val="nil"/>
            </w:tcBorders>
            <w:shd w:val="clear" w:color="auto" w:fill="auto"/>
            <w:noWrap/>
            <w:vAlign w:val="center"/>
            <w:hideMark/>
          </w:tcPr>
          <w:p w:rsidRPr="001034A5" w:rsidR="00083A0A" w:rsidP="004D6EAD" w:rsidRDefault="00083A0A" w14:paraId="303019FF"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RIVM</w:t>
            </w:r>
          </w:p>
        </w:tc>
        <w:tc>
          <w:tcPr>
            <w:tcW w:w="851" w:type="dxa"/>
            <w:tcBorders>
              <w:top w:val="nil"/>
              <w:left w:val="nil"/>
              <w:bottom w:val="single" w:color="8EAADB" w:sz="4" w:space="0"/>
              <w:right w:val="nil"/>
            </w:tcBorders>
            <w:shd w:val="clear" w:color="auto" w:fill="auto"/>
            <w:noWrap/>
            <w:vAlign w:val="center"/>
            <w:hideMark/>
          </w:tcPr>
          <w:p w:rsidRPr="001034A5" w:rsidR="00083A0A" w:rsidP="004D6EAD" w:rsidRDefault="00083A0A" w14:paraId="406210DF" w14:textId="77777777">
            <w:pPr>
              <w:spacing w:line="240" w:lineRule="auto"/>
              <w:rPr>
                <w:rFonts w:eastAsia="Times New Roman" w:cs="Arial"/>
                <w:color w:val="000000"/>
                <w:sz w:val="16"/>
                <w:szCs w:val="16"/>
                <w:lang w:eastAsia="nl-NL"/>
              </w:rPr>
            </w:pPr>
            <w:r>
              <w:rPr>
                <w:rFonts w:cs="Calibri"/>
                <w:color w:val="000000"/>
                <w:sz w:val="16"/>
                <w:szCs w:val="16"/>
              </w:rPr>
              <w:t>-5,2</w:t>
            </w:r>
          </w:p>
        </w:tc>
        <w:tc>
          <w:tcPr>
            <w:tcW w:w="850" w:type="dxa"/>
            <w:tcBorders>
              <w:top w:val="nil"/>
              <w:left w:val="nil"/>
              <w:bottom w:val="single" w:color="8EAADB" w:sz="4" w:space="0"/>
              <w:right w:val="nil"/>
            </w:tcBorders>
            <w:shd w:val="clear" w:color="auto" w:fill="auto"/>
            <w:noWrap/>
            <w:vAlign w:val="center"/>
            <w:hideMark/>
          </w:tcPr>
          <w:p w:rsidRPr="001034A5" w:rsidR="00083A0A" w:rsidP="004D6EAD" w:rsidRDefault="00083A0A" w14:paraId="0D2E0E8F" w14:textId="77777777">
            <w:pPr>
              <w:spacing w:line="240" w:lineRule="auto"/>
              <w:rPr>
                <w:rFonts w:eastAsia="Times New Roman" w:cs="Arial"/>
                <w:color w:val="000000"/>
                <w:sz w:val="16"/>
                <w:szCs w:val="16"/>
                <w:lang w:eastAsia="nl-NL"/>
              </w:rPr>
            </w:pPr>
            <w:r>
              <w:rPr>
                <w:rFonts w:cs="Calibri"/>
                <w:color w:val="000000"/>
                <w:sz w:val="16"/>
                <w:szCs w:val="16"/>
              </w:rPr>
              <w:t>-4,6</w:t>
            </w:r>
          </w:p>
        </w:tc>
        <w:tc>
          <w:tcPr>
            <w:tcW w:w="789" w:type="dxa"/>
            <w:tcBorders>
              <w:top w:val="nil"/>
              <w:left w:val="nil"/>
              <w:bottom w:val="single" w:color="8EAADB" w:sz="4" w:space="0"/>
              <w:right w:val="nil"/>
            </w:tcBorders>
            <w:shd w:val="clear" w:color="auto" w:fill="auto"/>
            <w:noWrap/>
            <w:vAlign w:val="center"/>
            <w:hideMark/>
          </w:tcPr>
          <w:p w:rsidRPr="001034A5" w:rsidR="00083A0A" w:rsidP="004D6EAD" w:rsidRDefault="00083A0A" w14:paraId="3AF14BBB" w14:textId="77777777">
            <w:pPr>
              <w:spacing w:line="240" w:lineRule="auto"/>
              <w:rPr>
                <w:rFonts w:eastAsia="Times New Roman" w:cs="Arial"/>
                <w:color w:val="000000"/>
                <w:sz w:val="16"/>
                <w:szCs w:val="16"/>
                <w:lang w:eastAsia="nl-NL"/>
              </w:rPr>
            </w:pPr>
            <w:r>
              <w:rPr>
                <w:rFonts w:cs="Calibri"/>
                <w:color w:val="000000"/>
                <w:sz w:val="16"/>
                <w:szCs w:val="16"/>
              </w:rPr>
              <w:t>-6,3</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55F31F39" w14:textId="77777777">
            <w:pPr>
              <w:spacing w:line="240" w:lineRule="auto"/>
              <w:rPr>
                <w:rFonts w:eastAsia="Times New Roman" w:cs="Arial"/>
                <w:color w:val="000000"/>
                <w:sz w:val="16"/>
                <w:szCs w:val="16"/>
                <w:lang w:eastAsia="nl-NL"/>
              </w:rPr>
            </w:pPr>
            <w:r>
              <w:rPr>
                <w:rFonts w:cs="Calibri"/>
                <w:color w:val="000000"/>
                <w:sz w:val="16"/>
                <w:szCs w:val="16"/>
              </w:rPr>
              <w:t>-7,9</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6B01A2D3" w14:textId="77777777">
            <w:pPr>
              <w:spacing w:line="240" w:lineRule="auto"/>
              <w:rPr>
                <w:rFonts w:eastAsia="Times New Roman" w:cs="Arial"/>
                <w:color w:val="000000"/>
                <w:sz w:val="16"/>
                <w:szCs w:val="16"/>
                <w:lang w:eastAsia="nl-NL"/>
              </w:rPr>
            </w:pPr>
            <w:r>
              <w:rPr>
                <w:rFonts w:cs="Calibri"/>
                <w:color w:val="000000"/>
                <w:sz w:val="16"/>
                <w:szCs w:val="16"/>
              </w:rPr>
              <w:t>-9,4</w:t>
            </w:r>
          </w:p>
        </w:tc>
      </w:tr>
      <w:tr w:rsidRPr="001034A5" w:rsidR="00083A0A" w:rsidTr="004D6EAD" w14:paraId="4F57765D" w14:textId="77777777">
        <w:trPr>
          <w:trHeight w:val="264"/>
        </w:trPr>
        <w:tc>
          <w:tcPr>
            <w:tcW w:w="3474"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2CF366C3" w14:textId="77777777">
            <w:pPr>
              <w:spacing w:line="240" w:lineRule="auto"/>
              <w:rPr>
                <w:rFonts w:cs="Calibri"/>
                <w:b/>
                <w:bCs/>
                <w:color w:val="000000"/>
                <w:sz w:val="16"/>
                <w:szCs w:val="16"/>
              </w:rPr>
            </w:pPr>
            <w:r>
              <w:rPr>
                <w:rFonts w:cs="Calibri"/>
                <w:b/>
                <w:bCs/>
                <w:color w:val="000000"/>
                <w:sz w:val="16"/>
                <w:szCs w:val="16"/>
              </w:rPr>
              <w:t>Totaal taakstelling ZBO's</w:t>
            </w:r>
          </w:p>
        </w:tc>
        <w:tc>
          <w:tcPr>
            <w:tcW w:w="851"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10BA046F" w14:textId="77777777">
            <w:pPr>
              <w:spacing w:line="240" w:lineRule="auto"/>
              <w:rPr>
                <w:rFonts w:cs="Calibri"/>
                <w:b/>
                <w:bCs/>
                <w:color w:val="000000"/>
                <w:sz w:val="16"/>
                <w:szCs w:val="16"/>
              </w:rPr>
            </w:pPr>
            <w:r>
              <w:rPr>
                <w:rFonts w:cs="Calibri"/>
                <w:b/>
                <w:bCs/>
                <w:color w:val="000000"/>
                <w:sz w:val="16"/>
                <w:szCs w:val="16"/>
              </w:rPr>
              <w:t>-6,6</w:t>
            </w:r>
          </w:p>
        </w:tc>
        <w:tc>
          <w:tcPr>
            <w:tcW w:w="850"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4B48D5A3" w14:textId="77777777">
            <w:pPr>
              <w:spacing w:line="240" w:lineRule="auto"/>
              <w:rPr>
                <w:rFonts w:cs="Calibri"/>
                <w:b/>
                <w:bCs/>
                <w:color w:val="000000"/>
                <w:sz w:val="16"/>
                <w:szCs w:val="16"/>
              </w:rPr>
            </w:pPr>
            <w:r>
              <w:rPr>
                <w:rFonts w:cs="Calibri"/>
                <w:b/>
                <w:bCs/>
                <w:color w:val="000000"/>
                <w:sz w:val="16"/>
                <w:szCs w:val="16"/>
              </w:rPr>
              <w:t>-6,6</w:t>
            </w:r>
          </w:p>
        </w:tc>
        <w:tc>
          <w:tcPr>
            <w:tcW w:w="789"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4438BAB6" w14:textId="77777777">
            <w:pPr>
              <w:spacing w:line="240" w:lineRule="auto"/>
              <w:rPr>
                <w:rFonts w:cs="Calibri"/>
                <w:b/>
                <w:bCs/>
                <w:color w:val="000000"/>
                <w:sz w:val="16"/>
                <w:szCs w:val="16"/>
              </w:rPr>
            </w:pPr>
            <w:r>
              <w:rPr>
                <w:rFonts w:cs="Calibri"/>
                <w:b/>
                <w:bCs/>
                <w:color w:val="000000"/>
                <w:sz w:val="16"/>
                <w:szCs w:val="16"/>
              </w:rPr>
              <w:t>-9,8</w:t>
            </w:r>
          </w:p>
        </w:tc>
        <w:tc>
          <w:tcPr>
            <w:tcW w:w="907"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4F5FB28E" w14:textId="77777777">
            <w:pPr>
              <w:spacing w:line="240" w:lineRule="auto"/>
              <w:rPr>
                <w:rFonts w:cs="Calibri"/>
                <w:b/>
                <w:bCs/>
                <w:color w:val="000000"/>
                <w:sz w:val="16"/>
                <w:szCs w:val="16"/>
              </w:rPr>
            </w:pPr>
            <w:r>
              <w:rPr>
                <w:rFonts w:cs="Calibri"/>
                <w:b/>
                <w:bCs/>
                <w:color w:val="000000"/>
                <w:sz w:val="16"/>
                <w:szCs w:val="16"/>
              </w:rPr>
              <w:t>-13,3</w:t>
            </w:r>
          </w:p>
        </w:tc>
        <w:tc>
          <w:tcPr>
            <w:tcW w:w="907" w:type="dxa"/>
            <w:tcBorders>
              <w:top w:val="nil"/>
              <w:left w:val="nil"/>
              <w:bottom w:val="single" w:color="98A7BD" w:themeColor="text2" w:themeTint="80" w:sz="4" w:space="0"/>
              <w:right w:val="nil"/>
            </w:tcBorders>
            <w:shd w:val="clear" w:color="auto" w:fill="auto"/>
            <w:noWrap/>
            <w:vAlign w:val="center"/>
          </w:tcPr>
          <w:p w:rsidRPr="00140B7B" w:rsidR="00083A0A" w:rsidP="004D6EAD" w:rsidRDefault="00083A0A" w14:paraId="2551D4A5" w14:textId="77777777">
            <w:pPr>
              <w:spacing w:line="240" w:lineRule="auto"/>
              <w:rPr>
                <w:rFonts w:cs="Calibri"/>
                <w:b/>
                <w:bCs/>
                <w:color w:val="000000"/>
                <w:sz w:val="16"/>
                <w:szCs w:val="16"/>
              </w:rPr>
            </w:pPr>
            <w:r>
              <w:rPr>
                <w:rFonts w:cs="Calibri"/>
                <w:b/>
                <w:bCs/>
                <w:color w:val="000000"/>
                <w:sz w:val="16"/>
                <w:szCs w:val="16"/>
              </w:rPr>
              <w:t>-16,5</w:t>
            </w:r>
          </w:p>
        </w:tc>
      </w:tr>
      <w:tr w:rsidRPr="001034A5" w:rsidR="00083A0A" w:rsidTr="004D6EAD" w14:paraId="0AA71530" w14:textId="77777777">
        <w:trPr>
          <w:trHeight w:val="264"/>
        </w:trPr>
        <w:tc>
          <w:tcPr>
            <w:tcW w:w="3474"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69649F01"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CAK</w:t>
            </w:r>
          </w:p>
        </w:tc>
        <w:tc>
          <w:tcPr>
            <w:tcW w:w="851"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5434E5AB"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850"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0C5BB813" w14:textId="77777777">
            <w:pPr>
              <w:spacing w:line="240" w:lineRule="auto"/>
              <w:rPr>
                <w:rFonts w:eastAsia="Times New Roman" w:cs="Arial"/>
                <w:color w:val="000000"/>
                <w:sz w:val="16"/>
                <w:szCs w:val="16"/>
                <w:lang w:eastAsia="nl-NL"/>
              </w:rPr>
            </w:pPr>
            <w:r>
              <w:rPr>
                <w:rFonts w:cs="Calibri"/>
                <w:color w:val="000000"/>
                <w:sz w:val="16"/>
                <w:szCs w:val="16"/>
              </w:rPr>
              <w:t>-1,4</w:t>
            </w:r>
          </w:p>
        </w:tc>
        <w:tc>
          <w:tcPr>
            <w:tcW w:w="789"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35B17A68" w14:textId="77777777">
            <w:pPr>
              <w:spacing w:line="240" w:lineRule="auto"/>
              <w:rPr>
                <w:rFonts w:eastAsia="Times New Roman" w:cs="Arial"/>
                <w:color w:val="000000"/>
                <w:sz w:val="16"/>
                <w:szCs w:val="16"/>
                <w:lang w:eastAsia="nl-NL"/>
              </w:rPr>
            </w:pPr>
            <w:r>
              <w:rPr>
                <w:rFonts w:cs="Calibri"/>
                <w:color w:val="000000"/>
                <w:sz w:val="16"/>
                <w:szCs w:val="16"/>
              </w:rPr>
              <w:t>-2,1</w:t>
            </w:r>
          </w:p>
        </w:tc>
        <w:tc>
          <w:tcPr>
            <w:tcW w:w="907"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74B1C8E3" w14:textId="77777777">
            <w:pPr>
              <w:spacing w:line="240" w:lineRule="auto"/>
              <w:rPr>
                <w:rFonts w:eastAsia="Times New Roman" w:cs="Arial"/>
                <w:color w:val="000000"/>
                <w:sz w:val="16"/>
                <w:szCs w:val="16"/>
                <w:lang w:eastAsia="nl-NL"/>
              </w:rPr>
            </w:pPr>
            <w:r>
              <w:rPr>
                <w:rFonts w:cs="Calibri"/>
                <w:color w:val="000000"/>
                <w:sz w:val="16"/>
                <w:szCs w:val="16"/>
              </w:rPr>
              <w:t>-2,7</w:t>
            </w:r>
          </w:p>
        </w:tc>
        <w:tc>
          <w:tcPr>
            <w:tcW w:w="907" w:type="dxa"/>
            <w:tcBorders>
              <w:top w:val="single" w:color="98A7BD" w:themeColor="text2" w:themeTint="80" w:sz="4" w:space="0"/>
              <w:left w:val="nil"/>
              <w:bottom w:val="nil"/>
              <w:right w:val="nil"/>
            </w:tcBorders>
            <w:shd w:val="clear" w:color="auto" w:fill="auto"/>
            <w:noWrap/>
            <w:vAlign w:val="center"/>
            <w:hideMark/>
          </w:tcPr>
          <w:p w:rsidRPr="001034A5" w:rsidR="00083A0A" w:rsidP="004D6EAD" w:rsidRDefault="00083A0A" w14:paraId="637495E3" w14:textId="77777777">
            <w:pPr>
              <w:spacing w:line="240" w:lineRule="auto"/>
              <w:rPr>
                <w:rFonts w:eastAsia="Times New Roman" w:cs="Arial"/>
                <w:color w:val="000000"/>
                <w:sz w:val="16"/>
                <w:szCs w:val="16"/>
                <w:lang w:eastAsia="nl-NL"/>
              </w:rPr>
            </w:pPr>
            <w:r>
              <w:rPr>
                <w:rFonts w:cs="Calibri"/>
                <w:color w:val="000000"/>
                <w:sz w:val="16"/>
                <w:szCs w:val="16"/>
              </w:rPr>
              <w:t>-3,3</w:t>
            </w:r>
          </w:p>
        </w:tc>
      </w:tr>
      <w:tr w:rsidRPr="001034A5" w:rsidR="00083A0A" w:rsidTr="004D6EAD" w14:paraId="05532E18"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46E47F3F"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CIZ</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46F25F31"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5B3AA354"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7398C71F" w14:textId="77777777">
            <w:pPr>
              <w:spacing w:line="240" w:lineRule="auto"/>
              <w:rPr>
                <w:rFonts w:eastAsia="Times New Roman" w:cs="Arial"/>
                <w:color w:val="000000"/>
                <w:sz w:val="16"/>
                <w:szCs w:val="16"/>
                <w:lang w:eastAsia="nl-NL"/>
              </w:rPr>
            </w:pPr>
            <w:r>
              <w:rPr>
                <w:rFonts w:cs="Calibri"/>
                <w:color w:val="000000"/>
                <w:sz w:val="16"/>
                <w:szCs w:val="16"/>
              </w:rPr>
              <w:t>-2,3</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471BE8E5" w14:textId="77777777">
            <w:pPr>
              <w:spacing w:line="240" w:lineRule="auto"/>
              <w:rPr>
                <w:rFonts w:eastAsia="Times New Roman" w:cs="Arial"/>
                <w:color w:val="000000"/>
                <w:sz w:val="16"/>
                <w:szCs w:val="16"/>
                <w:lang w:eastAsia="nl-NL"/>
              </w:rPr>
            </w:pPr>
            <w:r>
              <w:rPr>
                <w:rFonts w:cs="Calibri"/>
                <w:color w:val="000000"/>
                <w:sz w:val="16"/>
                <w:szCs w:val="16"/>
              </w:rPr>
              <w:t>-3,2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14C2841E" w14:textId="77777777">
            <w:pPr>
              <w:spacing w:line="240" w:lineRule="auto"/>
              <w:rPr>
                <w:rFonts w:eastAsia="Times New Roman" w:cs="Arial"/>
                <w:color w:val="000000"/>
                <w:sz w:val="16"/>
                <w:szCs w:val="16"/>
                <w:lang w:eastAsia="nl-NL"/>
              </w:rPr>
            </w:pPr>
            <w:r>
              <w:rPr>
                <w:rFonts w:cs="Calibri"/>
                <w:color w:val="000000"/>
                <w:sz w:val="16"/>
                <w:szCs w:val="16"/>
              </w:rPr>
              <w:t>-4,1</w:t>
            </w:r>
          </w:p>
        </w:tc>
      </w:tr>
      <w:tr w:rsidRPr="001034A5" w:rsidR="00083A0A" w:rsidTr="004D6EAD" w14:paraId="35E8865D"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631C1539"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CSZ</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476728FD"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5B9C405C"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145DEA15"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71E9E73E"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35591788" w14:textId="77777777">
            <w:pPr>
              <w:spacing w:line="240" w:lineRule="auto"/>
              <w:rPr>
                <w:rFonts w:eastAsia="Times New Roman" w:cs="Arial"/>
                <w:color w:val="000000"/>
                <w:sz w:val="16"/>
                <w:szCs w:val="16"/>
                <w:lang w:eastAsia="nl-NL"/>
              </w:rPr>
            </w:pPr>
            <w:r>
              <w:rPr>
                <w:rFonts w:cs="Calibri"/>
                <w:color w:val="000000"/>
                <w:sz w:val="16"/>
                <w:szCs w:val="16"/>
              </w:rPr>
              <w:t>0</w:t>
            </w:r>
          </w:p>
        </w:tc>
      </w:tr>
      <w:tr w:rsidRPr="001034A5" w:rsidR="00083A0A" w:rsidTr="004D6EAD" w14:paraId="19E6BDE1" w14:textId="77777777">
        <w:trPr>
          <w:trHeight w:val="283"/>
        </w:trPr>
        <w:tc>
          <w:tcPr>
            <w:tcW w:w="3474" w:type="dxa"/>
            <w:tcBorders>
              <w:top w:val="nil"/>
              <w:left w:val="nil"/>
              <w:bottom w:val="nil"/>
              <w:right w:val="nil"/>
            </w:tcBorders>
            <w:shd w:val="clear" w:color="auto" w:fill="auto"/>
            <w:vAlign w:val="center"/>
            <w:hideMark/>
          </w:tcPr>
          <w:p w:rsidRPr="001034A5" w:rsidR="00083A0A" w:rsidP="004D6EAD" w:rsidRDefault="00083A0A" w14:paraId="34775BFA" w14:textId="77777777">
            <w:pPr>
              <w:spacing w:line="240" w:lineRule="auto"/>
              <w:rPr>
                <w:rFonts w:eastAsia="Times New Roman" w:cs="Arial"/>
                <w:color w:val="000000"/>
                <w:sz w:val="16"/>
                <w:szCs w:val="16"/>
                <w:lang w:eastAsia="nl-NL"/>
              </w:rPr>
            </w:pPr>
            <w:r>
              <w:rPr>
                <w:rFonts w:cs="Calibri"/>
                <w:color w:val="000000"/>
                <w:sz w:val="16"/>
                <w:szCs w:val="16"/>
              </w:rPr>
              <w:t xml:space="preserve">   Generieke taakstelling Dopingautoriteit</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62105684"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27D3F7D9"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09D7F6E8"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3D27E92A" w14:textId="77777777">
            <w:pPr>
              <w:spacing w:line="240" w:lineRule="auto"/>
              <w:rPr>
                <w:rFonts w:eastAsia="Times New Roman" w:cs="Arial"/>
                <w:color w:val="000000"/>
                <w:sz w:val="16"/>
                <w:szCs w:val="16"/>
                <w:lang w:eastAsia="nl-NL"/>
              </w:rPr>
            </w:pPr>
            <w:r>
              <w:rPr>
                <w:rFonts w:cs="Calibri"/>
                <w:color w:val="000000"/>
                <w:sz w:val="16"/>
                <w:szCs w:val="16"/>
              </w:rPr>
              <w:t>-0,1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3F28C3A7" w14:textId="77777777">
            <w:pPr>
              <w:spacing w:line="240" w:lineRule="auto"/>
              <w:rPr>
                <w:rFonts w:eastAsia="Times New Roman" w:cs="Arial"/>
                <w:color w:val="000000"/>
                <w:sz w:val="16"/>
                <w:szCs w:val="16"/>
                <w:lang w:eastAsia="nl-NL"/>
              </w:rPr>
            </w:pPr>
            <w:r>
              <w:rPr>
                <w:rFonts w:cs="Calibri"/>
                <w:color w:val="000000"/>
                <w:sz w:val="16"/>
                <w:szCs w:val="16"/>
              </w:rPr>
              <w:t>-0,1</w:t>
            </w:r>
          </w:p>
        </w:tc>
      </w:tr>
      <w:tr w:rsidRPr="001034A5" w:rsidR="00083A0A" w:rsidTr="004D6EAD" w14:paraId="2BB2C389"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440F1CE8"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lastRenderedPageBreak/>
              <w:t>Generieke taakstelling NVWA</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12D4C4A7" w14:textId="77777777">
            <w:pPr>
              <w:spacing w:line="240" w:lineRule="auto"/>
              <w:rPr>
                <w:rFonts w:eastAsia="Times New Roman" w:cs="Arial"/>
                <w:color w:val="000000"/>
                <w:sz w:val="16"/>
                <w:szCs w:val="16"/>
                <w:lang w:eastAsia="nl-NL"/>
              </w:rPr>
            </w:pPr>
            <w:r>
              <w:rPr>
                <w:rFonts w:cs="Calibri"/>
                <w:color w:val="000000"/>
                <w:sz w:val="16"/>
                <w:szCs w:val="16"/>
              </w:rPr>
              <w:t>-1,4</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07890261"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2E2CF032" w14:textId="77777777">
            <w:pPr>
              <w:spacing w:line="240" w:lineRule="auto"/>
              <w:rPr>
                <w:rFonts w:eastAsia="Times New Roman" w:cs="Arial"/>
                <w:color w:val="000000"/>
                <w:sz w:val="16"/>
                <w:szCs w:val="16"/>
                <w:lang w:eastAsia="nl-NL"/>
              </w:rPr>
            </w:pPr>
            <w:r>
              <w:rPr>
                <w:rFonts w:cs="Calibri"/>
                <w:color w:val="000000"/>
                <w:sz w:val="16"/>
                <w:szCs w:val="16"/>
              </w:rPr>
              <w:t>-2,2</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0D078768" w14:textId="77777777">
            <w:pPr>
              <w:spacing w:line="240" w:lineRule="auto"/>
              <w:rPr>
                <w:rFonts w:eastAsia="Times New Roman" w:cs="Arial"/>
                <w:color w:val="000000"/>
                <w:sz w:val="16"/>
                <w:szCs w:val="16"/>
                <w:lang w:eastAsia="nl-NL"/>
              </w:rPr>
            </w:pPr>
            <w:r>
              <w:rPr>
                <w:rFonts w:cs="Calibri"/>
                <w:color w:val="000000"/>
                <w:sz w:val="16"/>
                <w:szCs w:val="16"/>
              </w:rPr>
              <w:t>-3,1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74E26111" w14:textId="77777777">
            <w:pPr>
              <w:spacing w:line="240" w:lineRule="auto"/>
              <w:rPr>
                <w:rFonts w:eastAsia="Times New Roman" w:cs="Arial"/>
                <w:color w:val="000000"/>
                <w:sz w:val="16"/>
                <w:szCs w:val="16"/>
                <w:lang w:eastAsia="nl-NL"/>
              </w:rPr>
            </w:pPr>
            <w:r>
              <w:rPr>
                <w:rFonts w:cs="Calibri"/>
                <w:color w:val="000000"/>
                <w:sz w:val="16"/>
                <w:szCs w:val="16"/>
              </w:rPr>
              <w:t>-3,9</w:t>
            </w:r>
          </w:p>
        </w:tc>
      </w:tr>
      <w:tr w:rsidRPr="001034A5" w:rsidR="00083A0A" w:rsidTr="004D6EAD" w14:paraId="718DB183"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04042A14"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 xml:space="preserve">Generieke taakstelling </w:t>
            </w:r>
            <w:proofErr w:type="spellStart"/>
            <w:r>
              <w:rPr>
                <w:rFonts w:cs="Calibri"/>
                <w:color w:val="000000"/>
                <w:sz w:val="16"/>
                <w:szCs w:val="16"/>
              </w:rPr>
              <w:t>Nza</w:t>
            </w:r>
            <w:proofErr w:type="spellEnd"/>
          </w:p>
        </w:tc>
        <w:tc>
          <w:tcPr>
            <w:tcW w:w="851" w:type="dxa"/>
            <w:tcBorders>
              <w:top w:val="nil"/>
              <w:left w:val="nil"/>
              <w:bottom w:val="nil"/>
              <w:right w:val="nil"/>
            </w:tcBorders>
            <w:shd w:val="clear" w:color="auto" w:fill="auto"/>
            <w:noWrap/>
            <w:vAlign w:val="center"/>
            <w:hideMark/>
          </w:tcPr>
          <w:p w:rsidRPr="001034A5" w:rsidR="00083A0A" w:rsidP="004D6EAD" w:rsidRDefault="00083A0A" w14:paraId="2ECEE36F" w14:textId="77777777">
            <w:pPr>
              <w:spacing w:line="240" w:lineRule="auto"/>
              <w:rPr>
                <w:rFonts w:eastAsia="Times New Roman" w:cs="Arial"/>
                <w:color w:val="000000"/>
                <w:sz w:val="16"/>
                <w:szCs w:val="16"/>
                <w:lang w:eastAsia="nl-NL"/>
              </w:rPr>
            </w:pPr>
            <w:r>
              <w:rPr>
                <w:rFonts w:cs="Calibri"/>
                <w:color w:val="000000"/>
                <w:sz w:val="16"/>
                <w:szCs w:val="16"/>
              </w:rPr>
              <w:t>-0,8</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51F7EC92" w14:textId="77777777">
            <w:pPr>
              <w:spacing w:line="240" w:lineRule="auto"/>
              <w:rPr>
                <w:rFonts w:eastAsia="Times New Roman" w:cs="Arial"/>
                <w:color w:val="000000"/>
                <w:sz w:val="16"/>
                <w:szCs w:val="16"/>
                <w:lang w:eastAsia="nl-NL"/>
              </w:rPr>
            </w:pPr>
            <w:r>
              <w:rPr>
                <w:rFonts w:cs="Calibri"/>
                <w:color w:val="000000"/>
                <w:sz w:val="16"/>
                <w:szCs w:val="16"/>
              </w:rPr>
              <w:t>-0,8</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2F3B6F50" w14:textId="77777777">
            <w:pPr>
              <w:spacing w:line="240" w:lineRule="auto"/>
              <w:rPr>
                <w:rFonts w:eastAsia="Times New Roman" w:cs="Arial"/>
                <w:color w:val="000000"/>
                <w:sz w:val="16"/>
                <w:szCs w:val="16"/>
                <w:lang w:eastAsia="nl-NL"/>
              </w:rPr>
            </w:pPr>
            <w:r>
              <w:rPr>
                <w:rFonts w:cs="Calibri"/>
                <w:color w:val="000000"/>
                <w:sz w:val="16"/>
                <w:szCs w:val="16"/>
              </w:rPr>
              <w:t>-1,1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162A147A"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67603993" w14:textId="77777777">
            <w:pPr>
              <w:spacing w:line="240" w:lineRule="auto"/>
              <w:rPr>
                <w:rFonts w:eastAsia="Times New Roman" w:cs="Arial"/>
                <w:color w:val="000000"/>
                <w:sz w:val="16"/>
                <w:szCs w:val="16"/>
                <w:lang w:eastAsia="nl-NL"/>
              </w:rPr>
            </w:pPr>
            <w:r>
              <w:rPr>
                <w:rFonts w:cs="Calibri"/>
                <w:color w:val="000000"/>
                <w:sz w:val="16"/>
                <w:szCs w:val="16"/>
              </w:rPr>
              <w:t>-1,9</w:t>
            </w:r>
          </w:p>
        </w:tc>
      </w:tr>
      <w:tr w:rsidRPr="001034A5" w:rsidR="00083A0A" w:rsidTr="004D6EAD" w14:paraId="34010851"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63DFEB1E"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Generieke taakstelling PUR</w:t>
            </w:r>
          </w:p>
        </w:tc>
        <w:tc>
          <w:tcPr>
            <w:tcW w:w="851" w:type="dxa"/>
            <w:tcBorders>
              <w:top w:val="nil"/>
              <w:left w:val="nil"/>
              <w:bottom w:val="nil"/>
              <w:right w:val="nil"/>
            </w:tcBorders>
            <w:shd w:val="clear" w:color="auto" w:fill="auto"/>
            <w:noWrap/>
            <w:vAlign w:val="center"/>
            <w:hideMark/>
          </w:tcPr>
          <w:p w:rsidRPr="001034A5" w:rsidR="00083A0A" w:rsidP="004D6EAD" w:rsidRDefault="00083A0A" w14:paraId="204BD9E8"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18F3645D"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4C5DF769"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4BE956C1" w14:textId="77777777">
            <w:pPr>
              <w:spacing w:line="240" w:lineRule="auto"/>
              <w:rPr>
                <w:rFonts w:eastAsia="Times New Roman" w:cs="Arial"/>
                <w:color w:val="000000"/>
                <w:sz w:val="16"/>
                <w:szCs w:val="16"/>
                <w:lang w:eastAsia="nl-NL"/>
              </w:rPr>
            </w:pPr>
            <w:r>
              <w:rPr>
                <w:rFonts w:cs="Calibri"/>
                <w:color w:val="000000"/>
                <w:sz w:val="16"/>
                <w:szCs w:val="16"/>
              </w:rPr>
              <w:t>0</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51B1FB43" w14:textId="77777777">
            <w:pPr>
              <w:spacing w:line="240" w:lineRule="auto"/>
              <w:rPr>
                <w:rFonts w:eastAsia="Times New Roman" w:cs="Arial"/>
                <w:color w:val="000000"/>
                <w:sz w:val="16"/>
                <w:szCs w:val="16"/>
                <w:lang w:eastAsia="nl-NL"/>
              </w:rPr>
            </w:pPr>
            <w:r>
              <w:rPr>
                <w:rFonts w:cs="Calibri"/>
                <w:color w:val="000000"/>
                <w:sz w:val="16"/>
                <w:szCs w:val="16"/>
              </w:rPr>
              <w:t>0</w:t>
            </w:r>
          </w:p>
        </w:tc>
      </w:tr>
      <w:tr w:rsidRPr="001034A5" w:rsidR="00083A0A" w:rsidTr="004D6EAD" w14:paraId="64110054" w14:textId="77777777">
        <w:trPr>
          <w:trHeight w:val="264"/>
        </w:trPr>
        <w:tc>
          <w:tcPr>
            <w:tcW w:w="3474" w:type="dxa"/>
            <w:tcBorders>
              <w:top w:val="nil"/>
              <w:left w:val="nil"/>
              <w:bottom w:val="nil"/>
              <w:right w:val="nil"/>
            </w:tcBorders>
            <w:shd w:val="clear" w:color="auto" w:fill="auto"/>
            <w:noWrap/>
            <w:vAlign w:val="center"/>
            <w:hideMark/>
          </w:tcPr>
          <w:p w:rsidRPr="001034A5" w:rsidR="00083A0A" w:rsidP="004D6EAD" w:rsidRDefault="00083A0A" w14:paraId="26A8D023"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 xml:space="preserve">Generieke taakstelling </w:t>
            </w:r>
            <w:proofErr w:type="spellStart"/>
            <w:r>
              <w:rPr>
                <w:rFonts w:cs="Calibri"/>
                <w:color w:val="000000"/>
                <w:sz w:val="16"/>
                <w:szCs w:val="16"/>
              </w:rPr>
              <w:t>ZiNL</w:t>
            </w:r>
            <w:proofErr w:type="spellEnd"/>
          </w:p>
        </w:tc>
        <w:tc>
          <w:tcPr>
            <w:tcW w:w="851" w:type="dxa"/>
            <w:tcBorders>
              <w:top w:val="nil"/>
              <w:left w:val="nil"/>
              <w:bottom w:val="nil"/>
              <w:right w:val="nil"/>
            </w:tcBorders>
            <w:shd w:val="clear" w:color="auto" w:fill="auto"/>
            <w:noWrap/>
            <w:vAlign w:val="center"/>
            <w:hideMark/>
          </w:tcPr>
          <w:p w:rsidRPr="001034A5" w:rsidR="00083A0A" w:rsidP="004D6EAD" w:rsidRDefault="00083A0A" w14:paraId="354597D9" w14:textId="77777777">
            <w:pPr>
              <w:spacing w:line="240" w:lineRule="auto"/>
              <w:rPr>
                <w:rFonts w:eastAsia="Times New Roman" w:cs="Arial"/>
                <w:color w:val="000000"/>
                <w:sz w:val="16"/>
                <w:szCs w:val="16"/>
                <w:lang w:eastAsia="nl-NL"/>
              </w:rPr>
            </w:pPr>
            <w:r>
              <w:rPr>
                <w:rFonts w:cs="Calibri"/>
                <w:color w:val="000000"/>
                <w:sz w:val="16"/>
                <w:szCs w:val="16"/>
              </w:rPr>
              <w:t>-0,8</w:t>
            </w:r>
          </w:p>
        </w:tc>
        <w:tc>
          <w:tcPr>
            <w:tcW w:w="850" w:type="dxa"/>
            <w:tcBorders>
              <w:top w:val="nil"/>
              <w:left w:val="nil"/>
              <w:bottom w:val="nil"/>
              <w:right w:val="nil"/>
            </w:tcBorders>
            <w:shd w:val="clear" w:color="auto" w:fill="auto"/>
            <w:noWrap/>
            <w:vAlign w:val="center"/>
            <w:hideMark/>
          </w:tcPr>
          <w:p w:rsidRPr="001034A5" w:rsidR="00083A0A" w:rsidP="004D6EAD" w:rsidRDefault="00083A0A" w14:paraId="49DF1E19" w14:textId="77777777">
            <w:pPr>
              <w:spacing w:line="240" w:lineRule="auto"/>
              <w:rPr>
                <w:rFonts w:eastAsia="Times New Roman" w:cs="Arial"/>
                <w:color w:val="000000"/>
                <w:sz w:val="16"/>
                <w:szCs w:val="16"/>
                <w:lang w:eastAsia="nl-NL"/>
              </w:rPr>
            </w:pPr>
            <w:r>
              <w:rPr>
                <w:rFonts w:cs="Calibri"/>
                <w:color w:val="000000"/>
                <w:sz w:val="16"/>
                <w:szCs w:val="16"/>
              </w:rPr>
              <w:t>-0,8</w:t>
            </w:r>
          </w:p>
        </w:tc>
        <w:tc>
          <w:tcPr>
            <w:tcW w:w="789" w:type="dxa"/>
            <w:tcBorders>
              <w:top w:val="nil"/>
              <w:left w:val="nil"/>
              <w:bottom w:val="nil"/>
              <w:right w:val="nil"/>
            </w:tcBorders>
            <w:shd w:val="clear" w:color="auto" w:fill="auto"/>
            <w:noWrap/>
            <w:vAlign w:val="center"/>
            <w:hideMark/>
          </w:tcPr>
          <w:p w:rsidRPr="001034A5" w:rsidR="00083A0A" w:rsidP="004D6EAD" w:rsidRDefault="00083A0A" w14:paraId="0F927CC0" w14:textId="77777777">
            <w:pPr>
              <w:spacing w:line="240" w:lineRule="auto"/>
              <w:rPr>
                <w:rFonts w:eastAsia="Times New Roman" w:cs="Arial"/>
                <w:color w:val="000000"/>
                <w:sz w:val="16"/>
                <w:szCs w:val="16"/>
                <w:lang w:eastAsia="nl-NL"/>
              </w:rPr>
            </w:pPr>
            <w:r>
              <w:rPr>
                <w:rFonts w:cs="Calibri"/>
                <w:color w:val="000000"/>
                <w:sz w:val="16"/>
                <w:szCs w:val="16"/>
              </w:rPr>
              <w:t>-1,1</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01C89929" w14:textId="77777777">
            <w:pPr>
              <w:spacing w:line="240" w:lineRule="auto"/>
              <w:rPr>
                <w:rFonts w:eastAsia="Times New Roman" w:cs="Arial"/>
                <w:color w:val="000000"/>
                <w:sz w:val="16"/>
                <w:szCs w:val="16"/>
                <w:lang w:eastAsia="nl-NL"/>
              </w:rPr>
            </w:pPr>
            <w:r>
              <w:rPr>
                <w:rFonts w:cs="Calibri"/>
                <w:color w:val="000000"/>
                <w:sz w:val="16"/>
                <w:szCs w:val="16"/>
              </w:rPr>
              <w:t>-1,5</w:t>
            </w:r>
          </w:p>
        </w:tc>
        <w:tc>
          <w:tcPr>
            <w:tcW w:w="907" w:type="dxa"/>
            <w:tcBorders>
              <w:top w:val="nil"/>
              <w:left w:val="nil"/>
              <w:bottom w:val="nil"/>
              <w:right w:val="nil"/>
            </w:tcBorders>
            <w:shd w:val="clear" w:color="auto" w:fill="auto"/>
            <w:noWrap/>
            <w:vAlign w:val="center"/>
            <w:hideMark/>
          </w:tcPr>
          <w:p w:rsidRPr="001034A5" w:rsidR="00083A0A" w:rsidP="004D6EAD" w:rsidRDefault="00083A0A" w14:paraId="07A87158" w14:textId="77777777">
            <w:pPr>
              <w:spacing w:line="240" w:lineRule="auto"/>
              <w:rPr>
                <w:rFonts w:eastAsia="Times New Roman" w:cs="Arial"/>
                <w:color w:val="000000"/>
                <w:sz w:val="16"/>
                <w:szCs w:val="16"/>
                <w:lang w:eastAsia="nl-NL"/>
              </w:rPr>
            </w:pPr>
            <w:r>
              <w:rPr>
                <w:rFonts w:cs="Calibri"/>
                <w:color w:val="000000"/>
                <w:sz w:val="16"/>
                <w:szCs w:val="16"/>
              </w:rPr>
              <w:t>-1,8</w:t>
            </w:r>
          </w:p>
        </w:tc>
      </w:tr>
      <w:tr w:rsidRPr="001034A5" w:rsidR="00083A0A" w:rsidTr="004D6EAD" w14:paraId="19689A8C" w14:textId="77777777">
        <w:trPr>
          <w:trHeight w:val="264"/>
        </w:trPr>
        <w:tc>
          <w:tcPr>
            <w:tcW w:w="3474" w:type="dxa"/>
            <w:tcBorders>
              <w:top w:val="nil"/>
              <w:left w:val="nil"/>
              <w:bottom w:val="single" w:color="8EAADB" w:sz="4" w:space="0"/>
              <w:right w:val="nil"/>
            </w:tcBorders>
            <w:shd w:val="clear" w:color="auto" w:fill="auto"/>
            <w:noWrap/>
            <w:vAlign w:val="center"/>
            <w:hideMark/>
          </w:tcPr>
          <w:p w:rsidRPr="001034A5" w:rsidR="00083A0A" w:rsidP="004D6EAD" w:rsidRDefault="00083A0A" w14:paraId="7B4692A9" w14:textId="77777777">
            <w:pPr>
              <w:spacing w:line="240" w:lineRule="auto"/>
              <w:ind w:firstLine="160" w:firstLineChars="100"/>
              <w:rPr>
                <w:rFonts w:eastAsia="Times New Roman" w:cs="Arial"/>
                <w:color w:val="000000"/>
                <w:sz w:val="16"/>
                <w:szCs w:val="16"/>
                <w:lang w:eastAsia="nl-NL"/>
              </w:rPr>
            </w:pPr>
            <w:r>
              <w:rPr>
                <w:rFonts w:cs="Calibri"/>
                <w:color w:val="000000"/>
                <w:sz w:val="16"/>
                <w:szCs w:val="16"/>
              </w:rPr>
              <w:t xml:space="preserve">Generieke taakstelling </w:t>
            </w:r>
            <w:proofErr w:type="spellStart"/>
            <w:r>
              <w:rPr>
                <w:rFonts w:cs="Calibri"/>
                <w:color w:val="000000"/>
                <w:sz w:val="16"/>
                <w:szCs w:val="16"/>
              </w:rPr>
              <w:t>ZonMw</w:t>
            </w:r>
            <w:proofErr w:type="spellEnd"/>
          </w:p>
        </w:tc>
        <w:tc>
          <w:tcPr>
            <w:tcW w:w="851" w:type="dxa"/>
            <w:tcBorders>
              <w:top w:val="nil"/>
              <w:left w:val="nil"/>
              <w:bottom w:val="single" w:color="8EAADB" w:sz="4" w:space="0"/>
              <w:right w:val="nil"/>
            </w:tcBorders>
            <w:shd w:val="clear" w:color="auto" w:fill="auto"/>
            <w:noWrap/>
            <w:vAlign w:val="center"/>
            <w:hideMark/>
          </w:tcPr>
          <w:p w:rsidRPr="001034A5" w:rsidR="00083A0A" w:rsidP="004D6EAD" w:rsidRDefault="00083A0A" w14:paraId="5D754D7C" w14:textId="77777777">
            <w:pPr>
              <w:spacing w:line="240" w:lineRule="auto"/>
              <w:rPr>
                <w:rFonts w:eastAsia="Times New Roman" w:cs="Arial"/>
                <w:color w:val="000000"/>
                <w:sz w:val="16"/>
                <w:szCs w:val="16"/>
                <w:lang w:eastAsia="nl-NL"/>
              </w:rPr>
            </w:pPr>
            <w:r>
              <w:rPr>
                <w:rFonts w:cs="Calibri"/>
                <w:color w:val="000000"/>
                <w:sz w:val="16"/>
                <w:szCs w:val="16"/>
              </w:rPr>
              <w:t>-0,6</w:t>
            </w:r>
          </w:p>
        </w:tc>
        <w:tc>
          <w:tcPr>
            <w:tcW w:w="850" w:type="dxa"/>
            <w:tcBorders>
              <w:top w:val="nil"/>
              <w:left w:val="nil"/>
              <w:bottom w:val="single" w:color="8EAADB" w:sz="4" w:space="0"/>
              <w:right w:val="nil"/>
            </w:tcBorders>
            <w:shd w:val="clear" w:color="auto" w:fill="auto"/>
            <w:noWrap/>
            <w:vAlign w:val="center"/>
            <w:hideMark/>
          </w:tcPr>
          <w:p w:rsidRPr="001034A5" w:rsidR="00083A0A" w:rsidP="004D6EAD" w:rsidRDefault="00083A0A" w14:paraId="782A840E" w14:textId="77777777">
            <w:pPr>
              <w:spacing w:line="240" w:lineRule="auto"/>
              <w:rPr>
                <w:rFonts w:eastAsia="Times New Roman" w:cs="Arial"/>
                <w:color w:val="000000"/>
                <w:sz w:val="16"/>
                <w:szCs w:val="16"/>
                <w:lang w:eastAsia="nl-NL"/>
              </w:rPr>
            </w:pPr>
            <w:r>
              <w:rPr>
                <w:rFonts w:cs="Calibri"/>
                <w:color w:val="000000"/>
                <w:sz w:val="16"/>
                <w:szCs w:val="16"/>
              </w:rPr>
              <w:t>-0,6</w:t>
            </w:r>
          </w:p>
        </w:tc>
        <w:tc>
          <w:tcPr>
            <w:tcW w:w="789" w:type="dxa"/>
            <w:tcBorders>
              <w:top w:val="nil"/>
              <w:left w:val="nil"/>
              <w:bottom w:val="single" w:color="8EAADB" w:sz="4" w:space="0"/>
              <w:right w:val="nil"/>
            </w:tcBorders>
            <w:shd w:val="clear" w:color="auto" w:fill="auto"/>
            <w:noWrap/>
            <w:vAlign w:val="center"/>
            <w:hideMark/>
          </w:tcPr>
          <w:p w:rsidRPr="001034A5" w:rsidR="00083A0A" w:rsidP="004D6EAD" w:rsidRDefault="00083A0A" w14:paraId="12191083" w14:textId="77777777">
            <w:pPr>
              <w:spacing w:line="240" w:lineRule="auto"/>
              <w:rPr>
                <w:rFonts w:eastAsia="Times New Roman" w:cs="Arial"/>
                <w:color w:val="000000"/>
                <w:sz w:val="16"/>
                <w:szCs w:val="16"/>
                <w:lang w:eastAsia="nl-NL"/>
              </w:rPr>
            </w:pPr>
            <w:r>
              <w:rPr>
                <w:rFonts w:cs="Calibri"/>
                <w:color w:val="000000"/>
                <w:sz w:val="16"/>
                <w:szCs w:val="16"/>
              </w:rPr>
              <w:t>-0,9</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669B3C24" w14:textId="77777777">
            <w:pPr>
              <w:spacing w:line="240" w:lineRule="auto"/>
              <w:rPr>
                <w:rFonts w:eastAsia="Times New Roman" w:cs="Arial"/>
                <w:color w:val="000000"/>
                <w:sz w:val="16"/>
                <w:szCs w:val="16"/>
                <w:lang w:eastAsia="nl-NL"/>
              </w:rPr>
            </w:pPr>
            <w:r>
              <w:rPr>
                <w:rFonts w:cs="Calibri"/>
                <w:color w:val="000000"/>
                <w:sz w:val="16"/>
                <w:szCs w:val="16"/>
              </w:rPr>
              <w:t>-1,2</w:t>
            </w:r>
          </w:p>
        </w:tc>
        <w:tc>
          <w:tcPr>
            <w:tcW w:w="907" w:type="dxa"/>
            <w:tcBorders>
              <w:top w:val="nil"/>
              <w:left w:val="nil"/>
              <w:bottom w:val="single" w:color="8EAADB" w:sz="4" w:space="0"/>
              <w:right w:val="nil"/>
            </w:tcBorders>
            <w:shd w:val="clear" w:color="auto" w:fill="auto"/>
            <w:noWrap/>
            <w:vAlign w:val="center"/>
            <w:hideMark/>
          </w:tcPr>
          <w:p w:rsidRPr="001034A5" w:rsidR="00083A0A" w:rsidP="004D6EAD" w:rsidRDefault="00083A0A" w14:paraId="6C5F2703" w14:textId="77777777">
            <w:pPr>
              <w:spacing w:line="240" w:lineRule="auto"/>
              <w:rPr>
                <w:rFonts w:eastAsia="Times New Roman" w:cs="Arial"/>
                <w:color w:val="000000"/>
                <w:sz w:val="16"/>
                <w:szCs w:val="16"/>
                <w:lang w:eastAsia="nl-NL"/>
              </w:rPr>
            </w:pPr>
            <w:r>
              <w:rPr>
                <w:rFonts w:cs="Calibri"/>
                <w:color w:val="000000"/>
                <w:sz w:val="16"/>
                <w:szCs w:val="16"/>
              </w:rPr>
              <w:t>-1,4</w:t>
            </w:r>
          </w:p>
        </w:tc>
      </w:tr>
    </w:tbl>
    <w:p w:rsidR="00083A0A" w:rsidP="00083A0A" w:rsidRDefault="00083A0A" w14:paraId="5CFDBB75" w14:textId="77777777">
      <w:pPr>
        <w:pStyle w:val="Geenafstand"/>
        <w:suppressAutoHyphens/>
        <w:spacing w:line="276" w:lineRule="auto"/>
        <w:rPr>
          <w:rFonts w:eastAsia="DejaVuSerifCondensed"/>
          <w:lang w:val="nl-NL"/>
        </w:rPr>
      </w:pPr>
    </w:p>
    <w:p w:rsidR="00083A0A" w:rsidP="00083A0A" w:rsidRDefault="00083A0A" w14:paraId="0D0D661A" w14:textId="77777777">
      <w:pPr>
        <w:pStyle w:val="Geenafstand"/>
        <w:suppressAutoHyphens/>
        <w:spacing w:line="276" w:lineRule="auto"/>
        <w:rPr>
          <w:rFonts w:eastAsia="DejaVuSerifCondensed"/>
          <w:lang w:val="nl-NL"/>
        </w:rPr>
      </w:pPr>
    </w:p>
    <w:p w:rsidR="00083A0A" w:rsidP="00083A0A" w:rsidRDefault="00083A0A" w14:paraId="5612AAD1"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32</w:t>
      </w:r>
    </w:p>
    <w:p w:rsidRPr="006829D4" w:rsidR="00083A0A" w:rsidP="00083A0A" w:rsidRDefault="00083A0A" w14:paraId="252FF6AF" w14:textId="77777777">
      <w:pPr>
        <w:pStyle w:val="Geenafstand"/>
        <w:suppressAutoHyphens/>
        <w:spacing w:line="276" w:lineRule="auto"/>
        <w:rPr>
          <w:rFonts w:eastAsia="DejaVuSerifCondensed"/>
          <w:lang w:val="nl-NL"/>
        </w:rPr>
      </w:pPr>
      <w:r w:rsidRPr="006829D4">
        <w:rPr>
          <w:rFonts w:eastAsia="DejaVuSerifCondensed"/>
          <w:lang w:val="nl-NL"/>
        </w:rPr>
        <w:t xml:space="preserve">Kunt u een volledig overzicht leveren van de bezuinigingen op de </w:t>
      </w:r>
      <w:proofErr w:type="spellStart"/>
      <w:r w:rsidRPr="006829D4">
        <w:rPr>
          <w:rFonts w:eastAsia="DejaVuSerifCondensed"/>
          <w:lang w:val="nl-NL"/>
        </w:rPr>
        <w:t>SPUKs</w:t>
      </w:r>
      <w:proofErr w:type="spellEnd"/>
      <w:r w:rsidRPr="006829D4">
        <w:rPr>
          <w:rFonts w:eastAsia="DejaVuSerifCondensed"/>
          <w:lang w:val="nl-NL"/>
        </w:rPr>
        <w:t>, uitgesplitst per SPUK?</w:t>
      </w:r>
    </w:p>
    <w:p w:rsidRPr="006829D4" w:rsidR="00083A0A" w:rsidP="00083A0A" w:rsidRDefault="00083A0A" w14:paraId="3C175A7C" w14:textId="77777777">
      <w:pPr>
        <w:pStyle w:val="Geenafstand"/>
        <w:suppressAutoHyphens/>
        <w:spacing w:line="276" w:lineRule="auto"/>
        <w:rPr>
          <w:rFonts w:eastAsia="DejaVuSerifCondensed"/>
          <w:lang w:val="nl-NL"/>
        </w:rPr>
      </w:pPr>
      <w:r w:rsidRPr="006829D4">
        <w:rPr>
          <w:rFonts w:eastAsia="DejaVuSerifCondensed"/>
          <w:lang w:val="nl-NL"/>
        </w:rPr>
        <w:t>Welke gevolgen, in het bijzonder op het vlak van seksuele gezondheid en preventie, ziet u naar</w:t>
      </w:r>
      <w:r>
        <w:rPr>
          <w:rFonts w:eastAsia="DejaVuSerifCondensed"/>
          <w:lang w:val="nl-NL"/>
        </w:rPr>
        <w:t xml:space="preserve"> </w:t>
      </w:r>
      <w:r w:rsidRPr="006829D4">
        <w:rPr>
          <w:rFonts w:eastAsia="DejaVuSerifCondensed"/>
          <w:lang w:val="nl-NL"/>
        </w:rPr>
        <w:t>aanleiding van deze bezuinigingen?</w:t>
      </w:r>
    </w:p>
    <w:p w:rsidR="00083A0A" w:rsidP="00083A0A" w:rsidRDefault="00083A0A" w14:paraId="66F728C0" w14:textId="77777777">
      <w:pPr>
        <w:pStyle w:val="Geenafstand"/>
        <w:suppressAutoHyphens/>
        <w:spacing w:line="276" w:lineRule="auto"/>
        <w:rPr>
          <w:rFonts w:eastAsia="DejaVuSerifCondensed"/>
          <w:lang w:val="nl-NL"/>
        </w:rPr>
      </w:pPr>
    </w:p>
    <w:p w:rsidR="00083A0A" w:rsidP="00083A0A" w:rsidRDefault="00083A0A" w14:paraId="32E3488F" w14:textId="77777777">
      <w:pPr>
        <w:pStyle w:val="Geenafstand"/>
        <w:suppressAutoHyphens/>
        <w:spacing w:line="276" w:lineRule="auto"/>
        <w:rPr>
          <w:rFonts w:eastAsia="DejaVuSerifCondensed"/>
          <w:lang w:val="nl-NL"/>
        </w:rPr>
      </w:pPr>
      <w:r>
        <w:rPr>
          <w:rFonts w:eastAsia="DejaVuSerifCondensed"/>
          <w:lang w:val="nl-NL"/>
        </w:rPr>
        <w:t>Antwoord:</w:t>
      </w:r>
    </w:p>
    <w:p w:rsidRPr="00382253" w:rsidR="00083A0A" w:rsidP="00083A0A" w:rsidRDefault="00083A0A" w14:paraId="5463649F" w14:textId="77777777">
      <w:pPr>
        <w:rPr>
          <w:rFonts w:eastAsiaTheme="majorEastAsia" w:cstheme="majorBidi"/>
          <w:szCs w:val="18"/>
        </w:rPr>
      </w:pPr>
      <w:r w:rsidRPr="00382253">
        <w:rPr>
          <w:rFonts w:eastAsiaTheme="majorEastAsia" w:cstheme="majorBidi"/>
          <w:szCs w:val="18"/>
        </w:rPr>
        <w:t xml:space="preserve">Onderstaande tabel toont het overzicht van de kortingen per specifieke uitkering die bij verwerking van het Hoofdlijnenakkoord zijn geboekt op de begroting van het ministerie van VWS. </w:t>
      </w:r>
    </w:p>
    <w:p w:rsidR="00083A0A" w:rsidP="00083A0A" w:rsidRDefault="00083A0A" w14:paraId="04181D54" w14:textId="77777777">
      <w:pPr>
        <w:rPr>
          <w:rFonts w:eastAsiaTheme="majorEastAsia" w:cstheme="majorBidi"/>
          <w:szCs w:val="18"/>
        </w:rPr>
      </w:pPr>
      <w:r w:rsidRPr="00382253">
        <w:rPr>
          <w:rFonts w:eastAsiaTheme="majorEastAsia" w:cstheme="majorBidi"/>
          <w:szCs w:val="18"/>
        </w:rPr>
        <w:t xml:space="preserve">In het regeerprogramma is aangegeven dat het kabinet werkt aan het omzetten van specifieke uitkeringen in fondsuitkeringen, wat leidt tot meer autonomie voor gemeenten en minder administratie- en controlelasten bij alle overheden. Het kabinet werkt aan een afwegingskader dat voor iedere specifieke uitkering wordt </w:t>
      </w:r>
    </w:p>
    <w:p w:rsidR="00083A0A" w:rsidP="00083A0A" w:rsidRDefault="00083A0A" w14:paraId="2C29D2C5" w14:textId="77777777">
      <w:pPr>
        <w:rPr>
          <w:rFonts w:eastAsiaTheme="majorEastAsia" w:cstheme="majorBidi"/>
          <w:szCs w:val="18"/>
        </w:rPr>
      </w:pPr>
    </w:p>
    <w:p w:rsidR="00083A0A" w:rsidP="00083A0A" w:rsidRDefault="00083A0A" w14:paraId="5B878C55" w14:textId="77777777">
      <w:pPr>
        <w:rPr>
          <w:rFonts w:eastAsiaTheme="majorEastAsia" w:cstheme="majorBidi"/>
          <w:szCs w:val="18"/>
        </w:rPr>
      </w:pPr>
      <w:r w:rsidRPr="00382253">
        <w:rPr>
          <w:rFonts w:eastAsiaTheme="majorEastAsia" w:cstheme="majorBidi"/>
          <w:szCs w:val="18"/>
        </w:rPr>
        <w:t xml:space="preserve">doorlopen om begin 2025 te komen tot een definitieve lijst van SPUKS die worden omgezet. Hierbij wordt onder andere gekeken naar wat de consequenties zijn van omzetting van een specifieke uitkering in een fondsuitkering in samenhang met de toegepaste korting. Dit geldt ook voor de specifieke uitkeringen aanvullende seksuele gezondheidzorg en op het gebied van preventie. </w:t>
      </w:r>
    </w:p>
    <w:p w:rsidR="00083A0A" w:rsidP="00083A0A" w:rsidRDefault="00083A0A" w14:paraId="7A1F7EA1" w14:textId="77777777">
      <w:pPr>
        <w:rPr>
          <w:rFonts w:eastAsiaTheme="majorEastAsia" w:cstheme="majorBidi"/>
          <w:szCs w:val="18"/>
        </w:rPr>
      </w:pPr>
    </w:p>
    <w:p w:rsidRPr="00382253" w:rsidR="00083A0A" w:rsidP="00083A0A" w:rsidRDefault="00083A0A" w14:paraId="2549D9F4" w14:textId="77777777">
      <w:pPr>
        <w:rPr>
          <w:rFonts w:eastAsiaTheme="majorEastAsia" w:cstheme="majorBidi"/>
          <w:szCs w:val="18"/>
        </w:rPr>
      </w:pPr>
    </w:p>
    <w:tbl>
      <w:tblPr>
        <w:tblW w:w="9386" w:type="dxa"/>
        <w:tblCellMar>
          <w:left w:w="70" w:type="dxa"/>
          <w:right w:w="70" w:type="dxa"/>
        </w:tblCellMar>
        <w:tblLook w:val="04A0" w:firstRow="1" w:lastRow="0" w:firstColumn="1" w:lastColumn="0" w:noHBand="0" w:noVBand="1"/>
      </w:tblPr>
      <w:tblGrid>
        <w:gridCol w:w="414"/>
        <w:gridCol w:w="4010"/>
        <w:gridCol w:w="617"/>
        <w:gridCol w:w="617"/>
        <w:gridCol w:w="932"/>
        <w:gridCol w:w="932"/>
        <w:gridCol w:w="932"/>
        <w:gridCol w:w="932"/>
      </w:tblGrid>
      <w:tr w:rsidRPr="0017590C" w:rsidR="00083A0A" w:rsidTr="004D6EAD" w14:paraId="309827AD" w14:textId="77777777">
        <w:trPr>
          <w:trHeight w:val="300"/>
        </w:trPr>
        <w:tc>
          <w:tcPr>
            <w:tcW w:w="414" w:type="dxa"/>
            <w:tcBorders>
              <w:top w:val="single" w:color="auto" w:sz="8" w:space="0"/>
              <w:left w:val="single" w:color="auto" w:sz="8" w:space="0"/>
              <w:bottom w:val="nil"/>
              <w:right w:val="nil"/>
            </w:tcBorders>
            <w:shd w:val="clear" w:color="000000" w:fill="BDD7EE"/>
            <w:noWrap/>
            <w:vAlign w:val="bottom"/>
            <w:hideMark/>
          </w:tcPr>
          <w:p w:rsidRPr="00382253" w:rsidR="00083A0A" w:rsidP="004D6EAD" w:rsidRDefault="00083A0A" w14:paraId="1D3B3C09"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 </w:t>
            </w:r>
          </w:p>
        </w:tc>
        <w:tc>
          <w:tcPr>
            <w:tcW w:w="4010" w:type="dxa"/>
            <w:tcBorders>
              <w:top w:val="single" w:color="auto" w:sz="8" w:space="0"/>
              <w:left w:val="nil"/>
              <w:bottom w:val="nil"/>
              <w:right w:val="single" w:color="auto" w:sz="8" w:space="0"/>
            </w:tcBorders>
            <w:shd w:val="clear" w:color="000000" w:fill="BDD7EE"/>
            <w:noWrap/>
            <w:vAlign w:val="bottom"/>
            <w:hideMark/>
          </w:tcPr>
          <w:p w:rsidRPr="00382253" w:rsidR="00083A0A" w:rsidP="004D6EAD" w:rsidRDefault="00083A0A" w14:paraId="047AE94F" w14:textId="77777777">
            <w:pPr>
              <w:spacing w:line="240" w:lineRule="auto"/>
              <w:rPr>
                <w:rFonts w:eastAsia="Times New Roman" w:cs="Calibri"/>
                <w:b/>
                <w:bCs/>
                <w:sz w:val="16"/>
                <w:szCs w:val="16"/>
                <w:lang w:eastAsia="nl-NL"/>
              </w:rPr>
            </w:pPr>
            <w:r w:rsidRPr="00382253">
              <w:rPr>
                <w:rFonts w:eastAsia="Times New Roman" w:cs="Calibri"/>
                <w:b/>
                <w:bCs/>
                <w:sz w:val="16"/>
                <w:szCs w:val="16"/>
                <w:lang w:eastAsia="nl-NL"/>
              </w:rPr>
              <w:t>Uitgaven</w:t>
            </w:r>
          </w:p>
        </w:tc>
        <w:tc>
          <w:tcPr>
            <w:tcW w:w="4962" w:type="dxa"/>
            <w:gridSpan w:val="6"/>
            <w:tcBorders>
              <w:top w:val="single" w:color="auto" w:sz="8" w:space="0"/>
              <w:left w:val="nil"/>
              <w:bottom w:val="nil"/>
              <w:right w:val="single" w:color="000000" w:sz="8" w:space="0"/>
            </w:tcBorders>
            <w:shd w:val="clear" w:color="000000" w:fill="BDD7EE"/>
            <w:noWrap/>
            <w:vAlign w:val="bottom"/>
            <w:hideMark/>
          </w:tcPr>
          <w:p w:rsidRPr="00382253" w:rsidR="00083A0A" w:rsidP="004D6EAD" w:rsidRDefault="00083A0A" w14:paraId="7A552C79"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Korting HLA</w:t>
            </w:r>
          </w:p>
        </w:tc>
      </w:tr>
      <w:tr w:rsidRPr="0017590C" w:rsidR="00083A0A" w:rsidTr="004D6EAD" w14:paraId="6D4EE8DC" w14:textId="77777777">
        <w:trPr>
          <w:trHeight w:val="300"/>
        </w:trPr>
        <w:tc>
          <w:tcPr>
            <w:tcW w:w="414" w:type="dxa"/>
            <w:tcBorders>
              <w:top w:val="nil"/>
              <w:left w:val="single" w:color="auto" w:sz="8" w:space="0"/>
              <w:bottom w:val="nil"/>
              <w:right w:val="nil"/>
            </w:tcBorders>
            <w:shd w:val="clear" w:color="000000" w:fill="BDD7EE"/>
            <w:noWrap/>
            <w:vAlign w:val="bottom"/>
            <w:hideMark/>
          </w:tcPr>
          <w:p w:rsidRPr="00382253" w:rsidR="00083A0A" w:rsidP="004D6EAD" w:rsidRDefault="00083A0A" w14:paraId="5836EC4A"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w:t>
            </w:r>
          </w:p>
        </w:tc>
        <w:tc>
          <w:tcPr>
            <w:tcW w:w="4010" w:type="dxa"/>
            <w:tcBorders>
              <w:top w:val="nil"/>
              <w:left w:val="nil"/>
              <w:bottom w:val="nil"/>
              <w:right w:val="single" w:color="auto" w:sz="8" w:space="0"/>
            </w:tcBorders>
            <w:shd w:val="clear" w:color="000000" w:fill="BDD7EE"/>
            <w:noWrap/>
            <w:vAlign w:val="bottom"/>
            <w:hideMark/>
          </w:tcPr>
          <w:p w:rsidRPr="00382253" w:rsidR="00083A0A" w:rsidP="004D6EAD" w:rsidRDefault="00083A0A" w14:paraId="4E13C7EC"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Naam</w:t>
            </w:r>
          </w:p>
        </w:tc>
        <w:tc>
          <w:tcPr>
            <w:tcW w:w="617" w:type="dxa"/>
            <w:tcBorders>
              <w:top w:val="nil"/>
              <w:left w:val="nil"/>
              <w:bottom w:val="nil"/>
              <w:right w:val="nil"/>
            </w:tcBorders>
            <w:shd w:val="clear" w:color="000000" w:fill="BDD7EE"/>
            <w:noWrap/>
            <w:vAlign w:val="bottom"/>
            <w:hideMark/>
          </w:tcPr>
          <w:p w:rsidRPr="00382253" w:rsidR="00083A0A" w:rsidP="004D6EAD" w:rsidRDefault="00083A0A" w14:paraId="67E977EE"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2024</w:t>
            </w:r>
          </w:p>
        </w:tc>
        <w:tc>
          <w:tcPr>
            <w:tcW w:w="617" w:type="dxa"/>
            <w:tcBorders>
              <w:top w:val="nil"/>
              <w:left w:val="nil"/>
              <w:bottom w:val="nil"/>
              <w:right w:val="nil"/>
            </w:tcBorders>
            <w:shd w:val="clear" w:color="000000" w:fill="BDD7EE"/>
            <w:noWrap/>
            <w:vAlign w:val="bottom"/>
            <w:hideMark/>
          </w:tcPr>
          <w:p w:rsidRPr="00382253" w:rsidR="00083A0A" w:rsidP="004D6EAD" w:rsidRDefault="00083A0A" w14:paraId="02AAE571"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2025</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7130DCD1"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2026</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7A9423AD"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2027</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2029AE64"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2028</w:t>
            </w:r>
          </w:p>
        </w:tc>
        <w:tc>
          <w:tcPr>
            <w:tcW w:w="932" w:type="dxa"/>
            <w:tcBorders>
              <w:top w:val="nil"/>
              <w:left w:val="nil"/>
              <w:bottom w:val="nil"/>
              <w:right w:val="single" w:color="auto" w:sz="8" w:space="0"/>
            </w:tcBorders>
            <w:shd w:val="clear" w:color="000000" w:fill="BDD7EE"/>
            <w:noWrap/>
            <w:vAlign w:val="bottom"/>
            <w:hideMark/>
          </w:tcPr>
          <w:p w:rsidRPr="00382253" w:rsidR="00083A0A" w:rsidP="004D6EAD" w:rsidRDefault="00083A0A" w14:paraId="7A14069F"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2029</w:t>
            </w:r>
          </w:p>
        </w:tc>
      </w:tr>
      <w:tr w:rsidRPr="0017590C" w:rsidR="00083A0A" w:rsidTr="004D6EAD" w14:paraId="73F591C0"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07483DB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7974E18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gezondheidsachterstanden*</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13FC295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4BCBDFC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754ACF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67C20C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-1.536</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30229BD"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-1.535</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1508216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-1.535</w:t>
            </w:r>
          </w:p>
        </w:tc>
      </w:tr>
      <w:tr w:rsidRPr="0017590C" w:rsidR="00083A0A" w:rsidTr="004D6EAD" w14:paraId="51C53D78"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2EE57B3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34B3FE2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Kansrijke start*</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82A524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0AA3FA90"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FD02EC4"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09F07D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-1.536</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FFCBFD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-1.535</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4E59455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-1.535</w:t>
            </w:r>
          </w:p>
        </w:tc>
      </w:tr>
      <w:tr w:rsidRPr="0017590C" w:rsidR="00083A0A" w:rsidTr="004D6EAD" w14:paraId="5544B6C1"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16D406E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5F198B6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Valpreventie*</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20502A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454452A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924C11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2106E1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-3.755</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B5B4C6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-3.752</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488FF20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-3.752</w:t>
            </w:r>
          </w:p>
        </w:tc>
      </w:tr>
      <w:tr w:rsidRPr="0017590C" w:rsidR="00083A0A" w:rsidTr="004D6EAD" w14:paraId="548519F0"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4823FD8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4</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27C10D3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Brede SPUK</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3424B82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FBA248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31775B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-20.996</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60C4CF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0F27FB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621B833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r>
      <w:tr w:rsidRPr="0017590C" w:rsidR="00083A0A" w:rsidTr="004D6EAD" w14:paraId="471A6DEC"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1140E0E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5</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0101F50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 xml:space="preserve">SPUK Versterking </w:t>
            </w:r>
            <w:proofErr w:type="spellStart"/>
            <w:r w:rsidRPr="00382253">
              <w:rPr>
                <w:rFonts w:eastAsia="Times New Roman" w:cs="Calibri"/>
                <w:color w:val="000000"/>
                <w:sz w:val="16"/>
                <w:szCs w:val="16"/>
                <w:lang w:eastAsia="nl-NL"/>
              </w:rPr>
              <w:t>GGD'en</w:t>
            </w:r>
            <w:proofErr w:type="spellEnd"/>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432132C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BA6E3F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7C83C1C8"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-4.546</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5AE140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-3.517</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2446DC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-3.515</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7634151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-3.515</w:t>
            </w:r>
          </w:p>
        </w:tc>
      </w:tr>
      <w:tr w:rsidRPr="0017590C" w:rsidR="00083A0A" w:rsidTr="004D6EAD" w14:paraId="40ADF4A5"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5BF7CAB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6</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4C29332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Heroïnebehandeling</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39C93D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08DFB6A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96F1CE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-1.333</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6B59E6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-1.236</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08A4A8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-1.235</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545AF67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-1.235</w:t>
            </w:r>
          </w:p>
        </w:tc>
      </w:tr>
      <w:tr w:rsidRPr="0017590C" w:rsidR="00083A0A" w:rsidTr="004D6EAD" w14:paraId="5FC25A8C"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6C8F32D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4C9E0DDD"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Aanvullende seksuele gezondheidzorg</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686B41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58B8E51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83ACAA0"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-3.924</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127C395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-3.302</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2B0709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-3.273</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05DBE3E4"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-3.273</w:t>
            </w:r>
          </w:p>
        </w:tc>
      </w:tr>
      <w:tr w:rsidRPr="0017590C" w:rsidR="00083A0A" w:rsidTr="004D6EAD" w14:paraId="239C350B"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3E1899F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lastRenderedPageBreak/>
              <w:t>8</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50D7117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Transformatiemiddelen</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5C5C45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F093934"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FE481A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-495</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C4F47A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-495</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87D876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62C1105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r>
      <w:tr w:rsidRPr="0017590C" w:rsidR="00083A0A" w:rsidTr="004D6EAD" w14:paraId="7C260D44"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3AABA84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9</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6662CDD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aanpak huiselijk geweld</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77F46C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8CA6D4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8CEE66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-770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7468E9C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-770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77DE8A7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-770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2F737A4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-770</w:t>
            </w:r>
          </w:p>
        </w:tc>
      </w:tr>
      <w:tr w:rsidRPr="0017590C" w:rsidR="00083A0A" w:rsidTr="004D6EAD" w14:paraId="24E86775"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5AD7DAF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10</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25F934B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IZA</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4672BC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507B4C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73AF32A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-14.100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337DE68"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-15.000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15C013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-15.000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31A8699D"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-15.000</w:t>
            </w:r>
          </w:p>
        </w:tc>
      </w:tr>
      <w:tr w:rsidRPr="0017590C" w:rsidR="00083A0A" w:rsidTr="004D6EAD" w14:paraId="431CF684"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02D5A88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11</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59B01A2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Mantelzorg*</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53E7A6A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8F141C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A74C1A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C3658E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-900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BFE181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-900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3DF0348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-900</w:t>
            </w:r>
          </w:p>
        </w:tc>
      </w:tr>
      <w:tr w:rsidRPr="0017590C" w:rsidR="00083A0A" w:rsidTr="004D6EAD" w14:paraId="6115C04A"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4929F20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12</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6935F83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 xml:space="preserve">SPUK </w:t>
            </w:r>
            <w:proofErr w:type="spellStart"/>
            <w:r w:rsidRPr="00382253">
              <w:rPr>
                <w:rFonts w:eastAsia="Times New Roman" w:cs="Calibri"/>
                <w:color w:val="000000"/>
                <w:sz w:val="16"/>
                <w:szCs w:val="16"/>
                <w:lang w:eastAsia="nl-NL"/>
              </w:rPr>
              <w:t>randv</w:t>
            </w:r>
            <w:proofErr w:type="spellEnd"/>
            <w:r w:rsidRPr="00382253">
              <w:rPr>
                <w:rFonts w:eastAsia="Times New Roman" w:cs="Calibri"/>
                <w:color w:val="000000"/>
                <w:sz w:val="16"/>
                <w:szCs w:val="16"/>
                <w:lang w:eastAsia="nl-NL"/>
              </w:rPr>
              <w:t>. functies jeugdhulp</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5680266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0D4D2D4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4CE0488"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-3.210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E90C12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-3.210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24ED6A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-3.210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458D843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-3.210</w:t>
            </w:r>
          </w:p>
        </w:tc>
      </w:tr>
      <w:tr w:rsidRPr="0017590C" w:rsidR="00083A0A" w:rsidTr="004D6EAD" w14:paraId="1CF7AB01"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1A7ECB5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13</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0D4AECF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frictiekosten jeugd</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0E71BA5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3C056F3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787ACB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-6.000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AFA340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-6.500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1BAC112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-2.800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331A8F4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r>
      <w:tr w:rsidRPr="0017590C" w:rsidR="00083A0A" w:rsidTr="004D6EAD" w14:paraId="3E1DBA1F"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646803C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14</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0565CEE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Lokaal Sportakkoord*</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2DBF0CB8"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1557CD68"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646FCB1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FCF6064"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-1.000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1B19BCB"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-1.000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55B28ED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-1.000</w:t>
            </w:r>
          </w:p>
        </w:tc>
      </w:tr>
      <w:tr w:rsidRPr="0017590C" w:rsidR="00083A0A" w:rsidTr="004D6EAD" w14:paraId="2E8AD8F7"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157A1B1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15</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086D32E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Stimulering Sport</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60472FB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25FF8C14"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57AD9F00"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-19.800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AB9A4A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-19.800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7EEDA853"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-19.800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7E5F714F"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-19.800</w:t>
            </w:r>
          </w:p>
        </w:tc>
      </w:tr>
      <w:tr w:rsidRPr="0017590C" w:rsidR="00083A0A" w:rsidTr="004D6EAD" w14:paraId="38B1BB99" w14:textId="77777777">
        <w:trPr>
          <w:trHeight w:val="300"/>
        </w:trPr>
        <w:tc>
          <w:tcPr>
            <w:tcW w:w="414" w:type="dxa"/>
            <w:tcBorders>
              <w:top w:val="nil"/>
              <w:left w:val="single" w:color="auto" w:sz="8" w:space="0"/>
              <w:bottom w:val="nil"/>
              <w:right w:val="nil"/>
            </w:tcBorders>
            <w:shd w:val="clear" w:color="auto" w:fill="auto"/>
            <w:noWrap/>
            <w:vAlign w:val="bottom"/>
            <w:hideMark/>
          </w:tcPr>
          <w:p w:rsidRPr="00382253" w:rsidR="00083A0A" w:rsidP="004D6EAD" w:rsidRDefault="00083A0A" w14:paraId="1FB2398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17</w:t>
            </w:r>
          </w:p>
        </w:tc>
        <w:tc>
          <w:tcPr>
            <w:tcW w:w="4010" w:type="dxa"/>
            <w:tcBorders>
              <w:top w:val="nil"/>
              <w:left w:val="nil"/>
              <w:bottom w:val="nil"/>
              <w:right w:val="single" w:color="auto" w:sz="8" w:space="0"/>
            </w:tcBorders>
            <w:shd w:val="clear" w:color="auto" w:fill="auto"/>
            <w:noWrap/>
            <w:vAlign w:val="bottom"/>
            <w:hideMark/>
          </w:tcPr>
          <w:p w:rsidRPr="00382253" w:rsidR="00083A0A" w:rsidP="004D6EAD" w:rsidRDefault="00083A0A" w14:paraId="1356841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BRC*</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7915D365"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nil"/>
              <w:left w:val="nil"/>
              <w:bottom w:val="nil"/>
              <w:right w:val="nil"/>
            </w:tcBorders>
            <w:shd w:val="clear" w:color="000000" w:fill="D9D9D9"/>
            <w:noWrap/>
            <w:vAlign w:val="bottom"/>
            <w:hideMark/>
          </w:tcPr>
          <w:p w:rsidRPr="00382253" w:rsidR="00083A0A" w:rsidP="004D6EAD" w:rsidRDefault="00083A0A" w14:paraId="555BCB9E"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3D9F450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22865E7"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-7.230</w:t>
            </w:r>
          </w:p>
        </w:tc>
        <w:tc>
          <w:tcPr>
            <w:tcW w:w="932" w:type="dxa"/>
            <w:tcBorders>
              <w:top w:val="nil"/>
              <w:left w:val="nil"/>
              <w:bottom w:val="nil"/>
              <w:right w:val="nil"/>
            </w:tcBorders>
            <w:shd w:val="clear" w:color="auto" w:fill="auto"/>
            <w:noWrap/>
            <w:vAlign w:val="bottom"/>
            <w:hideMark/>
          </w:tcPr>
          <w:p w:rsidRPr="00382253" w:rsidR="00083A0A" w:rsidP="004D6EAD" w:rsidRDefault="00083A0A" w14:paraId="02DA1D86"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-7.230</w:t>
            </w:r>
          </w:p>
        </w:tc>
        <w:tc>
          <w:tcPr>
            <w:tcW w:w="932" w:type="dxa"/>
            <w:tcBorders>
              <w:top w:val="nil"/>
              <w:left w:val="nil"/>
              <w:bottom w:val="nil"/>
              <w:right w:val="single" w:color="auto" w:sz="8" w:space="0"/>
            </w:tcBorders>
            <w:shd w:val="clear" w:color="auto" w:fill="auto"/>
            <w:noWrap/>
            <w:vAlign w:val="bottom"/>
            <w:hideMark/>
          </w:tcPr>
          <w:p w:rsidRPr="00382253" w:rsidR="00083A0A" w:rsidP="004D6EAD" w:rsidRDefault="00083A0A" w14:paraId="04AB3F8D"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-7.230</w:t>
            </w:r>
          </w:p>
        </w:tc>
      </w:tr>
      <w:tr w:rsidRPr="0017590C" w:rsidR="00083A0A" w:rsidTr="004D6EAD" w14:paraId="67BD691C" w14:textId="77777777">
        <w:trPr>
          <w:trHeight w:val="315"/>
        </w:trPr>
        <w:tc>
          <w:tcPr>
            <w:tcW w:w="414" w:type="dxa"/>
            <w:tcBorders>
              <w:top w:val="nil"/>
              <w:left w:val="single" w:color="auto" w:sz="8" w:space="0"/>
              <w:bottom w:val="single" w:color="auto" w:sz="8" w:space="0"/>
              <w:right w:val="nil"/>
            </w:tcBorders>
            <w:shd w:val="clear" w:color="000000" w:fill="BDD7EE"/>
            <w:noWrap/>
            <w:vAlign w:val="bottom"/>
            <w:hideMark/>
          </w:tcPr>
          <w:p w:rsidRPr="00382253" w:rsidR="00083A0A" w:rsidP="004D6EAD" w:rsidRDefault="00083A0A" w14:paraId="1576AFF9"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 </w:t>
            </w:r>
          </w:p>
        </w:tc>
        <w:tc>
          <w:tcPr>
            <w:tcW w:w="4010" w:type="dxa"/>
            <w:tcBorders>
              <w:top w:val="nil"/>
              <w:left w:val="nil"/>
              <w:bottom w:val="single" w:color="auto" w:sz="8" w:space="0"/>
              <w:right w:val="single" w:color="auto" w:sz="8" w:space="0"/>
            </w:tcBorders>
            <w:shd w:val="clear" w:color="000000" w:fill="BDD7EE"/>
            <w:noWrap/>
            <w:vAlign w:val="bottom"/>
            <w:hideMark/>
          </w:tcPr>
          <w:p w:rsidRPr="00382253" w:rsidR="00083A0A" w:rsidP="004D6EAD" w:rsidRDefault="00083A0A" w14:paraId="05498E05"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Totaal uitgaven</w:t>
            </w:r>
          </w:p>
        </w:tc>
        <w:tc>
          <w:tcPr>
            <w:tcW w:w="617"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71DA0FE2"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0</w:t>
            </w:r>
          </w:p>
        </w:tc>
        <w:tc>
          <w:tcPr>
            <w:tcW w:w="617"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55A04889"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0</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010B9E4B"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-75.174</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35C453A7"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-69.787</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47C9EE2F"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-65.555</w:t>
            </w:r>
          </w:p>
        </w:tc>
        <w:tc>
          <w:tcPr>
            <w:tcW w:w="932" w:type="dxa"/>
            <w:tcBorders>
              <w:top w:val="nil"/>
              <w:left w:val="nil"/>
              <w:bottom w:val="single" w:color="auto" w:sz="8" w:space="0"/>
              <w:right w:val="single" w:color="auto" w:sz="8" w:space="0"/>
            </w:tcBorders>
            <w:shd w:val="clear" w:color="000000" w:fill="BDD7EE"/>
            <w:noWrap/>
            <w:vAlign w:val="bottom"/>
            <w:hideMark/>
          </w:tcPr>
          <w:p w:rsidRPr="00382253" w:rsidR="00083A0A" w:rsidP="004D6EAD" w:rsidRDefault="00083A0A" w14:paraId="28C34F14"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-62.755</w:t>
            </w:r>
          </w:p>
        </w:tc>
      </w:tr>
      <w:tr w:rsidRPr="0017590C" w:rsidR="00083A0A" w:rsidTr="004D6EAD" w14:paraId="134EC3D9" w14:textId="77777777">
        <w:trPr>
          <w:trHeight w:val="315"/>
        </w:trPr>
        <w:tc>
          <w:tcPr>
            <w:tcW w:w="414" w:type="dxa"/>
            <w:tcBorders>
              <w:top w:val="nil"/>
              <w:left w:val="nil"/>
              <w:bottom w:val="nil"/>
              <w:right w:val="nil"/>
            </w:tcBorders>
            <w:shd w:val="clear" w:color="auto" w:fill="auto"/>
            <w:noWrap/>
            <w:vAlign w:val="bottom"/>
            <w:hideMark/>
          </w:tcPr>
          <w:p w:rsidRPr="00382253" w:rsidR="00083A0A" w:rsidP="004D6EAD" w:rsidRDefault="00083A0A" w14:paraId="687655E0" w14:textId="77777777">
            <w:pPr>
              <w:spacing w:line="240" w:lineRule="auto"/>
              <w:rPr>
                <w:rFonts w:eastAsia="Times New Roman" w:cs="Calibri"/>
                <w:b/>
                <w:bCs/>
                <w:color w:val="000000"/>
                <w:sz w:val="16"/>
                <w:szCs w:val="16"/>
                <w:lang w:eastAsia="nl-NL"/>
              </w:rPr>
            </w:pPr>
          </w:p>
        </w:tc>
        <w:tc>
          <w:tcPr>
            <w:tcW w:w="4010" w:type="dxa"/>
            <w:tcBorders>
              <w:top w:val="nil"/>
              <w:left w:val="nil"/>
              <w:bottom w:val="nil"/>
              <w:right w:val="nil"/>
            </w:tcBorders>
            <w:shd w:val="clear" w:color="auto" w:fill="auto"/>
            <w:noWrap/>
            <w:vAlign w:val="bottom"/>
            <w:hideMark/>
          </w:tcPr>
          <w:p w:rsidRPr="00382253" w:rsidR="00083A0A" w:rsidP="004D6EAD" w:rsidRDefault="00083A0A" w14:paraId="1EC95223" w14:textId="77777777">
            <w:pPr>
              <w:spacing w:line="240" w:lineRule="auto"/>
              <w:rPr>
                <w:rFonts w:eastAsia="Times New Roman" w:cs="Times New Roman"/>
                <w:sz w:val="16"/>
                <w:szCs w:val="16"/>
                <w:lang w:eastAsia="nl-NL"/>
              </w:rPr>
            </w:pPr>
          </w:p>
        </w:tc>
        <w:tc>
          <w:tcPr>
            <w:tcW w:w="617" w:type="dxa"/>
            <w:tcBorders>
              <w:top w:val="nil"/>
              <w:left w:val="nil"/>
              <w:bottom w:val="nil"/>
              <w:right w:val="nil"/>
            </w:tcBorders>
            <w:shd w:val="clear" w:color="auto" w:fill="auto"/>
            <w:noWrap/>
            <w:vAlign w:val="bottom"/>
            <w:hideMark/>
          </w:tcPr>
          <w:p w:rsidRPr="00382253" w:rsidR="00083A0A" w:rsidP="004D6EAD" w:rsidRDefault="00083A0A" w14:paraId="2C60C170" w14:textId="77777777">
            <w:pPr>
              <w:spacing w:line="240" w:lineRule="auto"/>
              <w:rPr>
                <w:rFonts w:eastAsia="Times New Roman" w:cs="Times New Roman"/>
                <w:sz w:val="16"/>
                <w:szCs w:val="16"/>
                <w:lang w:eastAsia="nl-NL"/>
              </w:rPr>
            </w:pPr>
          </w:p>
        </w:tc>
        <w:tc>
          <w:tcPr>
            <w:tcW w:w="617" w:type="dxa"/>
            <w:tcBorders>
              <w:top w:val="nil"/>
              <w:left w:val="nil"/>
              <w:bottom w:val="nil"/>
              <w:right w:val="nil"/>
            </w:tcBorders>
            <w:shd w:val="clear" w:color="auto" w:fill="auto"/>
            <w:noWrap/>
            <w:vAlign w:val="bottom"/>
            <w:hideMark/>
          </w:tcPr>
          <w:p w:rsidRPr="00382253" w:rsidR="00083A0A" w:rsidP="004D6EAD" w:rsidRDefault="00083A0A" w14:paraId="16E9AC6C" w14:textId="77777777">
            <w:pPr>
              <w:spacing w:line="240" w:lineRule="auto"/>
              <w:rPr>
                <w:rFonts w:eastAsia="Times New Roman" w:cs="Times New Roman"/>
                <w:sz w:val="16"/>
                <w:szCs w:val="16"/>
                <w:lang w:eastAsia="nl-NL"/>
              </w:rPr>
            </w:pPr>
          </w:p>
        </w:tc>
        <w:tc>
          <w:tcPr>
            <w:tcW w:w="932" w:type="dxa"/>
            <w:tcBorders>
              <w:top w:val="nil"/>
              <w:left w:val="nil"/>
              <w:bottom w:val="nil"/>
              <w:right w:val="nil"/>
            </w:tcBorders>
            <w:shd w:val="clear" w:color="auto" w:fill="auto"/>
            <w:noWrap/>
            <w:vAlign w:val="bottom"/>
            <w:hideMark/>
          </w:tcPr>
          <w:p w:rsidRPr="00382253" w:rsidR="00083A0A" w:rsidP="004D6EAD" w:rsidRDefault="00083A0A" w14:paraId="1D8870B2" w14:textId="77777777">
            <w:pPr>
              <w:spacing w:line="240" w:lineRule="auto"/>
              <w:rPr>
                <w:rFonts w:eastAsia="Times New Roman" w:cs="Times New Roman"/>
                <w:sz w:val="16"/>
                <w:szCs w:val="16"/>
                <w:lang w:eastAsia="nl-NL"/>
              </w:rPr>
            </w:pPr>
          </w:p>
        </w:tc>
        <w:tc>
          <w:tcPr>
            <w:tcW w:w="932" w:type="dxa"/>
            <w:tcBorders>
              <w:top w:val="nil"/>
              <w:left w:val="nil"/>
              <w:bottom w:val="nil"/>
              <w:right w:val="nil"/>
            </w:tcBorders>
            <w:shd w:val="clear" w:color="auto" w:fill="auto"/>
            <w:noWrap/>
            <w:vAlign w:val="bottom"/>
            <w:hideMark/>
          </w:tcPr>
          <w:p w:rsidRPr="00382253" w:rsidR="00083A0A" w:rsidP="004D6EAD" w:rsidRDefault="00083A0A" w14:paraId="16581EC1" w14:textId="77777777">
            <w:pPr>
              <w:spacing w:line="240" w:lineRule="auto"/>
              <w:rPr>
                <w:rFonts w:eastAsia="Times New Roman" w:cs="Times New Roman"/>
                <w:sz w:val="16"/>
                <w:szCs w:val="16"/>
                <w:lang w:eastAsia="nl-NL"/>
              </w:rPr>
            </w:pPr>
          </w:p>
        </w:tc>
        <w:tc>
          <w:tcPr>
            <w:tcW w:w="932" w:type="dxa"/>
            <w:tcBorders>
              <w:top w:val="nil"/>
              <w:left w:val="nil"/>
              <w:bottom w:val="nil"/>
              <w:right w:val="nil"/>
            </w:tcBorders>
            <w:shd w:val="clear" w:color="auto" w:fill="auto"/>
            <w:noWrap/>
            <w:vAlign w:val="bottom"/>
            <w:hideMark/>
          </w:tcPr>
          <w:p w:rsidRPr="00382253" w:rsidR="00083A0A" w:rsidP="004D6EAD" w:rsidRDefault="00083A0A" w14:paraId="4DA08D88" w14:textId="77777777">
            <w:pPr>
              <w:spacing w:line="240" w:lineRule="auto"/>
              <w:rPr>
                <w:rFonts w:eastAsia="Times New Roman" w:cs="Times New Roman"/>
                <w:sz w:val="16"/>
                <w:szCs w:val="16"/>
                <w:lang w:eastAsia="nl-NL"/>
              </w:rPr>
            </w:pPr>
          </w:p>
        </w:tc>
        <w:tc>
          <w:tcPr>
            <w:tcW w:w="932" w:type="dxa"/>
            <w:tcBorders>
              <w:top w:val="nil"/>
              <w:left w:val="nil"/>
              <w:bottom w:val="nil"/>
              <w:right w:val="nil"/>
            </w:tcBorders>
            <w:shd w:val="clear" w:color="auto" w:fill="auto"/>
            <w:noWrap/>
            <w:vAlign w:val="bottom"/>
            <w:hideMark/>
          </w:tcPr>
          <w:p w:rsidRPr="00382253" w:rsidR="00083A0A" w:rsidP="004D6EAD" w:rsidRDefault="00083A0A" w14:paraId="236275D2" w14:textId="77777777">
            <w:pPr>
              <w:spacing w:line="240" w:lineRule="auto"/>
              <w:rPr>
                <w:rFonts w:eastAsia="Times New Roman" w:cs="Times New Roman"/>
                <w:sz w:val="16"/>
                <w:szCs w:val="16"/>
                <w:lang w:eastAsia="nl-NL"/>
              </w:rPr>
            </w:pPr>
          </w:p>
        </w:tc>
      </w:tr>
      <w:tr w:rsidRPr="0017590C" w:rsidR="00083A0A" w:rsidTr="004D6EAD" w14:paraId="5F15545D" w14:textId="77777777">
        <w:trPr>
          <w:trHeight w:val="300"/>
        </w:trPr>
        <w:tc>
          <w:tcPr>
            <w:tcW w:w="414" w:type="dxa"/>
            <w:tcBorders>
              <w:top w:val="single" w:color="auto" w:sz="8" w:space="0"/>
              <w:left w:val="single" w:color="auto" w:sz="8" w:space="0"/>
              <w:bottom w:val="nil"/>
              <w:right w:val="nil"/>
            </w:tcBorders>
            <w:shd w:val="clear" w:color="000000" w:fill="BDD7EE"/>
            <w:noWrap/>
            <w:vAlign w:val="bottom"/>
            <w:hideMark/>
          </w:tcPr>
          <w:p w:rsidRPr="00382253" w:rsidR="00083A0A" w:rsidP="004D6EAD" w:rsidRDefault="00083A0A" w14:paraId="4FBC050B"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 </w:t>
            </w:r>
          </w:p>
        </w:tc>
        <w:tc>
          <w:tcPr>
            <w:tcW w:w="4010" w:type="dxa"/>
            <w:tcBorders>
              <w:top w:val="single" w:color="auto" w:sz="8" w:space="0"/>
              <w:left w:val="nil"/>
              <w:bottom w:val="nil"/>
              <w:right w:val="single" w:color="auto" w:sz="8" w:space="0"/>
            </w:tcBorders>
            <w:shd w:val="clear" w:color="000000" w:fill="BDD7EE"/>
            <w:noWrap/>
            <w:vAlign w:val="bottom"/>
            <w:hideMark/>
          </w:tcPr>
          <w:p w:rsidRPr="00382253" w:rsidR="00083A0A" w:rsidP="004D6EAD" w:rsidRDefault="00083A0A" w14:paraId="7B1A4D16"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Ontvangsten</w:t>
            </w:r>
          </w:p>
        </w:tc>
        <w:tc>
          <w:tcPr>
            <w:tcW w:w="4962" w:type="dxa"/>
            <w:gridSpan w:val="6"/>
            <w:tcBorders>
              <w:top w:val="single" w:color="auto" w:sz="8" w:space="0"/>
              <w:left w:val="single" w:color="auto" w:sz="8" w:space="0"/>
              <w:bottom w:val="nil"/>
              <w:right w:val="single" w:color="000000" w:sz="8" w:space="0"/>
            </w:tcBorders>
            <w:shd w:val="clear" w:color="000000" w:fill="BDD7EE"/>
            <w:noWrap/>
            <w:vAlign w:val="bottom"/>
            <w:hideMark/>
          </w:tcPr>
          <w:p w:rsidRPr="00382253" w:rsidR="00083A0A" w:rsidP="004D6EAD" w:rsidRDefault="00083A0A" w14:paraId="3B0C39E2"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Korting HLA</w:t>
            </w:r>
          </w:p>
        </w:tc>
      </w:tr>
      <w:tr w:rsidRPr="0017590C" w:rsidR="00083A0A" w:rsidTr="004D6EAD" w14:paraId="61A2E8B2" w14:textId="77777777">
        <w:trPr>
          <w:trHeight w:val="315"/>
        </w:trPr>
        <w:tc>
          <w:tcPr>
            <w:tcW w:w="414" w:type="dxa"/>
            <w:tcBorders>
              <w:top w:val="nil"/>
              <w:left w:val="single" w:color="auto" w:sz="8" w:space="0"/>
              <w:bottom w:val="nil"/>
              <w:right w:val="nil"/>
            </w:tcBorders>
            <w:shd w:val="clear" w:color="000000" w:fill="BDD7EE"/>
            <w:noWrap/>
            <w:vAlign w:val="bottom"/>
            <w:hideMark/>
          </w:tcPr>
          <w:p w:rsidRPr="00382253" w:rsidR="00083A0A" w:rsidP="004D6EAD" w:rsidRDefault="00083A0A" w14:paraId="505255A4"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w:t>
            </w:r>
          </w:p>
        </w:tc>
        <w:tc>
          <w:tcPr>
            <w:tcW w:w="4010" w:type="dxa"/>
            <w:tcBorders>
              <w:top w:val="nil"/>
              <w:left w:val="nil"/>
              <w:bottom w:val="nil"/>
              <w:right w:val="single" w:color="auto" w:sz="8" w:space="0"/>
            </w:tcBorders>
            <w:shd w:val="clear" w:color="000000" w:fill="BDD7EE"/>
            <w:noWrap/>
            <w:vAlign w:val="bottom"/>
            <w:hideMark/>
          </w:tcPr>
          <w:p w:rsidRPr="00382253" w:rsidR="00083A0A" w:rsidP="004D6EAD" w:rsidRDefault="00083A0A" w14:paraId="01AC56F7"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Naam</w:t>
            </w:r>
          </w:p>
        </w:tc>
        <w:tc>
          <w:tcPr>
            <w:tcW w:w="617" w:type="dxa"/>
            <w:tcBorders>
              <w:top w:val="nil"/>
              <w:left w:val="single" w:color="auto" w:sz="8" w:space="0"/>
              <w:bottom w:val="nil"/>
              <w:right w:val="nil"/>
            </w:tcBorders>
            <w:shd w:val="clear" w:color="000000" w:fill="BDD7EE"/>
            <w:noWrap/>
            <w:vAlign w:val="bottom"/>
            <w:hideMark/>
          </w:tcPr>
          <w:p w:rsidRPr="00382253" w:rsidR="00083A0A" w:rsidP="004D6EAD" w:rsidRDefault="00083A0A" w14:paraId="4B90E1CD"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2024</w:t>
            </w:r>
          </w:p>
        </w:tc>
        <w:tc>
          <w:tcPr>
            <w:tcW w:w="617" w:type="dxa"/>
            <w:tcBorders>
              <w:top w:val="nil"/>
              <w:left w:val="nil"/>
              <w:bottom w:val="nil"/>
              <w:right w:val="nil"/>
            </w:tcBorders>
            <w:shd w:val="clear" w:color="000000" w:fill="BDD7EE"/>
            <w:noWrap/>
            <w:vAlign w:val="bottom"/>
            <w:hideMark/>
          </w:tcPr>
          <w:p w:rsidRPr="00382253" w:rsidR="00083A0A" w:rsidP="004D6EAD" w:rsidRDefault="00083A0A" w14:paraId="1033456D"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2025</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19FB29D0"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2026</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537FC16A"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2027</w:t>
            </w:r>
          </w:p>
        </w:tc>
        <w:tc>
          <w:tcPr>
            <w:tcW w:w="932" w:type="dxa"/>
            <w:tcBorders>
              <w:top w:val="nil"/>
              <w:left w:val="nil"/>
              <w:bottom w:val="nil"/>
              <w:right w:val="nil"/>
            </w:tcBorders>
            <w:shd w:val="clear" w:color="000000" w:fill="BDD7EE"/>
            <w:noWrap/>
            <w:vAlign w:val="bottom"/>
            <w:hideMark/>
          </w:tcPr>
          <w:p w:rsidRPr="00382253" w:rsidR="00083A0A" w:rsidP="004D6EAD" w:rsidRDefault="00083A0A" w14:paraId="672BE9D4"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2028</w:t>
            </w:r>
          </w:p>
        </w:tc>
        <w:tc>
          <w:tcPr>
            <w:tcW w:w="932" w:type="dxa"/>
            <w:tcBorders>
              <w:top w:val="nil"/>
              <w:left w:val="nil"/>
              <w:bottom w:val="nil"/>
              <w:right w:val="single" w:color="auto" w:sz="8" w:space="0"/>
            </w:tcBorders>
            <w:shd w:val="clear" w:color="000000" w:fill="BDD7EE"/>
            <w:noWrap/>
            <w:vAlign w:val="bottom"/>
            <w:hideMark/>
          </w:tcPr>
          <w:p w:rsidRPr="00382253" w:rsidR="00083A0A" w:rsidP="004D6EAD" w:rsidRDefault="00083A0A" w14:paraId="1AB6608E"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2029</w:t>
            </w:r>
          </w:p>
        </w:tc>
      </w:tr>
      <w:tr w:rsidRPr="0017590C" w:rsidR="00083A0A" w:rsidTr="004D6EAD" w14:paraId="50A82A03" w14:textId="77777777">
        <w:trPr>
          <w:trHeight w:val="300"/>
        </w:trPr>
        <w:tc>
          <w:tcPr>
            <w:tcW w:w="414" w:type="dxa"/>
            <w:tcBorders>
              <w:top w:val="single" w:color="auto" w:sz="8" w:space="0"/>
              <w:left w:val="single" w:color="auto" w:sz="8" w:space="0"/>
              <w:bottom w:val="nil"/>
              <w:right w:val="nil"/>
            </w:tcBorders>
            <w:shd w:val="clear" w:color="auto" w:fill="auto"/>
            <w:noWrap/>
            <w:vAlign w:val="bottom"/>
            <w:hideMark/>
          </w:tcPr>
          <w:p w:rsidRPr="00382253" w:rsidR="00083A0A" w:rsidP="004D6EAD" w:rsidRDefault="00083A0A" w14:paraId="41C5EEF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16</w:t>
            </w:r>
          </w:p>
        </w:tc>
        <w:tc>
          <w:tcPr>
            <w:tcW w:w="4010" w:type="dxa"/>
            <w:tcBorders>
              <w:top w:val="single" w:color="auto" w:sz="8" w:space="0"/>
              <w:left w:val="nil"/>
              <w:bottom w:val="nil"/>
              <w:right w:val="single" w:color="auto" w:sz="8" w:space="0"/>
            </w:tcBorders>
            <w:shd w:val="clear" w:color="auto" w:fill="auto"/>
            <w:noWrap/>
            <w:vAlign w:val="bottom"/>
            <w:hideMark/>
          </w:tcPr>
          <w:p w:rsidRPr="00382253" w:rsidR="00083A0A" w:rsidP="004D6EAD" w:rsidRDefault="00083A0A" w14:paraId="616CA489"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SPUK Stimulering Sport - ontvangsten</w:t>
            </w:r>
          </w:p>
        </w:tc>
        <w:tc>
          <w:tcPr>
            <w:tcW w:w="617" w:type="dxa"/>
            <w:tcBorders>
              <w:top w:val="single" w:color="auto" w:sz="8" w:space="0"/>
              <w:left w:val="nil"/>
              <w:bottom w:val="nil"/>
              <w:right w:val="nil"/>
            </w:tcBorders>
            <w:shd w:val="clear" w:color="000000" w:fill="D9D9D9"/>
            <w:noWrap/>
            <w:vAlign w:val="bottom"/>
            <w:hideMark/>
          </w:tcPr>
          <w:p w:rsidRPr="00382253" w:rsidR="00083A0A" w:rsidP="004D6EAD" w:rsidRDefault="00083A0A" w14:paraId="1FF107D2"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617" w:type="dxa"/>
            <w:tcBorders>
              <w:top w:val="single" w:color="auto" w:sz="8" w:space="0"/>
              <w:left w:val="nil"/>
              <w:bottom w:val="nil"/>
              <w:right w:val="nil"/>
            </w:tcBorders>
            <w:shd w:val="clear" w:color="000000" w:fill="D9D9D9"/>
            <w:noWrap/>
            <w:vAlign w:val="bottom"/>
            <w:hideMark/>
          </w:tcPr>
          <w:p w:rsidRPr="00382253" w:rsidR="00083A0A" w:rsidP="004D6EAD" w:rsidRDefault="00083A0A" w14:paraId="7CC5B3E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0</w:t>
            </w:r>
          </w:p>
        </w:tc>
        <w:tc>
          <w:tcPr>
            <w:tcW w:w="932" w:type="dxa"/>
            <w:tcBorders>
              <w:top w:val="single" w:color="auto" w:sz="8" w:space="0"/>
              <w:left w:val="nil"/>
              <w:bottom w:val="nil"/>
              <w:right w:val="nil"/>
            </w:tcBorders>
            <w:shd w:val="clear" w:color="auto" w:fill="auto"/>
            <w:noWrap/>
            <w:vAlign w:val="bottom"/>
            <w:hideMark/>
          </w:tcPr>
          <w:p w:rsidRPr="00382253" w:rsidR="00083A0A" w:rsidP="004D6EAD" w:rsidRDefault="00083A0A" w14:paraId="479413C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-2.500</w:t>
            </w:r>
          </w:p>
        </w:tc>
        <w:tc>
          <w:tcPr>
            <w:tcW w:w="932" w:type="dxa"/>
            <w:tcBorders>
              <w:top w:val="single" w:color="auto" w:sz="8" w:space="0"/>
              <w:left w:val="nil"/>
              <w:bottom w:val="nil"/>
              <w:right w:val="nil"/>
            </w:tcBorders>
            <w:shd w:val="clear" w:color="auto" w:fill="auto"/>
            <w:noWrap/>
            <w:vAlign w:val="bottom"/>
            <w:hideMark/>
          </w:tcPr>
          <w:p w:rsidRPr="00382253" w:rsidR="00083A0A" w:rsidP="004D6EAD" w:rsidRDefault="00083A0A" w14:paraId="16C808EC"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-2.500</w:t>
            </w:r>
          </w:p>
        </w:tc>
        <w:tc>
          <w:tcPr>
            <w:tcW w:w="932" w:type="dxa"/>
            <w:tcBorders>
              <w:top w:val="single" w:color="auto" w:sz="8" w:space="0"/>
              <w:left w:val="nil"/>
              <w:bottom w:val="nil"/>
              <w:right w:val="nil"/>
            </w:tcBorders>
            <w:shd w:val="clear" w:color="auto" w:fill="auto"/>
            <w:noWrap/>
            <w:vAlign w:val="bottom"/>
            <w:hideMark/>
          </w:tcPr>
          <w:p w:rsidRPr="00382253" w:rsidR="00083A0A" w:rsidP="004D6EAD" w:rsidRDefault="00083A0A" w14:paraId="130B05BA"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-2.500</w:t>
            </w:r>
          </w:p>
        </w:tc>
        <w:tc>
          <w:tcPr>
            <w:tcW w:w="932" w:type="dxa"/>
            <w:tcBorders>
              <w:top w:val="single" w:color="auto" w:sz="8" w:space="0"/>
              <w:left w:val="nil"/>
              <w:bottom w:val="nil"/>
              <w:right w:val="nil"/>
            </w:tcBorders>
            <w:shd w:val="clear" w:color="auto" w:fill="auto"/>
            <w:noWrap/>
            <w:vAlign w:val="bottom"/>
            <w:hideMark/>
          </w:tcPr>
          <w:p w:rsidRPr="00382253" w:rsidR="00083A0A" w:rsidP="004D6EAD" w:rsidRDefault="00083A0A" w14:paraId="28E768B1" w14:textId="77777777">
            <w:pPr>
              <w:spacing w:line="240" w:lineRule="auto"/>
              <w:rPr>
                <w:rFonts w:eastAsia="Times New Roman" w:cs="Calibri"/>
                <w:color w:val="000000"/>
                <w:sz w:val="16"/>
                <w:szCs w:val="16"/>
                <w:lang w:eastAsia="nl-NL"/>
              </w:rPr>
            </w:pPr>
            <w:r w:rsidRPr="00382253">
              <w:rPr>
                <w:rFonts w:eastAsia="Times New Roman" w:cs="Calibri"/>
                <w:color w:val="000000"/>
                <w:sz w:val="16"/>
                <w:szCs w:val="16"/>
                <w:lang w:eastAsia="nl-NL"/>
              </w:rPr>
              <w:t>-2.500</w:t>
            </w:r>
          </w:p>
        </w:tc>
      </w:tr>
      <w:tr w:rsidRPr="0017590C" w:rsidR="00083A0A" w:rsidTr="004D6EAD" w14:paraId="41124624" w14:textId="77777777">
        <w:trPr>
          <w:trHeight w:val="315"/>
        </w:trPr>
        <w:tc>
          <w:tcPr>
            <w:tcW w:w="414" w:type="dxa"/>
            <w:tcBorders>
              <w:top w:val="nil"/>
              <w:left w:val="single" w:color="auto" w:sz="8" w:space="0"/>
              <w:bottom w:val="single" w:color="auto" w:sz="8" w:space="0"/>
              <w:right w:val="nil"/>
            </w:tcBorders>
            <w:shd w:val="clear" w:color="000000" w:fill="BDD7EE"/>
            <w:noWrap/>
            <w:vAlign w:val="bottom"/>
            <w:hideMark/>
          </w:tcPr>
          <w:p w:rsidRPr="00382253" w:rsidR="00083A0A" w:rsidP="004D6EAD" w:rsidRDefault="00083A0A" w14:paraId="5E609B84"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 </w:t>
            </w:r>
          </w:p>
        </w:tc>
        <w:tc>
          <w:tcPr>
            <w:tcW w:w="4010" w:type="dxa"/>
            <w:tcBorders>
              <w:top w:val="nil"/>
              <w:left w:val="nil"/>
              <w:bottom w:val="single" w:color="auto" w:sz="8" w:space="0"/>
              <w:right w:val="single" w:color="auto" w:sz="8" w:space="0"/>
            </w:tcBorders>
            <w:shd w:val="clear" w:color="000000" w:fill="BDD7EE"/>
            <w:noWrap/>
            <w:vAlign w:val="bottom"/>
            <w:hideMark/>
          </w:tcPr>
          <w:p w:rsidRPr="00382253" w:rsidR="00083A0A" w:rsidP="004D6EAD" w:rsidRDefault="00083A0A" w14:paraId="3B3AFC68"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Totaal ontvangsten</w:t>
            </w:r>
          </w:p>
        </w:tc>
        <w:tc>
          <w:tcPr>
            <w:tcW w:w="617"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60F1F95F"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0</w:t>
            </w:r>
          </w:p>
        </w:tc>
        <w:tc>
          <w:tcPr>
            <w:tcW w:w="617"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3DF89850"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0</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04F816FF"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-2.500</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3C96F7A0"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-2.500</w:t>
            </w:r>
          </w:p>
        </w:tc>
        <w:tc>
          <w:tcPr>
            <w:tcW w:w="932" w:type="dxa"/>
            <w:tcBorders>
              <w:top w:val="nil"/>
              <w:left w:val="nil"/>
              <w:bottom w:val="single" w:color="auto" w:sz="8" w:space="0"/>
              <w:right w:val="nil"/>
            </w:tcBorders>
            <w:shd w:val="clear" w:color="000000" w:fill="BDD7EE"/>
            <w:noWrap/>
            <w:vAlign w:val="bottom"/>
            <w:hideMark/>
          </w:tcPr>
          <w:p w:rsidRPr="00382253" w:rsidR="00083A0A" w:rsidP="004D6EAD" w:rsidRDefault="00083A0A" w14:paraId="06A67771"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-2.500</w:t>
            </w:r>
          </w:p>
        </w:tc>
        <w:tc>
          <w:tcPr>
            <w:tcW w:w="932" w:type="dxa"/>
            <w:tcBorders>
              <w:top w:val="nil"/>
              <w:left w:val="nil"/>
              <w:bottom w:val="single" w:color="auto" w:sz="8" w:space="0"/>
              <w:right w:val="single" w:color="auto" w:sz="8" w:space="0"/>
            </w:tcBorders>
            <w:shd w:val="clear" w:color="000000" w:fill="BDD7EE"/>
            <w:noWrap/>
            <w:vAlign w:val="bottom"/>
            <w:hideMark/>
          </w:tcPr>
          <w:p w:rsidRPr="00382253" w:rsidR="00083A0A" w:rsidP="004D6EAD" w:rsidRDefault="00083A0A" w14:paraId="3B40D403" w14:textId="77777777">
            <w:pPr>
              <w:spacing w:line="240" w:lineRule="auto"/>
              <w:rPr>
                <w:rFonts w:eastAsia="Times New Roman" w:cs="Calibri"/>
                <w:b/>
                <w:bCs/>
                <w:color w:val="000000"/>
                <w:sz w:val="16"/>
                <w:szCs w:val="16"/>
                <w:lang w:eastAsia="nl-NL"/>
              </w:rPr>
            </w:pPr>
            <w:r w:rsidRPr="00382253">
              <w:rPr>
                <w:rFonts w:eastAsia="Times New Roman" w:cs="Calibri"/>
                <w:b/>
                <w:bCs/>
                <w:color w:val="000000"/>
                <w:sz w:val="16"/>
                <w:szCs w:val="16"/>
                <w:lang w:eastAsia="nl-NL"/>
              </w:rPr>
              <w:t>-2.500</w:t>
            </w:r>
          </w:p>
        </w:tc>
      </w:tr>
      <w:tr w:rsidRPr="00BA7626" w:rsidR="00083A0A" w:rsidTr="004D6EAD" w14:paraId="6BFFA31F" w14:textId="77777777">
        <w:trPr>
          <w:trHeight w:val="300"/>
        </w:trPr>
        <w:tc>
          <w:tcPr>
            <w:tcW w:w="414" w:type="dxa"/>
            <w:tcBorders>
              <w:top w:val="nil"/>
              <w:left w:val="nil"/>
              <w:bottom w:val="nil"/>
              <w:right w:val="nil"/>
            </w:tcBorders>
            <w:shd w:val="clear" w:color="auto" w:fill="auto"/>
            <w:noWrap/>
            <w:vAlign w:val="bottom"/>
            <w:hideMark/>
          </w:tcPr>
          <w:p w:rsidRPr="0017590C" w:rsidR="00083A0A" w:rsidP="004D6EAD" w:rsidRDefault="00083A0A" w14:paraId="75199EC1" w14:textId="77777777">
            <w:pPr>
              <w:spacing w:line="240" w:lineRule="auto"/>
              <w:rPr>
                <w:rFonts w:eastAsia="Times New Roman" w:cs="Calibri"/>
                <w:b/>
                <w:bCs/>
                <w:color w:val="000000"/>
                <w:sz w:val="16"/>
                <w:szCs w:val="16"/>
                <w:lang w:eastAsia="nl-NL"/>
              </w:rPr>
            </w:pPr>
          </w:p>
        </w:tc>
        <w:tc>
          <w:tcPr>
            <w:tcW w:w="8972" w:type="dxa"/>
            <w:gridSpan w:val="7"/>
            <w:tcBorders>
              <w:top w:val="nil"/>
              <w:left w:val="nil"/>
              <w:bottom w:val="nil"/>
              <w:right w:val="nil"/>
            </w:tcBorders>
            <w:shd w:val="clear" w:color="auto" w:fill="auto"/>
            <w:noWrap/>
            <w:vAlign w:val="bottom"/>
            <w:hideMark/>
          </w:tcPr>
          <w:p w:rsidRPr="00382253" w:rsidR="00083A0A" w:rsidP="004D6EAD" w:rsidRDefault="00083A0A" w14:paraId="72EC3D7C" w14:textId="77777777">
            <w:pPr>
              <w:spacing w:line="240" w:lineRule="auto"/>
              <w:rPr>
                <w:rFonts w:ascii="Calibri" w:hAnsi="Calibri" w:eastAsia="Times New Roman" w:cs="Calibri"/>
                <w:color w:val="000000"/>
                <w:sz w:val="14"/>
                <w:szCs w:val="14"/>
                <w:lang w:eastAsia="nl-NL"/>
              </w:rPr>
            </w:pPr>
            <w:r w:rsidRPr="00382253">
              <w:rPr>
                <w:rFonts w:ascii="Calibri" w:hAnsi="Calibri" w:eastAsia="Times New Roman" w:cs="Calibri"/>
                <w:color w:val="000000"/>
                <w:sz w:val="14"/>
                <w:szCs w:val="14"/>
                <w:lang w:eastAsia="nl-NL"/>
              </w:rPr>
              <w:t>*) betreft budget voor specifieke uitkeringen die t/m 2026 onderdeel zijn van de brede SPUK (regel 4)</w:t>
            </w:r>
          </w:p>
        </w:tc>
      </w:tr>
    </w:tbl>
    <w:p w:rsidR="00083A0A" w:rsidP="00083A0A" w:rsidRDefault="00083A0A" w14:paraId="4921DDD0" w14:textId="77777777">
      <w:pPr>
        <w:pStyle w:val="Geenafstand"/>
        <w:suppressAutoHyphens/>
        <w:spacing w:line="276" w:lineRule="auto"/>
        <w:rPr>
          <w:rFonts w:eastAsia="DejaVuSerifCondensed"/>
          <w:lang w:val="nl-NL"/>
        </w:rPr>
      </w:pPr>
    </w:p>
    <w:p w:rsidR="00083A0A" w:rsidP="00083A0A" w:rsidRDefault="00083A0A" w14:paraId="334750A7" w14:textId="77777777">
      <w:pPr>
        <w:pStyle w:val="Geenafstand"/>
        <w:suppressAutoHyphens/>
        <w:spacing w:line="480" w:lineRule="auto"/>
        <w:rPr>
          <w:rFonts w:eastAsia="DejaVuSerifCondensed"/>
          <w:lang w:val="nl-NL"/>
        </w:rPr>
      </w:pPr>
    </w:p>
    <w:p w:rsidR="00083A0A" w:rsidP="00083A0A" w:rsidRDefault="00083A0A" w14:paraId="51EDD336"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r>
      <w:r w:rsidRPr="006829D4">
        <w:rPr>
          <w:rFonts w:eastAsia="DejaVuSerifCondensed"/>
          <w:lang w:val="nl-NL"/>
        </w:rPr>
        <w:t>33</w:t>
      </w:r>
    </w:p>
    <w:p w:rsidR="00083A0A" w:rsidP="00083A0A" w:rsidRDefault="00083A0A" w14:paraId="2BCC8F77" w14:textId="77777777">
      <w:pPr>
        <w:pStyle w:val="Geenafstand"/>
        <w:suppressAutoHyphens/>
        <w:spacing w:line="276" w:lineRule="auto"/>
        <w:rPr>
          <w:rFonts w:eastAsia="DejaVuSerifCondensed"/>
          <w:lang w:val="nl-NL"/>
        </w:rPr>
      </w:pPr>
      <w:r w:rsidRPr="006829D4">
        <w:rPr>
          <w:rFonts w:eastAsia="DejaVuSerifCondensed"/>
          <w:lang w:val="nl-NL"/>
        </w:rPr>
        <w:t>Kunt u inzichtelijk maken waar de ombuigingen op de niet-verplichte ruimte van de verschillende</w:t>
      </w:r>
      <w:r>
        <w:rPr>
          <w:rFonts w:eastAsia="DejaVuSerifCondensed"/>
          <w:lang w:val="nl-NL"/>
        </w:rPr>
        <w:t xml:space="preserve"> </w:t>
      </w:r>
      <w:r w:rsidRPr="006829D4">
        <w:rPr>
          <w:rFonts w:eastAsia="DejaVuSerifCondensed"/>
          <w:lang w:val="nl-NL"/>
        </w:rPr>
        <w:t>artikelen terecht komen?</w:t>
      </w:r>
    </w:p>
    <w:p w:rsidR="00083A0A" w:rsidP="00083A0A" w:rsidRDefault="00083A0A" w14:paraId="61A8A1B1" w14:textId="77777777">
      <w:pPr>
        <w:pStyle w:val="Geenafstand"/>
        <w:suppressAutoHyphens/>
        <w:spacing w:line="276" w:lineRule="auto"/>
        <w:rPr>
          <w:rFonts w:eastAsia="DejaVuSerifCondensed"/>
          <w:lang w:val="nl-NL"/>
        </w:rPr>
      </w:pPr>
    </w:p>
    <w:p w:rsidR="00083A0A" w:rsidP="00083A0A" w:rsidRDefault="00083A0A" w14:paraId="1D4FFEDC" w14:textId="77777777">
      <w:pPr>
        <w:pStyle w:val="Geenafstand"/>
        <w:suppressAutoHyphens/>
        <w:spacing w:line="276" w:lineRule="auto"/>
        <w:rPr>
          <w:rFonts w:eastAsia="DejaVuSerifCondensed"/>
          <w:lang w:val="nl-NL"/>
        </w:rPr>
      </w:pPr>
      <w:r>
        <w:rPr>
          <w:rFonts w:eastAsia="DejaVuSerifCondensed"/>
          <w:lang w:val="nl-NL"/>
        </w:rPr>
        <w:t>Antwoord:</w:t>
      </w:r>
    </w:p>
    <w:p w:rsidR="00083A0A" w:rsidP="00083A0A" w:rsidRDefault="00083A0A" w14:paraId="20F1058E" w14:textId="77777777">
      <w:pPr>
        <w:rPr>
          <w:rFonts w:eastAsia="Calibri" w:cs="Times New Roman"/>
        </w:rPr>
      </w:pPr>
      <w:r w:rsidRPr="005E62F7">
        <w:rPr>
          <w:rFonts w:eastAsia="Calibri" w:cs="Times New Roman"/>
        </w:rPr>
        <w:t>Hieronder treft u in de tabel (kolom Artikel onderdeel’) een overzicht op welke artikelonderdelen de ombuigingen op de niet verplichte ruimte worden verwerkt op de VWS begroting.</w:t>
      </w:r>
    </w:p>
    <w:p w:rsidR="00083A0A" w:rsidP="00083A0A" w:rsidRDefault="00083A0A" w14:paraId="596EE4F0" w14:textId="77777777">
      <w:pPr>
        <w:rPr>
          <w:rFonts w:eastAsia="Calibri" w:cs="Times New Roman"/>
        </w:rPr>
      </w:pPr>
    </w:p>
    <w:p w:rsidR="00083A0A" w:rsidP="00083A0A" w:rsidRDefault="00083A0A" w14:paraId="0E51A88D" w14:textId="77777777">
      <w:pPr>
        <w:rPr>
          <w:rFonts w:eastAsia="Calibri" w:cs="Times New Roman"/>
        </w:rPr>
      </w:pPr>
    </w:p>
    <w:p w:rsidR="00083A0A" w:rsidP="00083A0A" w:rsidRDefault="00083A0A" w14:paraId="6DBBE922" w14:textId="77777777">
      <w:pPr>
        <w:rPr>
          <w:rFonts w:eastAsia="Calibri" w:cs="Times New Roman"/>
        </w:rPr>
      </w:pPr>
    </w:p>
    <w:p w:rsidR="00083A0A" w:rsidP="00083A0A" w:rsidRDefault="00083A0A" w14:paraId="5CEBBB3B" w14:textId="77777777">
      <w:pPr>
        <w:rPr>
          <w:rFonts w:eastAsia="Calibri" w:cs="Times New Roman"/>
        </w:rPr>
      </w:pPr>
    </w:p>
    <w:p w:rsidR="00083A0A" w:rsidP="00083A0A" w:rsidRDefault="00083A0A" w14:paraId="5A7AA644" w14:textId="77777777">
      <w:pPr>
        <w:rPr>
          <w:rFonts w:eastAsia="Calibri" w:cs="Times New Roman"/>
        </w:rPr>
      </w:pPr>
    </w:p>
    <w:p w:rsidR="00083A0A" w:rsidP="00083A0A" w:rsidRDefault="00083A0A" w14:paraId="2E4964C2" w14:textId="77777777">
      <w:pPr>
        <w:rPr>
          <w:rFonts w:eastAsia="Calibri" w:cs="Times New Roman"/>
        </w:rPr>
      </w:pPr>
    </w:p>
    <w:p w:rsidRPr="005E62F7" w:rsidR="00083A0A" w:rsidP="00083A0A" w:rsidRDefault="00083A0A" w14:paraId="50AB2916" w14:textId="77777777">
      <w:pPr>
        <w:rPr>
          <w:rFonts w:eastAsia="Calibri" w:cs="Times New Roman"/>
        </w:rPr>
      </w:pPr>
    </w:p>
    <w:tbl>
      <w:tblPr>
        <w:tblW w:w="1006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5"/>
        <w:gridCol w:w="992"/>
        <w:gridCol w:w="851"/>
        <w:gridCol w:w="850"/>
        <w:gridCol w:w="851"/>
        <w:gridCol w:w="850"/>
        <w:gridCol w:w="851"/>
        <w:gridCol w:w="2835"/>
      </w:tblGrid>
      <w:tr w:rsidRPr="00976FAB" w:rsidR="00083A0A" w:rsidTr="004D6EAD" w14:paraId="4B44A2BD" w14:textId="77777777">
        <w:trPr>
          <w:trHeight w:val="219"/>
        </w:trPr>
        <w:tc>
          <w:tcPr>
            <w:tcW w:w="1985"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51541D30"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Bedragen in duizenden</w:t>
            </w:r>
          </w:p>
        </w:tc>
        <w:tc>
          <w:tcPr>
            <w:tcW w:w="992" w:type="dxa"/>
            <w:tcBorders>
              <w:top w:val="single" w:color="auto" w:sz="4" w:space="0"/>
              <w:left w:val="single" w:color="auto" w:sz="4" w:space="0"/>
              <w:bottom w:val="single" w:color="auto" w:sz="4" w:space="0"/>
              <w:right w:val="single" w:color="auto" w:sz="4" w:space="0"/>
            </w:tcBorders>
            <w:shd w:val="clear" w:color="auto" w:fill="1F3864"/>
            <w:vAlign w:val="center"/>
          </w:tcPr>
          <w:p w:rsidRPr="00976FAB" w:rsidR="00083A0A" w:rsidP="004D6EAD" w:rsidRDefault="00083A0A" w14:paraId="22F09F5E" w14:textId="77777777">
            <w:pPr>
              <w:spacing w:line="240" w:lineRule="auto"/>
              <w:rPr>
                <w:rFonts w:cs="Calibri"/>
                <w:b/>
                <w:bCs/>
                <w:color w:val="FFFFFF"/>
                <w:sz w:val="16"/>
                <w:szCs w:val="16"/>
                <w:lang w:eastAsia="nl-NL"/>
              </w:rPr>
            </w:pPr>
            <w:r w:rsidRPr="00976FAB">
              <w:rPr>
                <w:rFonts w:cs="Calibri"/>
                <w:b/>
                <w:bCs/>
                <w:color w:val="FFFFFF"/>
                <w:sz w:val="16"/>
                <w:szCs w:val="16"/>
                <w:lang w:eastAsia="nl-NL"/>
              </w:rPr>
              <w:t>Bewindspersoon</w:t>
            </w:r>
          </w:p>
        </w:tc>
        <w:tc>
          <w:tcPr>
            <w:tcW w:w="851"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041EA654"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2025</w:t>
            </w:r>
          </w:p>
        </w:tc>
        <w:tc>
          <w:tcPr>
            <w:tcW w:w="850"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26DF9B71"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2026</w:t>
            </w:r>
          </w:p>
        </w:tc>
        <w:tc>
          <w:tcPr>
            <w:tcW w:w="851"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6B5AF6FE"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2027</w:t>
            </w:r>
          </w:p>
        </w:tc>
        <w:tc>
          <w:tcPr>
            <w:tcW w:w="850"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1BC27047"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2028</w:t>
            </w:r>
          </w:p>
        </w:tc>
        <w:tc>
          <w:tcPr>
            <w:tcW w:w="851" w:type="dxa"/>
            <w:tcBorders>
              <w:top w:val="single" w:color="auto" w:sz="4" w:space="0"/>
              <w:left w:val="single" w:color="auto" w:sz="4" w:space="0"/>
              <w:bottom w:val="single" w:color="auto" w:sz="4" w:space="0"/>
              <w:right w:val="single" w:color="auto" w:sz="4" w:space="0"/>
            </w:tcBorders>
            <w:shd w:val="clear" w:color="auto" w:fill="1F3864"/>
            <w:noWrap/>
            <w:vAlign w:val="center"/>
          </w:tcPr>
          <w:p w:rsidRPr="00976FAB" w:rsidR="00083A0A" w:rsidP="004D6EAD" w:rsidRDefault="00083A0A" w14:paraId="0D5A0CF7" w14:textId="77777777">
            <w:pPr>
              <w:spacing w:line="240" w:lineRule="auto"/>
              <w:rPr>
                <w:rFonts w:cs="Calibri"/>
                <w:b/>
                <w:bCs/>
                <w:color w:val="000000"/>
                <w:sz w:val="16"/>
                <w:szCs w:val="16"/>
                <w:lang w:eastAsia="nl-NL"/>
              </w:rPr>
            </w:pPr>
            <w:r w:rsidRPr="00976FAB">
              <w:rPr>
                <w:rFonts w:cs="Calibri"/>
                <w:b/>
                <w:bCs/>
                <w:color w:val="FFFFFF"/>
                <w:sz w:val="16"/>
                <w:szCs w:val="16"/>
                <w:lang w:eastAsia="nl-NL"/>
              </w:rPr>
              <w:t>2029</w:t>
            </w:r>
          </w:p>
        </w:tc>
        <w:tc>
          <w:tcPr>
            <w:tcW w:w="2835" w:type="dxa"/>
            <w:tcBorders>
              <w:top w:val="single" w:color="auto" w:sz="4" w:space="0"/>
              <w:left w:val="single" w:color="auto" w:sz="4" w:space="0"/>
              <w:bottom w:val="single" w:color="auto" w:sz="4" w:space="0"/>
              <w:right w:val="single" w:color="auto" w:sz="4" w:space="0"/>
            </w:tcBorders>
            <w:shd w:val="clear" w:color="auto" w:fill="1F3864"/>
            <w:vAlign w:val="center"/>
          </w:tcPr>
          <w:p w:rsidRPr="00976FAB" w:rsidR="00083A0A" w:rsidP="004D6EAD" w:rsidRDefault="00083A0A" w14:paraId="52B029E9" w14:textId="77777777">
            <w:pPr>
              <w:spacing w:line="240" w:lineRule="auto"/>
              <w:rPr>
                <w:rFonts w:cs="Calibri"/>
                <w:b/>
                <w:bCs/>
                <w:color w:val="FFFFFF"/>
                <w:sz w:val="16"/>
                <w:szCs w:val="16"/>
                <w:lang w:eastAsia="nl-NL"/>
              </w:rPr>
            </w:pPr>
            <w:r w:rsidRPr="00976FAB">
              <w:rPr>
                <w:rFonts w:cs="Calibri"/>
                <w:b/>
                <w:bCs/>
                <w:color w:val="FFFFFF"/>
                <w:sz w:val="16"/>
                <w:szCs w:val="16"/>
                <w:lang w:eastAsia="nl-NL"/>
              </w:rPr>
              <w:t>Artikel onderdeel</w:t>
            </w:r>
          </w:p>
        </w:tc>
      </w:tr>
      <w:tr w:rsidRPr="00976FAB" w:rsidR="00083A0A" w:rsidTr="004D6EAD" w14:paraId="1954D383" w14:textId="77777777">
        <w:trPr>
          <w:trHeight w:val="219"/>
        </w:trPr>
        <w:tc>
          <w:tcPr>
            <w:tcW w:w="1985"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2324175C"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Totaal</w:t>
            </w:r>
          </w:p>
        </w:tc>
        <w:tc>
          <w:tcPr>
            <w:tcW w:w="992" w:type="dxa"/>
            <w:tcBorders>
              <w:top w:val="single" w:color="auto" w:sz="4" w:space="0"/>
              <w:left w:val="single" w:color="auto" w:sz="4" w:space="0"/>
              <w:bottom w:val="single" w:color="auto" w:sz="4" w:space="0"/>
              <w:right w:val="single" w:color="auto" w:sz="4" w:space="0"/>
            </w:tcBorders>
            <w:shd w:val="clear" w:color="auto" w:fill="8EAADB"/>
            <w:vAlign w:val="center"/>
          </w:tcPr>
          <w:p w:rsidRPr="00976FAB" w:rsidR="00083A0A" w:rsidP="004D6EAD" w:rsidRDefault="00083A0A" w14:paraId="3AA0F113" w14:textId="77777777">
            <w:pPr>
              <w:spacing w:line="240" w:lineRule="auto"/>
              <w:rPr>
                <w:rFonts w:cs="Calibri"/>
                <w:b/>
                <w:bCs/>
                <w:color w:val="000000"/>
                <w:sz w:val="16"/>
                <w:szCs w:val="16"/>
                <w:lang w:eastAsia="nl-NL"/>
              </w:rPr>
            </w:pPr>
            <w:r w:rsidRPr="00976FAB">
              <w:rPr>
                <w:rFonts w:cs="Calibri"/>
                <w:b/>
                <w:bCs/>
                <w:color w:val="000000"/>
                <w:sz w:val="16"/>
                <w:szCs w:val="16"/>
                <w:lang w:eastAsia="nl-NL"/>
              </w:rPr>
              <w:t> </w:t>
            </w:r>
          </w:p>
        </w:tc>
        <w:tc>
          <w:tcPr>
            <w:tcW w:w="851"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4B4D38C6"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-5.000</w:t>
            </w:r>
          </w:p>
        </w:tc>
        <w:tc>
          <w:tcPr>
            <w:tcW w:w="850"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6C87D9B8"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-18.300</w:t>
            </w:r>
          </w:p>
        </w:tc>
        <w:tc>
          <w:tcPr>
            <w:tcW w:w="851"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32B86739"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-21.087</w:t>
            </w:r>
          </w:p>
        </w:tc>
        <w:tc>
          <w:tcPr>
            <w:tcW w:w="850"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675CC774"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-27.332</w:t>
            </w:r>
          </w:p>
        </w:tc>
        <w:tc>
          <w:tcPr>
            <w:tcW w:w="851" w:type="dxa"/>
            <w:tcBorders>
              <w:top w:val="single" w:color="auto" w:sz="4" w:space="0"/>
              <w:left w:val="single" w:color="auto" w:sz="4" w:space="0"/>
              <w:bottom w:val="single" w:color="auto" w:sz="4" w:space="0"/>
              <w:right w:val="single" w:color="auto" w:sz="4" w:space="0"/>
            </w:tcBorders>
            <w:shd w:val="clear" w:color="auto" w:fill="8EAADB"/>
            <w:noWrap/>
            <w:vAlign w:val="center"/>
            <w:hideMark/>
          </w:tcPr>
          <w:p w:rsidRPr="00976FAB" w:rsidR="00083A0A" w:rsidP="004D6EAD" w:rsidRDefault="00083A0A" w14:paraId="6D5C8D7F" w14:textId="77777777">
            <w:pPr>
              <w:spacing w:line="240" w:lineRule="auto"/>
              <w:rPr>
                <w:rFonts w:cs="Calibri"/>
                <w:b/>
                <w:bCs/>
                <w:color w:val="FFFFFF"/>
                <w:sz w:val="16"/>
                <w:szCs w:val="16"/>
                <w:lang w:eastAsia="nl-NL"/>
              </w:rPr>
            </w:pPr>
            <w:r w:rsidRPr="00976FAB">
              <w:rPr>
                <w:rFonts w:cs="Calibri"/>
                <w:b/>
                <w:bCs/>
                <w:color w:val="000000"/>
                <w:sz w:val="16"/>
                <w:szCs w:val="16"/>
                <w:lang w:eastAsia="nl-NL"/>
              </w:rPr>
              <w:t>-27.549</w:t>
            </w:r>
          </w:p>
        </w:tc>
        <w:tc>
          <w:tcPr>
            <w:tcW w:w="2835" w:type="dxa"/>
            <w:tcBorders>
              <w:top w:val="single" w:color="auto" w:sz="4" w:space="0"/>
              <w:left w:val="single" w:color="auto" w:sz="4" w:space="0"/>
              <w:bottom w:val="single" w:color="auto" w:sz="4" w:space="0"/>
              <w:right w:val="single" w:color="auto" w:sz="4" w:space="0"/>
            </w:tcBorders>
            <w:shd w:val="clear" w:color="auto" w:fill="8EAADB"/>
          </w:tcPr>
          <w:p w:rsidRPr="00976FAB" w:rsidR="00083A0A" w:rsidP="004D6EAD" w:rsidRDefault="00083A0A" w14:paraId="12AD319B" w14:textId="77777777">
            <w:pPr>
              <w:spacing w:line="240" w:lineRule="auto"/>
              <w:rPr>
                <w:rFonts w:cs="Calibri"/>
                <w:b/>
                <w:bCs/>
                <w:color w:val="000000"/>
                <w:sz w:val="16"/>
                <w:szCs w:val="16"/>
                <w:lang w:eastAsia="nl-NL"/>
              </w:rPr>
            </w:pPr>
          </w:p>
        </w:tc>
      </w:tr>
      <w:tr w:rsidRPr="00976FAB" w:rsidR="00083A0A" w:rsidTr="004D6EAD" w14:paraId="4C3C4E2D" w14:textId="77777777">
        <w:trPr>
          <w:trHeight w:val="219"/>
        </w:trPr>
        <w:tc>
          <w:tcPr>
            <w:tcW w:w="1985" w:type="dxa"/>
            <w:tcBorders>
              <w:top w:val="single" w:color="auto" w:sz="4" w:space="0"/>
              <w:bottom w:val="single" w:color="auto" w:sz="4" w:space="0"/>
            </w:tcBorders>
            <w:shd w:val="clear" w:color="auto" w:fill="auto"/>
            <w:noWrap/>
            <w:hideMark/>
          </w:tcPr>
          <w:p w:rsidRPr="005E62F7" w:rsidR="00083A0A" w:rsidP="004D6EAD" w:rsidRDefault="00083A0A" w14:paraId="66431803" w14:textId="77777777">
            <w:pPr>
              <w:spacing w:line="240" w:lineRule="auto"/>
              <w:rPr>
                <w:rFonts w:eastAsia="Times New Roman" w:cs="Calibri"/>
                <w:b/>
                <w:bCs/>
                <w:color w:val="000000"/>
                <w:sz w:val="16"/>
                <w:szCs w:val="16"/>
                <w:lang w:eastAsia="nl-NL"/>
              </w:rPr>
            </w:pPr>
            <w:r w:rsidRPr="005E62F7">
              <w:rPr>
                <w:rFonts w:cs="Calibri"/>
                <w:color w:val="000000"/>
                <w:sz w:val="16"/>
                <w:szCs w:val="16"/>
                <w:lang w:eastAsia="nl-NL"/>
              </w:rPr>
              <w:lastRenderedPageBreak/>
              <w:t>Korting op niet verplichte ruimte art. 1 Volksgezondheid (art. 1.1)</w:t>
            </w:r>
          </w:p>
        </w:tc>
        <w:tc>
          <w:tcPr>
            <w:tcW w:w="992" w:type="dxa"/>
            <w:tcBorders>
              <w:top w:val="single" w:color="auto" w:sz="4" w:space="0"/>
              <w:bottom w:val="single" w:color="auto" w:sz="4" w:space="0"/>
            </w:tcBorders>
          </w:tcPr>
          <w:p w:rsidRPr="00976FAB" w:rsidR="00083A0A" w:rsidP="004D6EAD" w:rsidRDefault="00083A0A" w14:paraId="36FD199C" w14:textId="77777777">
            <w:pPr>
              <w:spacing w:line="240" w:lineRule="auto"/>
              <w:rPr>
                <w:rFonts w:cs="Calibri"/>
                <w:color w:val="000000"/>
                <w:sz w:val="16"/>
                <w:szCs w:val="16"/>
                <w:lang w:eastAsia="nl-NL"/>
              </w:rPr>
            </w:pPr>
            <w:r w:rsidRPr="00976FAB">
              <w:rPr>
                <w:rFonts w:cs="Calibri"/>
                <w:color w:val="000000"/>
                <w:sz w:val="16"/>
                <w:szCs w:val="16"/>
                <w:lang w:eastAsia="nl-NL"/>
              </w:rPr>
              <w:t>SJPS</w:t>
            </w:r>
          </w:p>
        </w:tc>
        <w:tc>
          <w:tcPr>
            <w:tcW w:w="851" w:type="dxa"/>
            <w:tcBorders>
              <w:top w:val="single" w:color="auto" w:sz="4" w:space="0"/>
              <w:bottom w:val="single" w:color="auto" w:sz="4" w:space="0"/>
            </w:tcBorders>
            <w:shd w:val="clear" w:color="auto" w:fill="auto"/>
            <w:noWrap/>
          </w:tcPr>
          <w:p w:rsidRPr="00976FAB" w:rsidR="00083A0A" w:rsidP="004D6EAD" w:rsidRDefault="00083A0A" w14:paraId="26CC4C71"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069D4B91"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-457</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B68BC36"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-457</w:t>
            </w:r>
          </w:p>
        </w:tc>
        <w:tc>
          <w:tcPr>
            <w:tcW w:w="850" w:type="dxa"/>
            <w:tcBorders>
              <w:top w:val="single" w:color="auto" w:sz="4" w:space="0"/>
              <w:bottom w:val="single" w:color="auto" w:sz="4" w:space="0"/>
            </w:tcBorders>
            <w:shd w:val="clear" w:color="auto" w:fill="auto"/>
            <w:noWrap/>
          </w:tcPr>
          <w:p w:rsidRPr="00976FAB" w:rsidR="00083A0A" w:rsidP="004D6EAD" w:rsidRDefault="00083A0A" w14:paraId="5C0948D8"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-457</w:t>
            </w:r>
          </w:p>
        </w:tc>
        <w:tc>
          <w:tcPr>
            <w:tcW w:w="851" w:type="dxa"/>
            <w:tcBorders>
              <w:top w:val="single" w:color="auto" w:sz="4" w:space="0"/>
              <w:bottom w:val="single" w:color="auto" w:sz="4" w:space="0"/>
            </w:tcBorders>
            <w:shd w:val="clear" w:color="auto" w:fill="auto"/>
            <w:noWrap/>
          </w:tcPr>
          <w:p w:rsidRPr="00976FAB" w:rsidR="00083A0A" w:rsidP="004D6EAD" w:rsidRDefault="00083A0A" w14:paraId="6B3C6F84"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-457</w:t>
            </w:r>
          </w:p>
        </w:tc>
        <w:tc>
          <w:tcPr>
            <w:tcW w:w="2835" w:type="dxa"/>
            <w:tcBorders>
              <w:top w:val="single" w:color="auto" w:sz="4" w:space="0"/>
              <w:bottom w:val="single" w:color="auto" w:sz="4" w:space="0"/>
            </w:tcBorders>
          </w:tcPr>
          <w:p w:rsidRPr="00976FAB" w:rsidR="00083A0A" w:rsidP="004D6EAD" w:rsidRDefault="00083A0A" w14:paraId="088F0E1F" w14:textId="77777777">
            <w:pPr>
              <w:spacing w:line="240" w:lineRule="auto"/>
              <w:rPr>
                <w:rFonts w:cs="Calibri"/>
                <w:color w:val="000000"/>
                <w:sz w:val="16"/>
                <w:szCs w:val="16"/>
                <w:lang w:eastAsia="nl-NL"/>
              </w:rPr>
            </w:pPr>
            <w:r w:rsidRPr="00976FAB">
              <w:rPr>
                <w:rFonts w:cs="Calibri"/>
                <w:color w:val="000000"/>
                <w:sz w:val="16"/>
                <w:szCs w:val="16"/>
                <w:lang w:eastAsia="nl-NL"/>
              </w:rPr>
              <w:t>Artikel 1.1 Gezondheidsbeleid (Subsidies):</w:t>
            </w:r>
          </w:p>
          <w:p w:rsidRPr="00976FAB" w:rsidR="00083A0A" w:rsidP="00083A0A" w:rsidRDefault="00083A0A" w14:paraId="731D75C7" w14:textId="77777777">
            <w:pPr>
              <w:numPr>
                <w:ilvl w:val="0"/>
                <w:numId w:val="5"/>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Lokaal gezondheidsbeleid</w:t>
            </w:r>
          </w:p>
        </w:tc>
      </w:tr>
      <w:tr w:rsidRPr="00976FAB" w:rsidR="00083A0A" w:rsidTr="004D6EAD" w14:paraId="1E4FCD47"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408FE9FE" w14:textId="77777777">
            <w:pPr>
              <w:spacing w:line="240" w:lineRule="auto"/>
              <w:rPr>
                <w:rFonts w:eastAsia="Times New Roman" w:cs="Calibri"/>
                <w:color w:val="000000"/>
                <w:sz w:val="16"/>
                <w:szCs w:val="16"/>
                <w:lang w:eastAsia="nl-NL"/>
              </w:rPr>
            </w:pPr>
            <w:r w:rsidRPr="005E62F7">
              <w:rPr>
                <w:rFonts w:cs="Calibri"/>
                <w:color w:val="000000"/>
                <w:sz w:val="16"/>
                <w:szCs w:val="16"/>
                <w:lang w:eastAsia="nl-NL"/>
              </w:rPr>
              <w:t>Korting op niet verplichte ruimte art. 3 Langdurige Zorg en Ondersteuning       (art. 3.1)</w:t>
            </w:r>
          </w:p>
        </w:tc>
        <w:tc>
          <w:tcPr>
            <w:tcW w:w="992" w:type="dxa"/>
            <w:tcBorders>
              <w:top w:val="single" w:color="auto" w:sz="4" w:space="0"/>
              <w:bottom w:val="single" w:color="auto" w:sz="4" w:space="0"/>
            </w:tcBorders>
          </w:tcPr>
          <w:p w:rsidRPr="00976FAB" w:rsidR="00083A0A" w:rsidP="004D6EAD" w:rsidRDefault="00083A0A" w14:paraId="6C108059" w14:textId="77777777">
            <w:pPr>
              <w:spacing w:line="240" w:lineRule="auto"/>
              <w:rPr>
                <w:rFonts w:cs="Calibri"/>
                <w:color w:val="000000"/>
                <w:sz w:val="16"/>
                <w:szCs w:val="16"/>
                <w:lang w:eastAsia="nl-NL"/>
              </w:rPr>
            </w:pPr>
            <w:r w:rsidRPr="00976FAB">
              <w:rPr>
                <w:rFonts w:cs="Calibri"/>
                <w:color w:val="000000"/>
                <w:sz w:val="16"/>
                <w:szCs w:val="16"/>
                <w:lang w:eastAsia="nl-NL"/>
              </w:rPr>
              <w:t>SLMZ</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018D6AF"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63F0D741" w14:textId="77777777">
            <w:pPr>
              <w:spacing w:line="240" w:lineRule="auto"/>
              <w:rPr>
                <w:rFonts w:eastAsia="Times New Roman" w:cs="Calibri"/>
                <w:color w:val="000000"/>
                <w:sz w:val="16"/>
                <w:szCs w:val="16"/>
                <w:lang w:eastAsia="nl-NL"/>
              </w:rPr>
            </w:pPr>
            <w:r w:rsidRPr="00976FAB">
              <w:rPr>
                <w:rFonts w:cs="Calibri"/>
                <w:color w:val="000000"/>
                <w:sz w:val="16"/>
                <w:szCs w:val="16"/>
                <w:lang w:eastAsia="nl-NL"/>
              </w:rPr>
              <w:t>-1.690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297ED718" w14:textId="77777777">
            <w:pPr>
              <w:spacing w:line="240" w:lineRule="auto"/>
              <w:rPr>
                <w:rFonts w:eastAsia="Times New Roman" w:cs="Calibri"/>
                <w:color w:val="000000"/>
                <w:sz w:val="16"/>
                <w:szCs w:val="16"/>
                <w:lang w:eastAsia="nl-NL"/>
              </w:rPr>
            </w:pPr>
            <w:r w:rsidRPr="00976FAB">
              <w:rPr>
                <w:rFonts w:cs="Calibri"/>
                <w:color w:val="000000"/>
                <w:sz w:val="16"/>
                <w:szCs w:val="16"/>
                <w:lang w:eastAsia="nl-NL"/>
              </w:rPr>
              <w:t>-1.690</w:t>
            </w:r>
          </w:p>
        </w:tc>
        <w:tc>
          <w:tcPr>
            <w:tcW w:w="850" w:type="dxa"/>
            <w:tcBorders>
              <w:top w:val="single" w:color="auto" w:sz="4" w:space="0"/>
              <w:bottom w:val="single" w:color="auto" w:sz="4" w:space="0"/>
            </w:tcBorders>
            <w:shd w:val="clear" w:color="auto" w:fill="auto"/>
            <w:noWrap/>
          </w:tcPr>
          <w:p w:rsidRPr="00976FAB" w:rsidR="00083A0A" w:rsidP="004D6EAD" w:rsidRDefault="00083A0A" w14:paraId="020E7E94" w14:textId="77777777">
            <w:pPr>
              <w:spacing w:line="240" w:lineRule="auto"/>
              <w:rPr>
                <w:rFonts w:eastAsia="Times New Roman" w:cs="Calibri"/>
                <w:color w:val="000000"/>
                <w:sz w:val="16"/>
                <w:szCs w:val="16"/>
                <w:lang w:eastAsia="nl-NL"/>
              </w:rPr>
            </w:pPr>
            <w:r w:rsidRPr="00976FAB">
              <w:rPr>
                <w:rFonts w:cs="Calibri"/>
                <w:color w:val="000000"/>
                <w:sz w:val="16"/>
                <w:szCs w:val="16"/>
                <w:lang w:eastAsia="nl-NL"/>
              </w:rPr>
              <w:t>-1.690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011A927E" w14:textId="77777777">
            <w:pPr>
              <w:spacing w:line="240" w:lineRule="auto"/>
              <w:rPr>
                <w:rFonts w:eastAsia="Times New Roman" w:cs="Calibri"/>
                <w:color w:val="000000"/>
                <w:sz w:val="16"/>
                <w:szCs w:val="16"/>
                <w:lang w:eastAsia="nl-NL"/>
              </w:rPr>
            </w:pPr>
            <w:r w:rsidRPr="00976FAB">
              <w:rPr>
                <w:rFonts w:cs="Calibri"/>
                <w:color w:val="000000"/>
                <w:sz w:val="16"/>
                <w:szCs w:val="16"/>
                <w:lang w:eastAsia="nl-NL"/>
              </w:rPr>
              <w:t>-1.690</w:t>
            </w:r>
          </w:p>
        </w:tc>
        <w:tc>
          <w:tcPr>
            <w:tcW w:w="2835" w:type="dxa"/>
            <w:tcBorders>
              <w:top w:val="single" w:color="auto" w:sz="4" w:space="0"/>
              <w:bottom w:val="single" w:color="auto" w:sz="4" w:space="0"/>
            </w:tcBorders>
          </w:tcPr>
          <w:p w:rsidRPr="005E62F7" w:rsidR="00083A0A" w:rsidP="004D6EAD" w:rsidRDefault="00083A0A" w14:paraId="73728B05" w14:textId="77777777">
            <w:pPr>
              <w:spacing w:line="240" w:lineRule="auto"/>
              <w:rPr>
                <w:rFonts w:cs="Calibri"/>
                <w:color w:val="000000"/>
                <w:sz w:val="16"/>
                <w:szCs w:val="16"/>
                <w:lang w:eastAsia="nl-NL"/>
              </w:rPr>
            </w:pPr>
            <w:r w:rsidRPr="005E62F7">
              <w:rPr>
                <w:rFonts w:cs="Calibri"/>
                <w:color w:val="000000"/>
                <w:sz w:val="16"/>
                <w:szCs w:val="16"/>
                <w:lang w:eastAsia="nl-NL"/>
              </w:rPr>
              <w:t>Artikel 3.1</w:t>
            </w:r>
            <w:r w:rsidRPr="005E62F7">
              <w:rPr>
                <w:rFonts w:eastAsia="Calibri" w:cs="Times New Roman"/>
              </w:rPr>
              <w:t xml:space="preserve"> P</w:t>
            </w:r>
            <w:r w:rsidRPr="005E62F7">
              <w:rPr>
                <w:rFonts w:cs="Calibri"/>
                <w:color w:val="000000"/>
                <w:sz w:val="16"/>
                <w:szCs w:val="16"/>
                <w:lang w:eastAsia="nl-NL"/>
              </w:rPr>
              <w:t>articipatie en zelfredzaamheid van kwetsbare groepen (Subsidies):</w:t>
            </w:r>
          </w:p>
          <w:p w:rsidRPr="00976FAB" w:rsidR="00083A0A" w:rsidP="00083A0A" w:rsidRDefault="00083A0A" w14:paraId="0C4C25D7"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Toegang tot zorg en ondersteuning</w:t>
            </w:r>
          </w:p>
          <w:p w:rsidRPr="00976FAB" w:rsidR="00083A0A" w:rsidP="00083A0A" w:rsidRDefault="00083A0A" w14:paraId="60546678"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 xml:space="preserve">Passende zorg en </w:t>
            </w:r>
            <w:proofErr w:type="spellStart"/>
            <w:r w:rsidRPr="00976FAB">
              <w:rPr>
                <w:rFonts w:cs="Calibri"/>
                <w:color w:val="000000"/>
                <w:sz w:val="16"/>
                <w:szCs w:val="16"/>
                <w:lang w:eastAsia="nl-NL"/>
              </w:rPr>
              <w:t>levensbrede</w:t>
            </w:r>
            <w:proofErr w:type="spellEnd"/>
            <w:r w:rsidRPr="00976FAB">
              <w:rPr>
                <w:rFonts w:cs="Calibri"/>
                <w:color w:val="000000"/>
                <w:sz w:val="16"/>
                <w:szCs w:val="16"/>
                <w:lang w:eastAsia="nl-NL"/>
              </w:rPr>
              <w:t xml:space="preserve"> ondersteuning</w:t>
            </w:r>
          </w:p>
          <w:p w:rsidRPr="00976FAB" w:rsidR="00083A0A" w:rsidP="00083A0A" w:rsidRDefault="00083A0A" w14:paraId="20EC00BB"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Inclusieve samenleving</w:t>
            </w:r>
          </w:p>
          <w:p w:rsidRPr="00976FAB" w:rsidR="00083A0A" w:rsidP="00083A0A" w:rsidRDefault="00083A0A" w14:paraId="18E4D86F"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Overige</w:t>
            </w:r>
          </w:p>
        </w:tc>
      </w:tr>
      <w:tr w:rsidRPr="00976FAB" w:rsidR="00083A0A" w:rsidTr="004D6EAD" w14:paraId="33CB4BAA"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7682E40C" w14:textId="77777777">
            <w:pPr>
              <w:spacing w:line="240" w:lineRule="auto"/>
              <w:rPr>
                <w:rFonts w:eastAsia="Times New Roman" w:cs="Calibri"/>
                <w:color w:val="000000"/>
                <w:sz w:val="16"/>
                <w:szCs w:val="16"/>
                <w:lang w:eastAsia="nl-NL"/>
              </w:rPr>
            </w:pPr>
            <w:r w:rsidRPr="005E62F7">
              <w:rPr>
                <w:rFonts w:cs="Calibri"/>
                <w:color w:val="000000"/>
                <w:sz w:val="16"/>
                <w:szCs w:val="16"/>
                <w:lang w:eastAsia="nl-NL"/>
              </w:rPr>
              <w:t>Korting op niet verplichte ruimte art. 3 Langdurige Zorg en Ondersteuning      (art. 3.2)</w:t>
            </w:r>
          </w:p>
        </w:tc>
        <w:tc>
          <w:tcPr>
            <w:tcW w:w="992" w:type="dxa"/>
            <w:tcBorders>
              <w:top w:val="single" w:color="auto" w:sz="4" w:space="0"/>
              <w:bottom w:val="single" w:color="auto" w:sz="4" w:space="0"/>
            </w:tcBorders>
          </w:tcPr>
          <w:p w:rsidRPr="00976FAB" w:rsidR="00083A0A" w:rsidP="004D6EAD" w:rsidRDefault="00083A0A" w14:paraId="16739699" w14:textId="77777777">
            <w:pPr>
              <w:spacing w:line="240" w:lineRule="auto"/>
              <w:rPr>
                <w:rFonts w:cs="Calibri"/>
                <w:color w:val="000000"/>
                <w:sz w:val="16"/>
                <w:szCs w:val="16"/>
                <w:lang w:eastAsia="nl-NL"/>
              </w:rPr>
            </w:pPr>
            <w:r w:rsidRPr="00976FAB">
              <w:rPr>
                <w:rFonts w:cs="Calibri"/>
                <w:color w:val="000000"/>
                <w:sz w:val="16"/>
                <w:szCs w:val="16"/>
                <w:lang w:eastAsia="nl-NL"/>
              </w:rPr>
              <w:t>SLMZ</w:t>
            </w:r>
          </w:p>
        </w:tc>
        <w:tc>
          <w:tcPr>
            <w:tcW w:w="851" w:type="dxa"/>
            <w:tcBorders>
              <w:top w:val="single" w:color="auto" w:sz="4" w:space="0"/>
              <w:bottom w:val="single" w:color="auto" w:sz="4" w:space="0"/>
            </w:tcBorders>
            <w:shd w:val="clear" w:color="auto" w:fill="auto"/>
            <w:noWrap/>
          </w:tcPr>
          <w:p w:rsidRPr="00976FAB" w:rsidR="00083A0A" w:rsidP="004D6EAD" w:rsidRDefault="00083A0A" w14:paraId="6B653755"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-5.000</w:t>
            </w:r>
          </w:p>
        </w:tc>
        <w:tc>
          <w:tcPr>
            <w:tcW w:w="850" w:type="dxa"/>
            <w:tcBorders>
              <w:top w:val="single" w:color="auto" w:sz="4" w:space="0"/>
              <w:bottom w:val="single" w:color="auto" w:sz="4" w:space="0"/>
            </w:tcBorders>
            <w:shd w:val="clear" w:color="auto" w:fill="auto"/>
            <w:noWrap/>
          </w:tcPr>
          <w:p w:rsidRPr="00976FAB" w:rsidR="00083A0A" w:rsidP="004D6EAD" w:rsidRDefault="00083A0A" w14:paraId="2508AA39"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-7.522</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8770760"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-7.522</w:t>
            </w:r>
          </w:p>
        </w:tc>
        <w:tc>
          <w:tcPr>
            <w:tcW w:w="850" w:type="dxa"/>
            <w:tcBorders>
              <w:top w:val="single" w:color="auto" w:sz="4" w:space="0"/>
              <w:bottom w:val="single" w:color="auto" w:sz="4" w:space="0"/>
            </w:tcBorders>
            <w:shd w:val="clear" w:color="auto" w:fill="auto"/>
            <w:noWrap/>
          </w:tcPr>
          <w:p w:rsidRPr="00976FAB" w:rsidR="00083A0A" w:rsidP="004D6EAD" w:rsidRDefault="00083A0A" w14:paraId="6962D054"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-7.522</w:t>
            </w:r>
          </w:p>
        </w:tc>
        <w:tc>
          <w:tcPr>
            <w:tcW w:w="851" w:type="dxa"/>
            <w:tcBorders>
              <w:top w:val="single" w:color="auto" w:sz="4" w:space="0"/>
              <w:bottom w:val="single" w:color="auto" w:sz="4" w:space="0"/>
            </w:tcBorders>
            <w:shd w:val="clear" w:color="auto" w:fill="auto"/>
            <w:noWrap/>
          </w:tcPr>
          <w:p w:rsidRPr="00976FAB" w:rsidR="00083A0A" w:rsidP="004D6EAD" w:rsidRDefault="00083A0A" w14:paraId="0EDF1A48"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-7.522</w:t>
            </w:r>
          </w:p>
        </w:tc>
        <w:tc>
          <w:tcPr>
            <w:tcW w:w="2835" w:type="dxa"/>
            <w:tcBorders>
              <w:top w:val="single" w:color="auto" w:sz="4" w:space="0"/>
              <w:bottom w:val="single" w:color="auto" w:sz="4" w:space="0"/>
            </w:tcBorders>
          </w:tcPr>
          <w:p w:rsidRPr="005E62F7" w:rsidR="00083A0A" w:rsidP="004D6EAD" w:rsidRDefault="00083A0A" w14:paraId="200007FC" w14:textId="77777777">
            <w:pPr>
              <w:spacing w:line="240" w:lineRule="auto"/>
              <w:rPr>
                <w:rFonts w:cs="Calibri"/>
                <w:color w:val="000000"/>
                <w:sz w:val="16"/>
                <w:szCs w:val="16"/>
                <w:lang w:eastAsia="nl-NL"/>
              </w:rPr>
            </w:pPr>
            <w:r w:rsidRPr="005E62F7">
              <w:rPr>
                <w:rFonts w:cs="Calibri"/>
                <w:color w:val="000000"/>
                <w:sz w:val="16"/>
                <w:szCs w:val="16"/>
                <w:lang w:eastAsia="nl-NL"/>
              </w:rPr>
              <w:t xml:space="preserve">Artikel 3.2 Langdurige zorg tegen </w:t>
            </w:r>
            <w:proofErr w:type="spellStart"/>
            <w:r w:rsidRPr="005E62F7">
              <w:rPr>
                <w:rFonts w:cs="Calibri"/>
                <w:color w:val="000000"/>
                <w:sz w:val="16"/>
                <w:szCs w:val="16"/>
                <w:lang w:eastAsia="nl-NL"/>
              </w:rPr>
              <w:t>maatschappelĳk</w:t>
            </w:r>
            <w:proofErr w:type="spellEnd"/>
            <w:r w:rsidRPr="005E62F7">
              <w:rPr>
                <w:rFonts w:cs="Calibri"/>
                <w:color w:val="000000"/>
                <w:sz w:val="16"/>
                <w:szCs w:val="16"/>
                <w:lang w:eastAsia="nl-NL"/>
              </w:rPr>
              <w:t xml:space="preserve"> aanvaardbare kosten (Subsidies):</w:t>
            </w:r>
          </w:p>
          <w:p w:rsidRPr="00976FAB" w:rsidR="00083A0A" w:rsidP="00083A0A" w:rsidRDefault="00083A0A" w14:paraId="3C3F217E"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Kennis, informatie en innovatiebeleid</w:t>
            </w:r>
          </w:p>
          <w:p w:rsidRPr="00976FAB" w:rsidR="00083A0A" w:rsidP="00083A0A" w:rsidRDefault="00083A0A" w14:paraId="5CF4BB89"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Zorg merkbaar beter maken</w:t>
            </w:r>
          </w:p>
        </w:tc>
      </w:tr>
      <w:tr w:rsidRPr="00976FAB" w:rsidR="00083A0A" w:rsidTr="004D6EAD" w14:paraId="5272AAAA"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19228AE2" w14:textId="77777777">
            <w:pPr>
              <w:spacing w:line="240" w:lineRule="auto"/>
              <w:rPr>
                <w:rFonts w:cs="Calibri"/>
                <w:color w:val="000000"/>
                <w:sz w:val="16"/>
                <w:szCs w:val="16"/>
                <w:lang w:eastAsia="nl-NL"/>
              </w:rPr>
            </w:pPr>
            <w:r w:rsidRPr="005E62F7">
              <w:rPr>
                <w:rFonts w:cs="Calibri"/>
                <w:color w:val="000000"/>
                <w:sz w:val="16"/>
                <w:szCs w:val="16"/>
                <w:lang w:eastAsia="nl-NL"/>
              </w:rPr>
              <w:t xml:space="preserve">Korting op niet verplichte ruimte art. 4 </w:t>
            </w:r>
            <w:proofErr w:type="spellStart"/>
            <w:r w:rsidRPr="005E62F7">
              <w:rPr>
                <w:rFonts w:cs="Calibri"/>
                <w:color w:val="000000"/>
                <w:sz w:val="16"/>
                <w:szCs w:val="16"/>
                <w:lang w:eastAsia="nl-NL"/>
              </w:rPr>
              <w:t>Zorgbreed</w:t>
            </w:r>
            <w:proofErr w:type="spellEnd"/>
            <w:r w:rsidRPr="005E62F7">
              <w:rPr>
                <w:rFonts w:cs="Calibri"/>
                <w:color w:val="000000"/>
                <w:sz w:val="16"/>
                <w:szCs w:val="16"/>
                <w:lang w:eastAsia="nl-NL"/>
              </w:rPr>
              <w:t xml:space="preserve"> beleid (art. 4.1)</w:t>
            </w:r>
            <w:r w:rsidRPr="005E62F7">
              <w:rPr>
                <w:rFonts w:cs="Calibri"/>
                <w:b/>
                <w:bCs/>
                <w:color w:val="000000"/>
                <w:sz w:val="16"/>
                <w:szCs w:val="16"/>
                <w:lang w:eastAsia="nl-NL"/>
              </w:rPr>
              <w:t>*</w:t>
            </w:r>
          </w:p>
        </w:tc>
        <w:tc>
          <w:tcPr>
            <w:tcW w:w="992" w:type="dxa"/>
            <w:tcBorders>
              <w:top w:val="single" w:color="auto" w:sz="4" w:space="0"/>
              <w:bottom w:val="single" w:color="auto" w:sz="4" w:space="0"/>
            </w:tcBorders>
          </w:tcPr>
          <w:p w:rsidRPr="00976FAB" w:rsidR="00083A0A" w:rsidP="004D6EAD" w:rsidRDefault="00083A0A" w14:paraId="5D36B693" w14:textId="77777777">
            <w:pPr>
              <w:spacing w:line="240" w:lineRule="auto"/>
              <w:rPr>
                <w:rFonts w:cs="Calibri"/>
                <w:color w:val="000000"/>
                <w:sz w:val="16"/>
                <w:szCs w:val="16"/>
                <w:lang w:eastAsia="nl-NL"/>
              </w:rPr>
            </w:pPr>
            <w:r w:rsidRPr="00976FAB">
              <w:rPr>
                <w:rFonts w:cs="Calibri"/>
                <w:color w:val="000000"/>
                <w:sz w:val="16"/>
                <w:szCs w:val="16"/>
                <w:lang w:eastAsia="nl-NL"/>
              </w:rPr>
              <w:t>MVWS</w:t>
            </w:r>
          </w:p>
        </w:tc>
        <w:tc>
          <w:tcPr>
            <w:tcW w:w="851" w:type="dxa"/>
            <w:tcBorders>
              <w:top w:val="single" w:color="auto" w:sz="4" w:space="0"/>
              <w:bottom w:val="single" w:color="auto" w:sz="4" w:space="0"/>
            </w:tcBorders>
            <w:shd w:val="clear" w:color="auto" w:fill="auto"/>
            <w:noWrap/>
          </w:tcPr>
          <w:p w:rsidRPr="00976FAB" w:rsidR="00083A0A" w:rsidP="004D6EAD" w:rsidRDefault="00083A0A" w14:paraId="17070144"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02C85BB5" w14:textId="77777777">
            <w:pPr>
              <w:spacing w:line="240" w:lineRule="auto"/>
              <w:rPr>
                <w:rFonts w:cs="Calibri"/>
                <w:color w:val="000000"/>
                <w:sz w:val="16"/>
                <w:szCs w:val="16"/>
                <w:lang w:eastAsia="nl-NL"/>
              </w:rPr>
            </w:pPr>
            <w:r w:rsidRPr="00976FAB">
              <w:rPr>
                <w:rFonts w:cs="Calibri"/>
                <w:color w:val="000000"/>
                <w:sz w:val="16"/>
                <w:szCs w:val="16"/>
                <w:lang w:eastAsia="nl-NL"/>
              </w:rPr>
              <w:t>-2.050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B72E59A"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61DF1D49"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851" w:type="dxa"/>
            <w:tcBorders>
              <w:top w:val="single" w:color="auto" w:sz="4" w:space="0"/>
              <w:bottom w:val="single" w:color="auto" w:sz="4" w:space="0"/>
            </w:tcBorders>
            <w:shd w:val="clear" w:color="auto" w:fill="auto"/>
            <w:noWrap/>
          </w:tcPr>
          <w:p w:rsidRPr="00976FAB" w:rsidR="00083A0A" w:rsidP="004D6EAD" w:rsidRDefault="00083A0A" w14:paraId="47737048"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2835" w:type="dxa"/>
            <w:tcBorders>
              <w:top w:val="single" w:color="auto" w:sz="4" w:space="0"/>
              <w:bottom w:val="single" w:color="auto" w:sz="4" w:space="0"/>
            </w:tcBorders>
          </w:tcPr>
          <w:p w:rsidRPr="005E62F7" w:rsidR="00083A0A" w:rsidP="004D6EAD" w:rsidRDefault="00083A0A" w14:paraId="32A7502D" w14:textId="77777777">
            <w:pPr>
              <w:spacing w:line="240" w:lineRule="auto"/>
              <w:rPr>
                <w:rFonts w:cs="Calibri"/>
                <w:color w:val="000000"/>
                <w:sz w:val="16"/>
                <w:szCs w:val="16"/>
                <w:lang w:eastAsia="nl-NL"/>
              </w:rPr>
            </w:pPr>
            <w:r w:rsidRPr="005E62F7">
              <w:rPr>
                <w:rFonts w:cs="Calibri"/>
                <w:color w:val="000000"/>
                <w:sz w:val="16"/>
                <w:szCs w:val="16"/>
                <w:lang w:eastAsia="nl-NL"/>
              </w:rPr>
              <w:t>Artikel 4.2 Opleidingen, beroepenstructuur en arbeidsmarkt (Subsidies):</w:t>
            </w:r>
          </w:p>
          <w:p w:rsidRPr="00976FAB" w:rsidR="00083A0A" w:rsidP="00083A0A" w:rsidRDefault="00083A0A" w14:paraId="57BB95E7"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Overig</w:t>
            </w:r>
            <w:r>
              <w:rPr>
                <w:rFonts w:cs="Calibri"/>
                <w:color w:val="000000"/>
                <w:sz w:val="16"/>
                <w:szCs w:val="16"/>
                <w:lang w:eastAsia="nl-NL"/>
              </w:rPr>
              <w:t>e</w:t>
            </w:r>
          </w:p>
        </w:tc>
      </w:tr>
      <w:tr w:rsidRPr="00976FAB" w:rsidR="00083A0A" w:rsidTr="004D6EAD" w14:paraId="65EFED18"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140A1D3E" w14:textId="77777777">
            <w:pPr>
              <w:spacing w:line="240" w:lineRule="auto"/>
              <w:rPr>
                <w:rFonts w:eastAsia="Times New Roman" w:cs="Calibri"/>
                <w:b/>
                <w:bCs/>
                <w:color w:val="000000"/>
                <w:sz w:val="16"/>
                <w:szCs w:val="16"/>
                <w:lang w:eastAsia="nl-NL"/>
              </w:rPr>
            </w:pPr>
            <w:r w:rsidRPr="005E62F7">
              <w:rPr>
                <w:rFonts w:cs="Calibri"/>
                <w:color w:val="000000"/>
                <w:sz w:val="16"/>
                <w:szCs w:val="16"/>
                <w:lang w:eastAsia="nl-NL"/>
              </w:rPr>
              <w:t>Korting op niet verplichte ruimte art. 5 Jeugd (art. 5.3)</w:t>
            </w:r>
          </w:p>
        </w:tc>
        <w:tc>
          <w:tcPr>
            <w:tcW w:w="992" w:type="dxa"/>
            <w:tcBorders>
              <w:top w:val="single" w:color="auto" w:sz="4" w:space="0"/>
              <w:bottom w:val="single" w:color="auto" w:sz="4" w:space="0"/>
            </w:tcBorders>
          </w:tcPr>
          <w:p w:rsidRPr="00976FAB" w:rsidR="00083A0A" w:rsidP="004D6EAD" w:rsidRDefault="00083A0A" w14:paraId="63109310" w14:textId="77777777">
            <w:pPr>
              <w:spacing w:line="240" w:lineRule="auto"/>
              <w:rPr>
                <w:rFonts w:cs="Calibri"/>
                <w:color w:val="000000"/>
                <w:sz w:val="16"/>
                <w:szCs w:val="16"/>
                <w:lang w:eastAsia="nl-NL"/>
              </w:rPr>
            </w:pPr>
            <w:r w:rsidRPr="00976FAB">
              <w:rPr>
                <w:rFonts w:cs="Calibri"/>
                <w:color w:val="000000"/>
                <w:sz w:val="16"/>
                <w:szCs w:val="16"/>
                <w:lang w:eastAsia="nl-NL"/>
              </w:rPr>
              <w:t>SJPS</w:t>
            </w:r>
          </w:p>
        </w:tc>
        <w:tc>
          <w:tcPr>
            <w:tcW w:w="851" w:type="dxa"/>
            <w:tcBorders>
              <w:top w:val="single" w:color="auto" w:sz="4" w:space="0"/>
              <w:bottom w:val="single" w:color="auto" w:sz="4" w:space="0"/>
            </w:tcBorders>
            <w:shd w:val="clear" w:color="auto" w:fill="auto"/>
            <w:noWrap/>
          </w:tcPr>
          <w:p w:rsidRPr="00976FAB" w:rsidR="00083A0A" w:rsidP="004D6EAD" w:rsidRDefault="00083A0A" w14:paraId="0DE6A7DB"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64C22445"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-1.956</w:t>
            </w:r>
          </w:p>
        </w:tc>
        <w:tc>
          <w:tcPr>
            <w:tcW w:w="851" w:type="dxa"/>
            <w:tcBorders>
              <w:top w:val="single" w:color="auto" w:sz="4" w:space="0"/>
              <w:bottom w:val="single" w:color="auto" w:sz="4" w:space="0"/>
            </w:tcBorders>
            <w:shd w:val="clear" w:color="auto" w:fill="auto"/>
            <w:noWrap/>
          </w:tcPr>
          <w:p w:rsidRPr="00976FAB" w:rsidR="00083A0A" w:rsidP="004D6EAD" w:rsidRDefault="00083A0A" w14:paraId="06F64F40"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-5.268</w:t>
            </w:r>
          </w:p>
        </w:tc>
        <w:tc>
          <w:tcPr>
            <w:tcW w:w="850" w:type="dxa"/>
            <w:tcBorders>
              <w:top w:val="single" w:color="auto" w:sz="4" w:space="0"/>
              <w:bottom w:val="single" w:color="auto" w:sz="4" w:space="0"/>
            </w:tcBorders>
            <w:shd w:val="clear" w:color="auto" w:fill="auto"/>
            <w:noWrap/>
          </w:tcPr>
          <w:p w:rsidRPr="00976FAB" w:rsidR="00083A0A" w:rsidP="004D6EAD" w:rsidRDefault="00083A0A" w14:paraId="324AF81B"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-9.863</w:t>
            </w:r>
          </w:p>
        </w:tc>
        <w:tc>
          <w:tcPr>
            <w:tcW w:w="851" w:type="dxa"/>
            <w:tcBorders>
              <w:top w:val="single" w:color="auto" w:sz="4" w:space="0"/>
              <w:bottom w:val="single" w:color="auto" w:sz="4" w:space="0"/>
            </w:tcBorders>
            <w:shd w:val="clear" w:color="auto" w:fill="auto"/>
            <w:noWrap/>
          </w:tcPr>
          <w:p w:rsidRPr="00976FAB" w:rsidR="00083A0A" w:rsidP="004D6EAD" w:rsidRDefault="00083A0A" w14:paraId="011D03F2" w14:textId="77777777">
            <w:pPr>
              <w:spacing w:line="240" w:lineRule="auto"/>
              <w:rPr>
                <w:rFonts w:eastAsia="Times New Roman" w:cs="Calibri"/>
                <w:b/>
                <w:bCs/>
                <w:color w:val="000000"/>
                <w:sz w:val="16"/>
                <w:szCs w:val="16"/>
                <w:lang w:eastAsia="nl-NL"/>
              </w:rPr>
            </w:pPr>
            <w:r w:rsidRPr="00976FAB">
              <w:rPr>
                <w:rFonts w:cs="Calibri"/>
                <w:color w:val="000000"/>
                <w:sz w:val="16"/>
                <w:szCs w:val="16"/>
                <w:lang w:eastAsia="nl-NL"/>
              </w:rPr>
              <w:t>-10.080</w:t>
            </w:r>
          </w:p>
        </w:tc>
        <w:tc>
          <w:tcPr>
            <w:tcW w:w="2835" w:type="dxa"/>
            <w:tcBorders>
              <w:top w:val="single" w:color="auto" w:sz="4" w:space="0"/>
              <w:bottom w:val="single" w:color="auto" w:sz="4" w:space="0"/>
            </w:tcBorders>
          </w:tcPr>
          <w:p w:rsidRPr="005E62F7" w:rsidR="00083A0A" w:rsidP="004D6EAD" w:rsidRDefault="00083A0A" w14:paraId="512D101D" w14:textId="77777777">
            <w:pPr>
              <w:spacing w:line="240" w:lineRule="auto"/>
              <w:rPr>
                <w:rFonts w:cs="Calibri"/>
                <w:color w:val="000000"/>
                <w:sz w:val="16"/>
                <w:szCs w:val="16"/>
                <w:lang w:eastAsia="nl-NL"/>
              </w:rPr>
            </w:pPr>
            <w:r w:rsidRPr="005E62F7">
              <w:rPr>
                <w:rFonts w:cs="Calibri"/>
                <w:color w:val="000000"/>
                <w:sz w:val="16"/>
                <w:szCs w:val="16"/>
                <w:lang w:eastAsia="nl-NL"/>
              </w:rPr>
              <w:t>Artikel 5.3 Effectief en efficiënt werkend jeugdstelsel (Subsidies):</w:t>
            </w:r>
          </w:p>
          <w:p w:rsidRPr="005E62F7" w:rsidR="00083A0A" w:rsidP="00083A0A" w:rsidRDefault="00083A0A" w14:paraId="48D00107"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Jeugdbeleid</w:t>
            </w:r>
          </w:p>
          <w:p w:rsidRPr="005E62F7" w:rsidR="00083A0A" w:rsidP="004D6EAD" w:rsidRDefault="00083A0A" w14:paraId="6EC43C56" w14:textId="77777777">
            <w:pPr>
              <w:spacing w:line="240" w:lineRule="auto"/>
              <w:rPr>
                <w:rFonts w:cs="Calibri"/>
                <w:color w:val="000000"/>
                <w:sz w:val="16"/>
                <w:szCs w:val="16"/>
                <w:lang w:eastAsia="nl-NL"/>
              </w:rPr>
            </w:pPr>
            <w:r w:rsidRPr="005E62F7">
              <w:rPr>
                <w:rFonts w:cs="Calibri"/>
                <w:color w:val="000000"/>
                <w:sz w:val="16"/>
                <w:szCs w:val="16"/>
                <w:lang w:eastAsia="nl-NL"/>
              </w:rPr>
              <w:t>Artikel Effectief en efficiënt werkend jeugdstelsel (Opdrachten):</w:t>
            </w:r>
          </w:p>
          <w:p w:rsidRPr="005E62F7" w:rsidR="00083A0A" w:rsidP="00083A0A" w:rsidRDefault="00083A0A" w14:paraId="794BA46D"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Jeugdbeleid</w:t>
            </w:r>
          </w:p>
        </w:tc>
      </w:tr>
      <w:tr w:rsidRPr="00976FAB" w:rsidR="00083A0A" w:rsidTr="004D6EAD" w14:paraId="66B757F2"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4067A988" w14:textId="77777777">
            <w:pPr>
              <w:spacing w:line="240" w:lineRule="auto"/>
              <w:rPr>
                <w:rFonts w:cs="Calibri"/>
                <w:color w:val="000000"/>
                <w:sz w:val="16"/>
                <w:szCs w:val="16"/>
                <w:lang w:eastAsia="nl-NL"/>
              </w:rPr>
            </w:pPr>
            <w:r w:rsidRPr="005E62F7">
              <w:rPr>
                <w:rFonts w:cs="Calibri"/>
                <w:color w:val="000000"/>
                <w:sz w:val="16"/>
                <w:szCs w:val="16"/>
                <w:lang w:eastAsia="nl-NL"/>
              </w:rPr>
              <w:t>Korting op niet verplichte ruimte art. 6 Sport en bewegen (art. 6.4)</w:t>
            </w:r>
          </w:p>
        </w:tc>
        <w:tc>
          <w:tcPr>
            <w:tcW w:w="992" w:type="dxa"/>
            <w:tcBorders>
              <w:top w:val="single" w:color="auto" w:sz="4" w:space="0"/>
              <w:bottom w:val="single" w:color="auto" w:sz="4" w:space="0"/>
            </w:tcBorders>
          </w:tcPr>
          <w:p w:rsidRPr="00976FAB" w:rsidR="00083A0A" w:rsidP="004D6EAD" w:rsidRDefault="00083A0A" w14:paraId="63DF8AE4" w14:textId="77777777">
            <w:pPr>
              <w:spacing w:line="240" w:lineRule="auto"/>
              <w:rPr>
                <w:rFonts w:cs="Calibri"/>
                <w:color w:val="000000"/>
                <w:sz w:val="16"/>
                <w:szCs w:val="16"/>
                <w:lang w:eastAsia="nl-NL"/>
              </w:rPr>
            </w:pPr>
            <w:r w:rsidRPr="00976FAB">
              <w:rPr>
                <w:rFonts w:cs="Calibri"/>
                <w:color w:val="000000"/>
                <w:sz w:val="16"/>
                <w:szCs w:val="16"/>
                <w:lang w:eastAsia="nl-NL"/>
              </w:rPr>
              <w:t>SJPS</w:t>
            </w:r>
          </w:p>
        </w:tc>
        <w:tc>
          <w:tcPr>
            <w:tcW w:w="851" w:type="dxa"/>
            <w:tcBorders>
              <w:top w:val="single" w:color="auto" w:sz="4" w:space="0"/>
              <w:bottom w:val="single" w:color="auto" w:sz="4" w:space="0"/>
            </w:tcBorders>
            <w:shd w:val="clear" w:color="auto" w:fill="auto"/>
            <w:noWrap/>
          </w:tcPr>
          <w:p w:rsidRPr="00976FAB" w:rsidR="00083A0A" w:rsidP="004D6EAD" w:rsidRDefault="00083A0A" w14:paraId="11E0276B"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5F54FE80" w14:textId="77777777">
            <w:pPr>
              <w:spacing w:line="240" w:lineRule="auto"/>
              <w:rPr>
                <w:rFonts w:cs="Calibri"/>
                <w:color w:val="000000"/>
                <w:sz w:val="16"/>
                <w:szCs w:val="16"/>
                <w:lang w:eastAsia="nl-NL"/>
              </w:rPr>
            </w:pPr>
            <w:r w:rsidRPr="00976FAB">
              <w:rPr>
                <w:rFonts w:cs="Calibri"/>
                <w:color w:val="000000"/>
                <w:sz w:val="16"/>
                <w:szCs w:val="16"/>
                <w:lang w:eastAsia="nl-NL"/>
              </w:rPr>
              <w:t>-4.525</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AB44B0A" w14:textId="77777777">
            <w:pPr>
              <w:spacing w:line="240" w:lineRule="auto"/>
              <w:rPr>
                <w:rFonts w:cs="Calibri"/>
                <w:color w:val="000000"/>
                <w:sz w:val="16"/>
                <w:szCs w:val="16"/>
                <w:lang w:eastAsia="nl-NL"/>
              </w:rPr>
            </w:pPr>
            <w:r w:rsidRPr="00976FAB">
              <w:rPr>
                <w:rFonts w:cs="Calibri"/>
                <w:color w:val="000000"/>
                <w:sz w:val="16"/>
                <w:szCs w:val="16"/>
                <w:lang w:eastAsia="nl-NL"/>
              </w:rPr>
              <w:t>-4.850</w:t>
            </w:r>
          </w:p>
        </w:tc>
        <w:tc>
          <w:tcPr>
            <w:tcW w:w="850" w:type="dxa"/>
            <w:tcBorders>
              <w:top w:val="single" w:color="auto" w:sz="4" w:space="0"/>
              <w:bottom w:val="single" w:color="auto" w:sz="4" w:space="0"/>
            </w:tcBorders>
            <w:shd w:val="clear" w:color="auto" w:fill="auto"/>
            <w:noWrap/>
          </w:tcPr>
          <w:p w:rsidRPr="00976FAB" w:rsidR="00083A0A" w:rsidP="004D6EAD" w:rsidRDefault="00083A0A" w14:paraId="51AFB6F8" w14:textId="77777777">
            <w:pPr>
              <w:spacing w:line="240" w:lineRule="auto"/>
              <w:rPr>
                <w:rFonts w:cs="Calibri"/>
                <w:color w:val="000000"/>
                <w:sz w:val="16"/>
                <w:szCs w:val="16"/>
                <w:lang w:eastAsia="nl-NL"/>
              </w:rPr>
            </w:pPr>
            <w:r w:rsidRPr="00976FAB">
              <w:rPr>
                <w:rFonts w:cs="Calibri"/>
                <w:color w:val="000000"/>
                <w:sz w:val="16"/>
                <w:szCs w:val="16"/>
                <w:lang w:eastAsia="nl-NL"/>
              </w:rPr>
              <w:t>-5.600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D0B16FE" w14:textId="77777777">
            <w:pPr>
              <w:spacing w:line="240" w:lineRule="auto"/>
              <w:rPr>
                <w:rFonts w:cs="Calibri"/>
                <w:color w:val="000000"/>
                <w:sz w:val="16"/>
                <w:szCs w:val="16"/>
                <w:lang w:eastAsia="nl-NL"/>
              </w:rPr>
            </w:pPr>
            <w:r w:rsidRPr="00976FAB">
              <w:rPr>
                <w:rFonts w:cs="Calibri"/>
                <w:color w:val="000000"/>
                <w:sz w:val="16"/>
                <w:szCs w:val="16"/>
                <w:lang w:eastAsia="nl-NL"/>
              </w:rPr>
              <w:t>-5.600</w:t>
            </w:r>
          </w:p>
        </w:tc>
        <w:tc>
          <w:tcPr>
            <w:tcW w:w="2835" w:type="dxa"/>
            <w:tcBorders>
              <w:top w:val="single" w:color="auto" w:sz="4" w:space="0"/>
              <w:bottom w:val="single" w:color="auto" w:sz="4" w:space="0"/>
            </w:tcBorders>
          </w:tcPr>
          <w:p w:rsidRPr="005E62F7" w:rsidR="00083A0A" w:rsidP="004D6EAD" w:rsidRDefault="00083A0A" w14:paraId="0D7DF262" w14:textId="77777777">
            <w:pPr>
              <w:spacing w:line="240" w:lineRule="auto"/>
              <w:rPr>
                <w:rFonts w:cs="Calibri"/>
                <w:color w:val="000000"/>
                <w:sz w:val="16"/>
                <w:szCs w:val="16"/>
                <w:lang w:eastAsia="nl-NL"/>
              </w:rPr>
            </w:pPr>
            <w:r w:rsidRPr="005E62F7">
              <w:rPr>
                <w:rFonts w:cs="Calibri"/>
                <w:color w:val="000000"/>
                <w:sz w:val="16"/>
                <w:szCs w:val="16"/>
                <w:lang w:eastAsia="nl-NL"/>
              </w:rPr>
              <w:t>Artikel 6.4 Sport verenigt Nederland (Subsidies):</w:t>
            </w:r>
          </w:p>
          <w:p w:rsidRPr="00976FAB" w:rsidR="00083A0A" w:rsidP="00083A0A" w:rsidRDefault="00083A0A" w14:paraId="33C8407E"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Kennis en innovatie</w:t>
            </w:r>
          </w:p>
          <w:p w:rsidRPr="00976FAB" w:rsidR="00083A0A" w:rsidP="00083A0A" w:rsidRDefault="00083A0A" w14:paraId="245EDFAB"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Sportakkoord</w:t>
            </w:r>
          </w:p>
        </w:tc>
      </w:tr>
      <w:tr w:rsidRPr="00976FAB" w:rsidR="00083A0A" w:rsidTr="004D6EAD" w14:paraId="10802C93" w14:textId="77777777">
        <w:trPr>
          <w:trHeight w:val="219"/>
        </w:trPr>
        <w:tc>
          <w:tcPr>
            <w:tcW w:w="1985" w:type="dxa"/>
            <w:tcBorders>
              <w:top w:val="single" w:color="auto" w:sz="4" w:space="0"/>
              <w:bottom w:val="single" w:color="auto" w:sz="4" w:space="0"/>
            </w:tcBorders>
            <w:shd w:val="clear" w:color="auto" w:fill="auto"/>
            <w:noWrap/>
          </w:tcPr>
          <w:p w:rsidRPr="005E62F7" w:rsidR="00083A0A" w:rsidP="004D6EAD" w:rsidRDefault="00083A0A" w14:paraId="22B5BAEE" w14:textId="77777777">
            <w:pPr>
              <w:spacing w:line="240" w:lineRule="auto"/>
              <w:rPr>
                <w:rFonts w:cs="Calibri"/>
                <w:color w:val="000000"/>
                <w:sz w:val="16"/>
                <w:szCs w:val="16"/>
                <w:lang w:eastAsia="nl-NL"/>
              </w:rPr>
            </w:pPr>
            <w:r w:rsidRPr="005E62F7">
              <w:rPr>
                <w:rFonts w:cs="Calibri"/>
                <w:color w:val="000000"/>
                <w:sz w:val="16"/>
                <w:szCs w:val="16"/>
                <w:lang w:eastAsia="nl-NL"/>
              </w:rPr>
              <w:t>Korting op niet verplichte ruimte art. 7 Oorlogsgetroffenen en Herinnering WOII (art. 7.1)</w:t>
            </w:r>
          </w:p>
        </w:tc>
        <w:tc>
          <w:tcPr>
            <w:tcW w:w="992" w:type="dxa"/>
            <w:tcBorders>
              <w:top w:val="single" w:color="auto" w:sz="4" w:space="0"/>
              <w:bottom w:val="single" w:color="auto" w:sz="4" w:space="0"/>
            </w:tcBorders>
          </w:tcPr>
          <w:p w:rsidRPr="00976FAB" w:rsidR="00083A0A" w:rsidP="004D6EAD" w:rsidRDefault="00083A0A" w14:paraId="30D0F209" w14:textId="77777777">
            <w:pPr>
              <w:spacing w:line="240" w:lineRule="auto"/>
              <w:rPr>
                <w:rFonts w:cs="Calibri"/>
                <w:color w:val="000000"/>
                <w:sz w:val="16"/>
                <w:szCs w:val="16"/>
                <w:lang w:eastAsia="nl-NL"/>
              </w:rPr>
            </w:pPr>
            <w:r w:rsidRPr="00976FAB">
              <w:rPr>
                <w:rFonts w:cs="Calibri"/>
                <w:color w:val="000000"/>
                <w:sz w:val="16"/>
                <w:szCs w:val="16"/>
                <w:lang w:eastAsia="nl-NL"/>
              </w:rPr>
              <w:t>SJPS</w:t>
            </w:r>
          </w:p>
        </w:tc>
        <w:tc>
          <w:tcPr>
            <w:tcW w:w="851" w:type="dxa"/>
            <w:tcBorders>
              <w:top w:val="single" w:color="auto" w:sz="4" w:space="0"/>
              <w:bottom w:val="single" w:color="auto" w:sz="4" w:space="0"/>
            </w:tcBorders>
            <w:shd w:val="clear" w:color="auto" w:fill="auto"/>
            <w:noWrap/>
          </w:tcPr>
          <w:p w:rsidRPr="00976FAB" w:rsidR="00083A0A" w:rsidP="004D6EAD" w:rsidRDefault="00083A0A" w14:paraId="5AE2183D" w14:textId="77777777">
            <w:pPr>
              <w:spacing w:line="240" w:lineRule="auto"/>
              <w:rPr>
                <w:rFonts w:cs="Calibri"/>
                <w:color w:val="000000"/>
                <w:sz w:val="16"/>
                <w:szCs w:val="16"/>
                <w:lang w:eastAsia="nl-NL"/>
              </w:rPr>
            </w:pPr>
            <w:r w:rsidRPr="00976FAB">
              <w:rPr>
                <w:rFonts w:cs="Calibri"/>
                <w:color w:val="000000"/>
                <w:sz w:val="16"/>
                <w:szCs w:val="16"/>
                <w:lang w:eastAsia="nl-NL"/>
              </w:rPr>
              <w:t>-</w:t>
            </w:r>
          </w:p>
        </w:tc>
        <w:tc>
          <w:tcPr>
            <w:tcW w:w="850" w:type="dxa"/>
            <w:tcBorders>
              <w:top w:val="single" w:color="auto" w:sz="4" w:space="0"/>
              <w:bottom w:val="single" w:color="auto" w:sz="4" w:space="0"/>
            </w:tcBorders>
            <w:shd w:val="clear" w:color="auto" w:fill="auto"/>
            <w:noWrap/>
          </w:tcPr>
          <w:p w:rsidRPr="00976FAB" w:rsidR="00083A0A" w:rsidP="004D6EAD" w:rsidRDefault="00083A0A" w14:paraId="2EC8B540" w14:textId="77777777">
            <w:pPr>
              <w:spacing w:line="240" w:lineRule="auto"/>
              <w:rPr>
                <w:rFonts w:cs="Calibri"/>
                <w:color w:val="000000"/>
                <w:sz w:val="16"/>
                <w:szCs w:val="16"/>
                <w:lang w:eastAsia="nl-NL"/>
              </w:rPr>
            </w:pPr>
            <w:r w:rsidRPr="00976FAB">
              <w:rPr>
                <w:rFonts w:cs="Calibri"/>
                <w:color w:val="000000"/>
                <w:sz w:val="16"/>
                <w:szCs w:val="16"/>
                <w:lang w:eastAsia="nl-NL"/>
              </w:rPr>
              <w:t>-100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64DE30F7" w14:textId="77777777">
            <w:pPr>
              <w:spacing w:line="240" w:lineRule="auto"/>
              <w:rPr>
                <w:rFonts w:cs="Calibri"/>
                <w:color w:val="000000"/>
                <w:sz w:val="16"/>
                <w:szCs w:val="16"/>
                <w:lang w:eastAsia="nl-NL"/>
              </w:rPr>
            </w:pPr>
            <w:r w:rsidRPr="00976FAB">
              <w:rPr>
                <w:rFonts w:cs="Calibri"/>
                <w:color w:val="000000"/>
                <w:sz w:val="16"/>
                <w:szCs w:val="16"/>
                <w:lang w:eastAsia="nl-NL"/>
              </w:rPr>
              <w:t>-1.300</w:t>
            </w:r>
          </w:p>
        </w:tc>
        <w:tc>
          <w:tcPr>
            <w:tcW w:w="850" w:type="dxa"/>
            <w:tcBorders>
              <w:top w:val="single" w:color="auto" w:sz="4" w:space="0"/>
              <w:bottom w:val="single" w:color="auto" w:sz="4" w:space="0"/>
            </w:tcBorders>
            <w:shd w:val="clear" w:color="auto" w:fill="auto"/>
            <w:noWrap/>
          </w:tcPr>
          <w:p w:rsidRPr="00976FAB" w:rsidR="00083A0A" w:rsidP="004D6EAD" w:rsidRDefault="00083A0A" w14:paraId="3B094FF8" w14:textId="77777777">
            <w:pPr>
              <w:spacing w:line="240" w:lineRule="auto"/>
              <w:rPr>
                <w:rFonts w:cs="Calibri"/>
                <w:color w:val="000000"/>
                <w:sz w:val="16"/>
                <w:szCs w:val="16"/>
                <w:lang w:eastAsia="nl-NL"/>
              </w:rPr>
            </w:pPr>
            <w:r w:rsidRPr="00976FAB">
              <w:rPr>
                <w:rFonts w:cs="Calibri"/>
                <w:color w:val="000000"/>
                <w:sz w:val="16"/>
                <w:szCs w:val="16"/>
                <w:lang w:eastAsia="nl-NL"/>
              </w:rPr>
              <w:t>-2.200</w:t>
            </w:r>
          </w:p>
        </w:tc>
        <w:tc>
          <w:tcPr>
            <w:tcW w:w="851" w:type="dxa"/>
            <w:tcBorders>
              <w:top w:val="single" w:color="auto" w:sz="4" w:space="0"/>
              <w:bottom w:val="single" w:color="auto" w:sz="4" w:space="0"/>
            </w:tcBorders>
            <w:shd w:val="clear" w:color="auto" w:fill="auto"/>
            <w:noWrap/>
          </w:tcPr>
          <w:p w:rsidRPr="00976FAB" w:rsidR="00083A0A" w:rsidP="004D6EAD" w:rsidRDefault="00083A0A" w14:paraId="6F4DA792" w14:textId="77777777">
            <w:pPr>
              <w:spacing w:line="240" w:lineRule="auto"/>
              <w:rPr>
                <w:rFonts w:cs="Calibri"/>
                <w:color w:val="000000"/>
                <w:sz w:val="16"/>
                <w:szCs w:val="16"/>
                <w:lang w:eastAsia="nl-NL"/>
              </w:rPr>
            </w:pPr>
            <w:r w:rsidRPr="00976FAB">
              <w:rPr>
                <w:rFonts w:cs="Calibri"/>
                <w:color w:val="000000"/>
                <w:sz w:val="16"/>
                <w:szCs w:val="16"/>
                <w:lang w:eastAsia="nl-NL"/>
              </w:rPr>
              <w:t>-2.200</w:t>
            </w:r>
          </w:p>
        </w:tc>
        <w:tc>
          <w:tcPr>
            <w:tcW w:w="2835" w:type="dxa"/>
            <w:tcBorders>
              <w:top w:val="single" w:color="auto" w:sz="4" w:space="0"/>
              <w:bottom w:val="single" w:color="auto" w:sz="4" w:space="0"/>
            </w:tcBorders>
          </w:tcPr>
          <w:p w:rsidRPr="005E62F7" w:rsidR="00083A0A" w:rsidP="004D6EAD" w:rsidRDefault="00083A0A" w14:paraId="11227B03" w14:textId="77777777">
            <w:pPr>
              <w:spacing w:line="240" w:lineRule="auto"/>
              <w:rPr>
                <w:rFonts w:cs="Calibri"/>
                <w:color w:val="000000"/>
                <w:sz w:val="16"/>
                <w:szCs w:val="16"/>
                <w:lang w:eastAsia="nl-NL"/>
              </w:rPr>
            </w:pPr>
            <w:r w:rsidRPr="005E62F7">
              <w:rPr>
                <w:rFonts w:cs="Calibri"/>
                <w:color w:val="000000"/>
                <w:sz w:val="16"/>
                <w:szCs w:val="16"/>
                <w:lang w:eastAsia="nl-NL"/>
              </w:rPr>
              <w:t>Artikel 7.1 De zorg- en dienstverlening aan verzetsdeel</w:t>
            </w:r>
            <w:r>
              <w:rPr>
                <w:rFonts w:cs="Calibri"/>
                <w:color w:val="000000"/>
                <w:sz w:val="16"/>
                <w:szCs w:val="16"/>
                <w:lang w:eastAsia="nl-NL"/>
              </w:rPr>
              <w:t xml:space="preserve">nemers </w:t>
            </w:r>
            <w:r w:rsidRPr="005E62F7">
              <w:rPr>
                <w:rFonts w:cs="Calibri"/>
                <w:color w:val="000000"/>
                <w:sz w:val="16"/>
                <w:szCs w:val="16"/>
                <w:lang w:eastAsia="nl-NL"/>
              </w:rPr>
              <w:t>en oorlogsgetroffenen WOII en de herinnering aan WOII (Subsidies):</w:t>
            </w:r>
          </w:p>
          <w:p w:rsidRPr="00976FAB" w:rsidR="00083A0A" w:rsidP="00083A0A" w:rsidRDefault="00083A0A" w14:paraId="72D5D603" w14:textId="77777777">
            <w:pPr>
              <w:numPr>
                <w:ilvl w:val="0"/>
                <w:numId w:val="4"/>
              </w:numPr>
              <w:suppressAutoHyphens/>
              <w:autoSpaceDN w:val="0"/>
              <w:spacing w:after="0" w:line="240" w:lineRule="auto"/>
              <w:contextualSpacing/>
              <w:textAlignment w:val="baseline"/>
              <w:rPr>
                <w:rFonts w:cs="Calibri"/>
                <w:color w:val="000000"/>
                <w:sz w:val="16"/>
                <w:szCs w:val="16"/>
                <w:lang w:eastAsia="nl-NL"/>
              </w:rPr>
            </w:pPr>
            <w:r w:rsidRPr="00976FAB">
              <w:rPr>
                <w:rFonts w:cs="Calibri"/>
                <w:color w:val="000000"/>
                <w:sz w:val="16"/>
                <w:szCs w:val="16"/>
                <w:lang w:eastAsia="nl-NL"/>
              </w:rPr>
              <w:t>Overige</w:t>
            </w:r>
          </w:p>
        </w:tc>
      </w:tr>
    </w:tbl>
    <w:p w:rsidRPr="005E62F7" w:rsidR="00083A0A" w:rsidP="00083A0A" w:rsidRDefault="00083A0A" w14:paraId="203AC411" w14:textId="77777777">
      <w:pPr>
        <w:rPr>
          <w:rFonts w:eastAsia="Calibri" w:cs="Times New Roman"/>
          <w:i/>
          <w:iCs/>
          <w:sz w:val="14"/>
          <w:szCs w:val="14"/>
        </w:rPr>
      </w:pPr>
      <w:r w:rsidRPr="005E62F7">
        <w:rPr>
          <w:rFonts w:eastAsia="Calibri" w:cs="Times New Roman"/>
          <w:i/>
          <w:iCs/>
          <w:sz w:val="14"/>
          <w:szCs w:val="14"/>
        </w:rPr>
        <w:t>*Per abuis is er weergegeven dat de korting op de niet verplichte ruimte op artikelonderdeel 4.1 ‘Positie cliënt en transparantie van zorg‘ wordt verwerkt. Dit is niet correct aangezien het wordt verwerkt op artikelonderdeel 4.2 ‘</w:t>
      </w:r>
      <w:r w:rsidRPr="005E62F7">
        <w:rPr>
          <w:rFonts w:cs="Calibri"/>
          <w:i/>
          <w:iCs/>
          <w:color w:val="000000"/>
          <w:sz w:val="14"/>
          <w:szCs w:val="14"/>
          <w:lang w:eastAsia="nl-NL"/>
        </w:rPr>
        <w:t>Opleidingen, beroepenstructuur en arbeidsmarkt’.</w:t>
      </w:r>
    </w:p>
    <w:p w:rsidR="00083A0A" w:rsidP="00083A0A" w:rsidRDefault="00083A0A" w14:paraId="098090A7" w14:textId="77777777">
      <w:pPr>
        <w:pStyle w:val="Geenafstand"/>
        <w:suppressAutoHyphens/>
        <w:spacing w:line="480" w:lineRule="auto"/>
        <w:rPr>
          <w:rFonts w:eastAsia="DejaVuSerifCondensed"/>
          <w:lang w:val="nl-NL"/>
        </w:rPr>
      </w:pPr>
    </w:p>
    <w:p w:rsidRPr="006829D4" w:rsidR="00083A0A" w:rsidP="00083A0A" w:rsidRDefault="00083A0A" w14:paraId="243A0D4B" w14:textId="77777777">
      <w:pPr>
        <w:pStyle w:val="Geenafstand"/>
        <w:suppressAutoHyphens/>
        <w:spacing w:line="276" w:lineRule="auto"/>
        <w:rPr>
          <w:rFonts w:eastAsia="DejaVuSerifCondensed"/>
          <w:lang w:val="nl-NL"/>
        </w:rPr>
      </w:pPr>
      <w:r>
        <w:rPr>
          <w:rFonts w:eastAsia="DejaVuSerifCondensed"/>
          <w:lang w:val="nl-NL"/>
        </w:rPr>
        <w:t>Vraag</w:t>
      </w:r>
      <w:r>
        <w:rPr>
          <w:rFonts w:eastAsia="DejaVuSerifCondensed"/>
          <w:lang w:val="nl-NL"/>
        </w:rPr>
        <w:tab/>
        <w:t>34</w:t>
      </w:r>
    </w:p>
    <w:p w:rsidR="00083A0A" w:rsidP="00083A0A" w:rsidRDefault="00083A0A" w14:paraId="621CB9AE" w14:textId="77777777">
      <w:pPr>
        <w:pStyle w:val="Geenafstand"/>
        <w:suppressAutoHyphens/>
        <w:spacing w:line="276" w:lineRule="auto"/>
        <w:rPr>
          <w:rFonts w:eastAsia="DejaVuSerifCondensed"/>
          <w:lang w:val="nl-NL"/>
        </w:rPr>
      </w:pPr>
      <w:r w:rsidRPr="006829D4">
        <w:rPr>
          <w:rFonts w:eastAsia="DejaVuSerifCondensed"/>
          <w:lang w:val="nl-NL"/>
        </w:rPr>
        <w:t>Welke bezuinigingen op subsidies gaan al in 2025 in? Kunt u dit in een tabel aangeven?</w:t>
      </w:r>
    </w:p>
    <w:p w:rsidR="00083A0A" w:rsidP="00083A0A" w:rsidRDefault="00083A0A" w14:paraId="030C3456" w14:textId="77777777">
      <w:pPr>
        <w:pStyle w:val="Geenafstand"/>
        <w:suppressAutoHyphens/>
        <w:spacing w:line="276" w:lineRule="auto"/>
        <w:rPr>
          <w:rFonts w:eastAsia="DejaVuSerifCondensed"/>
          <w:lang w:val="nl-NL"/>
        </w:rPr>
      </w:pPr>
    </w:p>
    <w:p w:rsidR="00083A0A" w:rsidP="00083A0A" w:rsidRDefault="00083A0A" w14:paraId="06407ED8" w14:textId="77777777">
      <w:pPr>
        <w:pStyle w:val="Geenafstand"/>
        <w:suppressAutoHyphens/>
        <w:spacing w:line="276" w:lineRule="auto"/>
        <w:rPr>
          <w:rFonts w:eastAsia="DejaVuSerifCondensed"/>
          <w:lang w:val="nl-NL"/>
        </w:rPr>
      </w:pPr>
      <w:r>
        <w:rPr>
          <w:rFonts w:eastAsia="DejaVuSerifCondensed"/>
          <w:lang w:val="nl-NL"/>
        </w:rPr>
        <w:t>Antwoord:</w:t>
      </w:r>
    </w:p>
    <w:p w:rsidR="00083A0A" w:rsidP="00083A0A" w:rsidRDefault="00083A0A" w14:paraId="734ECF67" w14:textId="77777777">
      <w:pPr>
        <w:pStyle w:val="Geenafstand"/>
        <w:suppressAutoHyphens/>
        <w:spacing w:line="276" w:lineRule="auto"/>
        <w:rPr>
          <w:rFonts w:eastAsia="DejaVuSerifCondensed"/>
          <w:lang w:val="nl-NL"/>
        </w:rPr>
      </w:pPr>
      <w:r>
        <w:rPr>
          <w:rFonts w:eastAsia="DejaVuSerifCondensed"/>
          <w:lang w:val="nl-NL"/>
        </w:rPr>
        <w:t>In de ontwerpbegroting 2025 is de taakstelling 2025 als volgt verwerkt:</w:t>
      </w:r>
    </w:p>
    <w:p w:rsidR="00083A0A" w:rsidP="00083A0A" w:rsidRDefault="00083A0A" w14:paraId="31779653" w14:textId="77777777">
      <w:pPr>
        <w:pStyle w:val="Geenafstand"/>
        <w:suppressAutoHyphens/>
        <w:spacing w:line="276" w:lineRule="auto"/>
        <w:rPr>
          <w:rFonts w:eastAsia="DejaVuSerifCondensed"/>
          <w:lang w:val="nl-NL"/>
        </w:rPr>
      </w:pPr>
    </w:p>
    <w:tbl>
      <w:tblPr>
        <w:tblStyle w:val="Tabelraster"/>
        <w:tblW w:w="0" w:type="auto"/>
        <w:tblLook w:val="04A0" w:firstRow="1" w:lastRow="0" w:firstColumn="1" w:lastColumn="0" w:noHBand="0" w:noVBand="1"/>
      </w:tblPr>
      <w:tblGrid>
        <w:gridCol w:w="1894"/>
        <w:gridCol w:w="1225"/>
        <w:gridCol w:w="4410"/>
      </w:tblGrid>
      <w:tr w:rsidRPr="00FF28B3" w:rsidR="00083A0A" w:rsidTr="004D6EAD" w14:paraId="22FFAA33" w14:textId="77777777">
        <w:tc>
          <w:tcPr>
            <w:tcW w:w="2263" w:type="dxa"/>
          </w:tcPr>
          <w:p w:rsidRPr="005E62F7" w:rsidR="00083A0A" w:rsidP="004D6EAD" w:rsidRDefault="00083A0A" w14:paraId="53CEB8B5" w14:textId="77777777">
            <w:pPr>
              <w:pStyle w:val="Lijstalinea"/>
              <w:ind w:left="0"/>
              <w:rPr>
                <w:b/>
                <w:bCs/>
                <w:sz w:val="16"/>
                <w:szCs w:val="16"/>
              </w:rPr>
            </w:pPr>
            <w:r w:rsidRPr="005E62F7">
              <w:rPr>
                <w:b/>
                <w:bCs/>
                <w:sz w:val="16"/>
                <w:szCs w:val="16"/>
              </w:rPr>
              <w:t>Artikel</w:t>
            </w:r>
          </w:p>
        </w:tc>
        <w:tc>
          <w:tcPr>
            <w:tcW w:w="1276" w:type="dxa"/>
          </w:tcPr>
          <w:p w:rsidRPr="005E62F7" w:rsidR="00083A0A" w:rsidP="004D6EAD" w:rsidRDefault="00083A0A" w14:paraId="3C90C754" w14:textId="77777777">
            <w:pPr>
              <w:pStyle w:val="Lijstalinea"/>
              <w:ind w:left="0"/>
              <w:rPr>
                <w:b/>
                <w:bCs/>
                <w:sz w:val="16"/>
                <w:szCs w:val="16"/>
              </w:rPr>
            </w:pPr>
            <w:r w:rsidRPr="005E62F7">
              <w:rPr>
                <w:b/>
                <w:bCs/>
                <w:sz w:val="16"/>
                <w:szCs w:val="16"/>
              </w:rPr>
              <w:t>Bedrag in miljoenen</w:t>
            </w:r>
          </w:p>
        </w:tc>
        <w:tc>
          <w:tcPr>
            <w:tcW w:w="5477" w:type="dxa"/>
          </w:tcPr>
          <w:p w:rsidRPr="005E62F7" w:rsidR="00083A0A" w:rsidP="004D6EAD" w:rsidRDefault="00083A0A" w14:paraId="193BB79C" w14:textId="77777777">
            <w:pPr>
              <w:pStyle w:val="Lijstalinea"/>
              <w:ind w:left="0"/>
              <w:rPr>
                <w:b/>
                <w:bCs/>
                <w:sz w:val="16"/>
                <w:szCs w:val="16"/>
              </w:rPr>
            </w:pPr>
            <w:r w:rsidRPr="005E62F7">
              <w:rPr>
                <w:b/>
                <w:bCs/>
                <w:sz w:val="16"/>
                <w:szCs w:val="16"/>
              </w:rPr>
              <w:t>Toelichting</w:t>
            </w:r>
          </w:p>
        </w:tc>
      </w:tr>
      <w:tr w:rsidRPr="00BA7626" w:rsidR="00083A0A" w:rsidTr="004D6EAD" w14:paraId="66202AED" w14:textId="77777777">
        <w:tc>
          <w:tcPr>
            <w:tcW w:w="2263" w:type="dxa"/>
          </w:tcPr>
          <w:p w:rsidRPr="005E62F7" w:rsidR="00083A0A" w:rsidP="004D6EAD" w:rsidRDefault="00083A0A" w14:paraId="453127CA" w14:textId="77777777">
            <w:pPr>
              <w:pStyle w:val="Lijstalinea"/>
              <w:ind w:left="0"/>
              <w:rPr>
                <w:sz w:val="16"/>
                <w:szCs w:val="16"/>
              </w:rPr>
            </w:pPr>
            <w:r w:rsidRPr="005E62F7">
              <w:rPr>
                <w:sz w:val="16"/>
                <w:szCs w:val="16"/>
              </w:rPr>
              <w:t xml:space="preserve">4 </w:t>
            </w:r>
            <w:proofErr w:type="spellStart"/>
            <w:r w:rsidRPr="005E62F7">
              <w:rPr>
                <w:sz w:val="16"/>
                <w:szCs w:val="16"/>
              </w:rPr>
              <w:t>Zorgbreed</w:t>
            </w:r>
            <w:proofErr w:type="spellEnd"/>
            <w:r w:rsidRPr="005E62F7">
              <w:rPr>
                <w:sz w:val="16"/>
                <w:szCs w:val="16"/>
              </w:rPr>
              <w:t xml:space="preserve"> beleid</w:t>
            </w:r>
          </w:p>
        </w:tc>
        <w:tc>
          <w:tcPr>
            <w:tcW w:w="1276" w:type="dxa"/>
          </w:tcPr>
          <w:p w:rsidRPr="005E62F7" w:rsidR="00083A0A" w:rsidP="004D6EAD" w:rsidRDefault="00083A0A" w14:paraId="09D0523E" w14:textId="77777777">
            <w:pPr>
              <w:pStyle w:val="Lijstalinea"/>
              <w:ind w:left="0"/>
              <w:rPr>
                <w:sz w:val="16"/>
                <w:szCs w:val="16"/>
              </w:rPr>
            </w:pPr>
            <w:r w:rsidRPr="005E62F7">
              <w:rPr>
                <w:sz w:val="16"/>
                <w:szCs w:val="16"/>
              </w:rPr>
              <w:t>€30</w:t>
            </w:r>
          </w:p>
        </w:tc>
        <w:tc>
          <w:tcPr>
            <w:tcW w:w="5477" w:type="dxa"/>
          </w:tcPr>
          <w:p w:rsidRPr="005E62F7" w:rsidR="00083A0A" w:rsidP="004D6EAD" w:rsidRDefault="00083A0A" w14:paraId="17EFD08B" w14:textId="77777777">
            <w:pPr>
              <w:pStyle w:val="Lijstalinea"/>
              <w:ind w:left="0"/>
              <w:rPr>
                <w:sz w:val="16"/>
                <w:szCs w:val="16"/>
              </w:rPr>
            </w:pPr>
            <w:r w:rsidRPr="005E62F7">
              <w:rPr>
                <w:sz w:val="16"/>
                <w:szCs w:val="16"/>
              </w:rPr>
              <w:t xml:space="preserve">Dit bestaat voor €20 miljoen uit hogere ontvangsten, en </w:t>
            </w:r>
            <w:r>
              <w:rPr>
                <w:sz w:val="16"/>
                <w:szCs w:val="16"/>
              </w:rPr>
              <w:t>€</w:t>
            </w:r>
            <w:r w:rsidRPr="005E62F7">
              <w:rPr>
                <w:sz w:val="16"/>
                <w:szCs w:val="16"/>
              </w:rPr>
              <w:t xml:space="preserve">10 miljoen lagere uitgaven. De </w:t>
            </w:r>
            <w:r w:rsidRPr="005E62F7">
              <w:rPr>
                <w:sz w:val="16"/>
                <w:szCs w:val="16"/>
              </w:rPr>
              <w:lastRenderedPageBreak/>
              <w:t xml:space="preserve">ontvangsten hebben betrekking op afrekening van eerder verstrekte subsidievoorschotten. De uitgaven zijn met </w:t>
            </w:r>
            <w:r>
              <w:rPr>
                <w:sz w:val="16"/>
                <w:szCs w:val="16"/>
              </w:rPr>
              <w:t>€</w:t>
            </w:r>
            <w:r w:rsidRPr="005E62F7">
              <w:rPr>
                <w:sz w:val="16"/>
                <w:szCs w:val="16"/>
              </w:rPr>
              <w:t xml:space="preserve">10 miljoen naar beneden bijgesteld omdat verwacht wordt dat er op het totaalbedrag van €676 miljoen enige </w:t>
            </w:r>
            <w:proofErr w:type="spellStart"/>
            <w:r w:rsidRPr="005E62F7">
              <w:rPr>
                <w:sz w:val="16"/>
                <w:szCs w:val="16"/>
              </w:rPr>
              <w:t>onderuitputting</w:t>
            </w:r>
            <w:proofErr w:type="spellEnd"/>
            <w:r w:rsidRPr="005E62F7">
              <w:rPr>
                <w:sz w:val="16"/>
                <w:szCs w:val="16"/>
              </w:rPr>
              <w:t xml:space="preserve"> zal optreden.</w:t>
            </w:r>
          </w:p>
        </w:tc>
      </w:tr>
      <w:tr w:rsidRPr="00BA7626" w:rsidR="00083A0A" w:rsidTr="004D6EAD" w14:paraId="4AC7A828" w14:textId="77777777">
        <w:tc>
          <w:tcPr>
            <w:tcW w:w="2263" w:type="dxa"/>
          </w:tcPr>
          <w:p w:rsidRPr="005E62F7" w:rsidR="00083A0A" w:rsidP="004D6EAD" w:rsidRDefault="00083A0A" w14:paraId="7B1BBC68" w14:textId="77777777">
            <w:pPr>
              <w:pStyle w:val="Lijstalinea"/>
              <w:ind w:left="0"/>
              <w:rPr>
                <w:sz w:val="16"/>
                <w:szCs w:val="16"/>
              </w:rPr>
            </w:pPr>
            <w:r w:rsidRPr="005E62F7">
              <w:rPr>
                <w:sz w:val="16"/>
                <w:szCs w:val="16"/>
              </w:rPr>
              <w:lastRenderedPageBreak/>
              <w:t>6 Sport en bewegen</w:t>
            </w:r>
          </w:p>
        </w:tc>
        <w:tc>
          <w:tcPr>
            <w:tcW w:w="1276" w:type="dxa"/>
          </w:tcPr>
          <w:p w:rsidRPr="005E62F7" w:rsidR="00083A0A" w:rsidP="004D6EAD" w:rsidRDefault="00083A0A" w14:paraId="7217DAB6" w14:textId="77777777">
            <w:pPr>
              <w:pStyle w:val="Lijstalinea"/>
              <w:ind w:left="0"/>
              <w:rPr>
                <w:sz w:val="16"/>
                <w:szCs w:val="16"/>
              </w:rPr>
            </w:pPr>
            <w:r w:rsidRPr="005E62F7">
              <w:rPr>
                <w:sz w:val="16"/>
                <w:szCs w:val="16"/>
              </w:rPr>
              <w:t>€23</w:t>
            </w:r>
          </w:p>
        </w:tc>
        <w:tc>
          <w:tcPr>
            <w:tcW w:w="5477" w:type="dxa"/>
          </w:tcPr>
          <w:p w:rsidRPr="005E62F7" w:rsidR="00083A0A" w:rsidP="004D6EAD" w:rsidRDefault="00083A0A" w14:paraId="182E7EEA" w14:textId="77777777">
            <w:pPr>
              <w:pStyle w:val="Lijstalinea"/>
              <w:ind w:left="0"/>
              <w:rPr>
                <w:sz w:val="16"/>
                <w:szCs w:val="16"/>
              </w:rPr>
            </w:pPr>
            <w:r w:rsidRPr="005E62F7">
              <w:rPr>
                <w:sz w:val="16"/>
                <w:szCs w:val="16"/>
              </w:rPr>
              <w:t>De ontvangstenraming is opgehoogd met €2</w:t>
            </w:r>
            <w:r>
              <w:rPr>
                <w:sz w:val="16"/>
                <w:szCs w:val="16"/>
              </w:rPr>
              <w:t>3</w:t>
            </w:r>
            <w:r w:rsidRPr="005E62F7">
              <w:rPr>
                <w:sz w:val="16"/>
                <w:szCs w:val="16"/>
              </w:rPr>
              <w:t xml:space="preserve"> miljoen in verband met verwachte </w:t>
            </w:r>
            <w:proofErr w:type="spellStart"/>
            <w:r w:rsidRPr="005E62F7">
              <w:rPr>
                <w:sz w:val="16"/>
                <w:szCs w:val="16"/>
              </w:rPr>
              <w:t>terugontvangsten</w:t>
            </w:r>
            <w:proofErr w:type="spellEnd"/>
            <w:r w:rsidRPr="005E62F7">
              <w:rPr>
                <w:sz w:val="16"/>
                <w:szCs w:val="16"/>
              </w:rPr>
              <w:t xml:space="preserve"> uit de SPUK Meerkosten Energie Openbare Zwembaden (MEOZ). De voornaamste verklaring hiervoor is dat gasprijzen gedurende de regeling lager uitvielen dan de op voorhand geschatte gasprijzen.</w:t>
            </w:r>
          </w:p>
        </w:tc>
      </w:tr>
      <w:tr w:rsidRPr="00FF28B3" w:rsidR="00083A0A" w:rsidTr="004D6EAD" w14:paraId="6441680D" w14:textId="77777777">
        <w:tc>
          <w:tcPr>
            <w:tcW w:w="2263" w:type="dxa"/>
          </w:tcPr>
          <w:p w:rsidRPr="005E62F7" w:rsidR="00083A0A" w:rsidP="004D6EAD" w:rsidRDefault="00083A0A" w14:paraId="688AD581" w14:textId="77777777">
            <w:pPr>
              <w:pStyle w:val="Lijstalinea"/>
              <w:ind w:left="0"/>
              <w:rPr>
                <w:sz w:val="16"/>
                <w:szCs w:val="16"/>
              </w:rPr>
            </w:pPr>
            <w:r w:rsidRPr="005E62F7">
              <w:rPr>
                <w:sz w:val="16"/>
                <w:szCs w:val="16"/>
              </w:rPr>
              <w:t>Totaal</w:t>
            </w:r>
          </w:p>
        </w:tc>
        <w:tc>
          <w:tcPr>
            <w:tcW w:w="1276" w:type="dxa"/>
          </w:tcPr>
          <w:p w:rsidRPr="005E62F7" w:rsidR="00083A0A" w:rsidP="004D6EAD" w:rsidRDefault="00083A0A" w14:paraId="312DA0F0" w14:textId="77777777">
            <w:pPr>
              <w:pStyle w:val="Lijstalinea"/>
              <w:ind w:left="0"/>
              <w:rPr>
                <w:sz w:val="16"/>
                <w:szCs w:val="16"/>
              </w:rPr>
            </w:pPr>
            <w:r w:rsidRPr="005E62F7">
              <w:rPr>
                <w:sz w:val="16"/>
                <w:szCs w:val="16"/>
              </w:rPr>
              <w:t>€53</w:t>
            </w:r>
          </w:p>
        </w:tc>
        <w:tc>
          <w:tcPr>
            <w:tcW w:w="5477" w:type="dxa"/>
          </w:tcPr>
          <w:p w:rsidRPr="005E62F7" w:rsidR="00083A0A" w:rsidP="004D6EAD" w:rsidRDefault="00083A0A" w14:paraId="3E83E051" w14:textId="77777777">
            <w:pPr>
              <w:pStyle w:val="Lijstalinea"/>
              <w:ind w:left="0"/>
              <w:rPr>
                <w:sz w:val="16"/>
                <w:szCs w:val="16"/>
              </w:rPr>
            </w:pPr>
          </w:p>
        </w:tc>
      </w:tr>
    </w:tbl>
    <w:p w:rsidRPr="006829D4" w:rsidR="00083A0A" w:rsidP="00083A0A" w:rsidRDefault="00083A0A" w14:paraId="3C41B8C1" w14:textId="77777777">
      <w:pPr>
        <w:pStyle w:val="Geenafstand"/>
        <w:suppressAutoHyphens/>
        <w:spacing w:line="276" w:lineRule="auto"/>
        <w:rPr>
          <w:lang w:val="nl-NL"/>
        </w:rPr>
      </w:pPr>
    </w:p>
    <w:p w:rsidR="00D257B9" w:rsidRDefault="00D257B9" w14:paraId="40598B85" w14:textId="77777777"/>
    <w:sectPr w:rsidR="00D257B9" w:rsidSect="00083A0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629C" w14:textId="77777777" w:rsidR="00083A0A" w:rsidRDefault="00083A0A" w:rsidP="00083A0A">
      <w:pPr>
        <w:spacing w:after="0" w:line="240" w:lineRule="auto"/>
      </w:pPr>
      <w:r>
        <w:separator/>
      </w:r>
    </w:p>
  </w:endnote>
  <w:endnote w:type="continuationSeparator" w:id="0">
    <w:p w14:paraId="481F67BE" w14:textId="77777777" w:rsidR="00083A0A" w:rsidRDefault="00083A0A" w:rsidP="0008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Cambria"/>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17EE" w14:textId="77777777" w:rsidR="00083A0A" w:rsidRPr="00083A0A" w:rsidRDefault="00083A0A" w:rsidP="00083A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B9B0" w14:textId="77777777" w:rsidR="00083A0A" w:rsidRPr="00083A0A" w:rsidRDefault="00083A0A" w:rsidP="00083A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CDFB" w14:textId="77777777" w:rsidR="00083A0A" w:rsidRPr="00083A0A" w:rsidRDefault="00083A0A" w:rsidP="00083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0277" w14:textId="77777777" w:rsidR="00083A0A" w:rsidRDefault="00083A0A" w:rsidP="00083A0A">
      <w:pPr>
        <w:spacing w:after="0" w:line="240" w:lineRule="auto"/>
      </w:pPr>
      <w:r>
        <w:separator/>
      </w:r>
    </w:p>
  </w:footnote>
  <w:footnote w:type="continuationSeparator" w:id="0">
    <w:p w14:paraId="50E44BDF" w14:textId="77777777" w:rsidR="00083A0A" w:rsidRDefault="00083A0A" w:rsidP="00083A0A">
      <w:pPr>
        <w:spacing w:after="0" w:line="240" w:lineRule="auto"/>
      </w:pPr>
      <w:r>
        <w:continuationSeparator/>
      </w:r>
    </w:p>
  </w:footnote>
  <w:footnote w:id="1">
    <w:p w14:paraId="1EEDB1BE" w14:textId="77777777" w:rsidR="00083A0A" w:rsidRPr="00AE053C" w:rsidRDefault="00083A0A" w:rsidP="00083A0A">
      <w:pPr>
        <w:pStyle w:val="Voetnoottekst"/>
      </w:pPr>
      <w:r w:rsidRPr="00AE053C">
        <w:rPr>
          <w:rStyle w:val="Voetnootmarkering"/>
          <w:sz w:val="16"/>
          <w:szCs w:val="16"/>
        </w:rPr>
        <w:footnoteRef/>
      </w:r>
      <w:r w:rsidRPr="00AE053C">
        <w:rPr>
          <w:sz w:val="16"/>
          <w:szCs w:val="16"/>
        </w:rPr>
        <w:t xml:space="preserve"> </w:t>
      </w:r>
      <w:r>
        <w:rPr>
          <w:sz w:val="16"/>
          <w:szCs w:val="16"/>
        </w:rPr>
        <w:t xml:space="preserve">Antwoord op vraag 6, </w:t>
      </w:r>
      <w:r w:rsidRPr="00AE053C">
        <w:rPr>
          <w:sz w:val="16"/>
          <w:szCs w:val="16"/>
        </w:rPr>
        <w:t>Kamerstukken II 2023-2024, 36600,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527E" w14:textId="77777777" w:rsidR="00083A0A" w:rsidRPr="00083A0A" w:rsidRDefault="00083A0A" w:rsidP="00083A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430E" w14:textId="77777777" w:rsidR="002F125A" w:rsidRPr="00083A0A" w:rsidRDefault="002F125A" w:rsidP="00083A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1899" w14:textId="77777777" w:rsidR="002F125A" w:rsidRPr="00083A0A" w:rsidRDefault="002F125A" w:rsidP="00083A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979"/>
    <w:multiLevelType w:val="hybridMultilevel"/>
    <w:tmpl w:val="E4CE324A"/>
    <w:lvl w:ilvl="0" w:tplc="BF8CE774">
      <w:start w:val="33"/>
      <w:numFmt w:val="bullet"/>
      <w:lvlText w:val="-"/>
      <w:lvlJc w:val="left"/>
      <w:pPr>
        <w:ind w:left="720" w:hanging="360"/>
      </w:pPr>
      <w:rPr>
        <w:rFonts w:ascii="Verdana" w:eastAsia="DejaVu Sans"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FD3FF7"/>
    <w:multiLevelType w:val="hybridMultilevel"/>
    <w:tmpl w:val="4A44A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E2649D"/>
    <w:multiLevelType w:val="hybridMultilevel"/>
    <w:tmpl w:val="1EEA50D8"/>
    <w:lvl w:ilvl="0" w:tplc="9B324512">
      <w:start w:val="33"/>
      <w:numFmt w:val="bullet"/>
      <w:lvlText w:val="-"/>
      <w:lvlJc w:val="left"/>
      <w:pPr>
        <w:ind w:left="720" w:hanging="360"/>
      </w:pPr>
      <w:rPr>
        <w:rFonts w:ascii="Verdana" w:eastAsia="DejaVu Sans"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50DEC2F4">
      <w:numFmt w:val="bullet"/>
      <w:lvlText w:val=""/>
      <w:lvlJc w:val="left"/>
      <w:pPr>
        <w:ind w:left="720" w:hanging="360"/>
      </w:pPr>
      <w:rPr>
        <w:rFonts w:ascii="Wingdings" w:eastAsia="DejaVu Sans" w:hAnsi="Wingdings" w:cs="Lohit Hindi" w:hint="default"/>
      </w:rPr>
    </w:lvl>
    <w:lvl w:ilvl="1" w:tplc="ADAAFA2E" w:tentative="1">
      <w:start w:val="1"/>
      <w:numFmt w:val="bullet"/>
      <w:lvlText w:val="o"/>
      <w:lvlJc w:val="left"/>
      <w:pPr>
        <w:ind w:left="1440" w:hanging="360"/>
      </w:pPr>
      <w:rPr>
        <w:rFonts w:ascii="Courier New" w:hAnsi="Courier New" w:cs="Courier New" w:hint="default"/>
      </w:rPr>
    </w:lvl>
    <w:lvl w:ilvl="2" w:tplc="5EE055CC" w:tentative="1">
      <w:start w:val="1"/>
      <w:numFmt w:val="bullet"/>
      <w:lvlText w:val=""/>
      <w:lvlJc w:val="left"/>
      <w:pPr>
        <w:ind w:left="2160" w:hanging="360"/>
      </w:pPr>
      <w:rPr>
        <w:rFonts w:ascii="Wingdings" w:hAnsi="Wingdings" w:hint="default"/>
      </w:rPr>
    </w:lvl>
    <w:lvl w:ilvl="3" w:tplc="E1925126" w:tentative="1">
      <w:start w:val="1"/>
      <w:numFmt w:val="bullet"/>
      <w:lvlText w:val=""/>
      <w:lvlJc w:val="left"/>
      <w:pPr>
        <w:ind w:left="2880" w:hanging="360"/>
      </w:pPr>
      <w:rPr>
        <w:rFonts w:ascii="Symbol" w:hAnsi="Symbol" w:hint="default"/>
      </w:rPr>
    </w:lvl>
    <w:lvl w:ilvl="4" w:tplc="82964576" w:tentative="1">
      <w:start w:val="1"/>
      <w:numFmt w:val="bullet"/>
      <w:lvlText w:val="o"/>
      <w:lvlJc w:val="left"/>
      <w:pPr>
        <w:ind w:left="3600" w:hanging="360"/>
      </w:pPr>
      <w:rPr>
        <w:rFonts w:ascii="Courier New" w:hAnsi="Courier New" w:cs="Courier New" w:hint="default"/>
      </w:rPr>
    </w:lvl>
    <w:lvl w:ilvl="5" w:tplc="1682BF00" w:tentative="1">
      <w:start w:val="1"/>
      <w:numFmt w:val="bullet"/>
      <w:lvlText w:val=""/>
      <w:lvlJc w:val="left"/>
      <w:pPr>
        <w:ind w:left="4320" w:hanging="360"/>
      </w:pPr>
      <w:rPr>
        <w:rFonts w:ascii="Wingdings" w:hAnsi="Wingdings" w:hint="default"/>
      </w:rPr>
    </w:lvl>
    <w:lvl w:ilvl="6" w:tplc="E506CE68" w:tentative="1">
      <w:start w:val="1"/>
      <w:numFmt w:val="bullet"/>
      <w:lvlText w:val=""/>
      <w:lvlJc w:val="left"/>
      <w:pPr>
        <w:ind w:left="5040" w:hanging="360"/>
      </w:pPr>
      <w:rPr>
        <w:rFonts w:ascii="Symbol" w:hAnsi="Symbol" w:hint="default"/>
      </w:rPr>
    </w:lvl>
    <w:lvl w:ilvl="7" w:tplc="2708A692" w:tentative="1">
      <w:start w:val="1"/>
      <w:numFmt w:val="bullet"/>
      <w:lvlText w:val="o"/>
      <w:lvlJc w:val="left"/>
      <w:pPr>
        <w:ind w:left="5760" w:hanging="360"/>
      </w:pPr>
      <w:rPr>
        <w:rFonts w:ascii="Courier New" w:hAnsi="Courier New" w:cs="Courier New" w:hint="default"/>
      </w:rPr>
    </w:lvl>
    <w:lvl w:ilvl="8" w:tplc="B63A7452" w:tentative="1">
      <w:start w:val="1"/>
      <w:numFmt w:val="bullet"/>
      <w:lvlText w:val=""/>
      <w:lvlJc w:val="left"/>
      <w:pPr>
        <w:ind w:left="6480" w:hanging="360"/>
      </w:pPr>
      <w:rPr>
        <w:rFonts w:ascii="Wingdings" w:hAnsi="Wingdings" w:hint="default"/>
      </w:rPr>
    </w:lvl>
  </w:abstractNum>
  <w:abstractNum w:abstractNumId="4" w15:restartNumberingAfterBreak="0">
    <w:nsid w:val="6F561549"/>
    <w:multiLevelType w:val="hybridMultilevel"/>
    <w:tmpl w:val="76368BEC"/>
    <w:lvl w:ilvl="0" w:tplc="DC4ABF30">
      <w:start w:val="1"/>
      <w:numFmt w:val="bullet"/>
      <w:lvlText w:val=""/>
      <w:lvlJc w:val="left"/>
      <w:pPr>
        <w:ind w:left="720" w:hanging="360"/>
      </w:pPr>
      <w:rPr>
        <w:rFonts w:ascii="Symbol" w:hAnsi="Symbol" w:hint="default"/>
      </w:rPr>
    </w:lvl>
    <w:lvl w:ilvl="1" w:tplc="24B811A4" w:tentative="1">
      <w:start w:val="1"/>
      <w:numFmt w:val="bullet"/>
      <w:lvlText w:val="o"/>
      <w:lvlJc w:val="left"/>
      <w:pPr>
        <w:ind w:left="1440" w:hanging="360"/>
      </w:pPr>
      <w:rPr>
        <w:rFonts w:ascii="Courier New" w:hAnsi="Courier New" w:cs="Courier New" w:hint="default"/>
      </w:rPr>
    </w:lvl>
    <w:lvl w:ilvl="2" w:tplc="446E84C6" w:tentative="1">
      <w:start w:val="1"/>
      <w:numFmt w:val="bullet"/>
      <w:lvlText w:val=""/>
      <w:lvlJc w:val="left"/>
      <w:pPr>
        <w:ind w:left="2160" w:hanging="360"/>
      </w:pPr>
      <w:rPr>
        <w:rFonts w:ascii="Wingdings" w:hAnsi="Wingdings" w:hint="default"/>
      </w:rPr>
    </w:lvl>
    <w:lvl w:ilvl="3" w:tplc="3B08045E" w:tentative="1">
      <w:start w:val="1"/>
      <w:numFmt w:val="bullet"/>
      <w:lvlText w:val=""/>
      <w:lvlJc w:val="left"/>
      <w:pPr>
        <w:ind w:left="2880" w:hanging="360"/>
      </w:pPr>
      <w:rPr>
        <w:rFonts w:ascii="Symbol" w:hAnsi="Symbol" w:hint="default"/>
      </w:rPr>
    </w:lvl>
    <w:lvl w:ilvl="4" w:tplc="CF66FAB2" w:tentative="1">
      <w:start w:val="1"/>
      <w:numFmt w:val="bullet"/>
      <w:lvlText w:val="o"/>
      <w:lvlJc w:val="left"/>
      <w:pPr>
        <w:ind w:left="3600" w:hanging="360"/>
      </w:pPr>
      <w:rPr>
        <w:rFonts w:ascii="Courier New" w:hAnsi="Courier New" w:cs="Courier New" w:hint="default"/>
      </w:rPr>
    </w:lvl>
    <w:lvl w:ilvl="5" w:tplc="16AAC1B8" w:tentative="1">
      <w:start w:val="1"/>
      <w:numFmt w:val="bullet"/>
      <w:lvlText w:val=""/>
      <w:lvlJc w:val="left"/>
      <w:pPr>
        <w:ind w:left="4320" w:hanging="360"/>
      </w:pPr>
      <w:rPr>
        <w:rFonts w:ascii="Wingdings" w:hAnsi="Wingdings" w:hint="default"/>
      </w:rPr>
    </w:lvl>
    <w:lvl w:ilvl="6" w:tplc="39DACF76" w:tentative="1">
      <w:start w:val="1"/>
      <w:numFmt w:val="bullet"/>
      <w:lvlText w:val=""/>
      <w:lvlJc w:val="left"/>
      <w:pPr>
        <w:ind w:left="5040" w:hanging="360"/>
      </w:pPr>
      <w:rPr>
        <w:rFonts w:ascii="Symbol" w:hAnsi="Symbol" w:hint="default"/>
      </w:rPr>
    </w:lvl>
    <w:lvl w:ilvl="7" w:tplc="78CC8C76" w:tentative="1">
      <w:start w:val="1"/>
      <w:numFmt w:val="bullet"/>
      <w:lvlText w:val="o"/>
      <w:lvlJc w:val="left"/>
      <w:pPr>
        <w:ind w:left="5760" w:hanging="360"/>
      </w:pPr>
      <w:rPr>
        <w:rFonts w:ascii="Courier New" w:hAnsi="Courier New" w:cs="Courier New" w:hint="default"/>
      </w:rPr>
    </w:lvl>
    <w:lvl w:ilvl="8" w:tplc="3488C65A" w:tentative="1">
      <w:start w:val="1"/>
      <w:numFmt w:val="bullet"/>
      <w:lvlText w:val=""/>
      <w:lvlJc w:val="left"/>
      <w:pPr>
        <w:ind w:left="6480" w:hanging="360"/>
      </w:pPr>
      <w:rPr>
        <w:rFonts w:ascii="Wingdings" w:hAnsi="Wingdings" w:hint="default"/>
      </w:rPr>
    </w:lvl>
  </w:abstractNum>
  <w:num w:numId="1" w16cid:durableId="973483404">
    <w:abstractNumId w:val="3"/>
  </w:num>
  <w:num w:numId="2" w16cid:durableId="1859539245">
    <w:abstractNumId w:val="4"/>
  </w:num>
  <w:num w:numId="3" w16cid:durableId="1275745417">
    <w:abstractNumId w:val="1"/>
  </w:num>
  <w:num w:numId="4" w16cid:durableId="1254557321">
    <w:abstractNumId w:val="2"/>
  </w:num>
  <w:num w:numId="5" w16cid:durableId="165695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0A"/>
    <w:rsid w:val="00083A0A"/>
    <w:rsid w:val="002F125A"/>
    <w:rsid w:val="00BE796C"/>
    <w:rsid w:val="00D2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3157"/>
  <w15:chartTrackingRefBased/>
  <w15:docId w15:val="{2BDF7B5D-6409-4A0A-AF77-A56F0355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83A0A"/>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14:ligatures w14:val="none"/>
    </w:rPr>
  </w:style>
  <w:style w:type="paragraph" w:customStyle="1" w:styleId="Textbody">
    <w:name w:val="Text body"/>
    <w:basedOn w:val="Standaard"/>
    <w:rsid w:val="00083A0A"/>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14:ligatures w14:val="none"/>
    </w:rPr>
  </w:style>
  <w:style w:type="paragraph" w:styleId="Lijst">
    <w:name w:val="List"/>
    <w:basedOn w:val="Textbody"/>
    <w:rsid w:val="00083A0A"/>
  </w:style>
  <w:style w:type="paragraph" w:customStyle="1" w:styleId="Caption1">
    <w:name w:val="Caption1"/>
    <w:basedOn w:val="Standaard"/>
    <w:rsid w:val="00083A0A"/>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14:ligatures w14:val="none"/>
    </w:rPr>
  </w:style>
  <w:style w:type="paragraph" w:customStyle="1" w:styleId="Index">
    <w:name w:val="Index"/>
    <w:basedOn w:val="Standaard"/>
    <w:rsid w:val="00083A0A"/>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ing11">
    <w:name w:val="Heading 11"/>
    <w:basedOn w:val="Heading"/>
    <w:next w:val="Textbody"/>
    <w:rsid w:val="00083A0A"/>
    <w:pPr>
      <w:pageBreakBefore/>
      <w:spacing w:before="340" w:after="170"/>
      <w:ind w:left="-850"/>
    </w:pPr>
    <w:rPr>
      <w:b/>
      <w:bCs/>
      <w:sz w:val="40"/>
    </w:rPr>
  </w:style>
  <w:style w:type="paragraph" w:customStyle="1" w:styleId="Heading21">
    <w:name w:val="Heading 21"/>
    <w:basedOn w:val="Heading"/>
    <w:next w:val="Textbody"/>
    <w:rsid w:val="00083A0A"/>
    <w:pPr>
      <w:spacing w:before="340" w:after="170"/>
      <w:ind w:left="-850"/>
    </w:pPr>
    <w:rPr>
      <w:b/>
      <w:bCs/>
      <w:i/>
      <w:iCs/>
      <w:sz w:val="32"/>
    </w:rPr>
  </w:style>
  <w:style w:type="paragraph" w:customStyle="1" w:styleId="Heading31">
    <w:name w:val="Heading 31"/>
    <w:basedOn w:val="Heading"/>
    <w:next w:val="Textbody"/>
    <w:rsid w:val="00083A0A"/>
    <w:pPr>
      <w:spacing w:before="340" w:after="170"/>
      <w:ind w:left="-850"/>
    </w:pPr>
    <w:rPr>
      <w:b/>
      <w:bCs/>
    </w:rPr>
  </w:style>
  <w:style w:type="paragraph" w:styleId="Titel">
    <w:name w:val="Title"/>
    <w:basedOn w:val="Heading"/>
    <w:next w:val="Ondertitel"/>
    <w:link w:val="TitelChar"/>
    <w:rsid w:val="00083A0A"/>
    <w:rPr>
      <w:b/>
      <w:bCs/>
      <w:sz w:val="48"/>
      <w:szCs w:val="36"/>
    </w:rPr>
  </w:style>
  <w:style w:type="character" w:customStyle="1" w:styleId="TitelChar">
    <w:name w:val="Titel Char"/>
    <w:basedOn w:val="Standaardalinea-lettertype"/>
    <w:link w:val="Titel"/>
    <w:rsid w:val="00083A0A"/>
    <w:rPr>
      <w:rFonts w:ascii="Arial" w:eastAsia="DejaVu Sans" w:hAnsi="Arial" w:cs="Lohit Hindi"/>
      <w:b/>
      <w:bCs/>
      <w:kern w:val="3"/>
      <w:sz w:val="48"/>
      <w:szCs w:val="36"/>
      <w:lang w:eastAsia="zh-CN" w:bidi="hi-IN"/>
      <w14:ligatures w14:val="none"/>
    </w:rPr>
  </w:style>
  <w:style w:type="paragraph" w:styleId="Ondertitel">
    <w:name w:val="Subtitle"/>
    <w:basedOn w:val="Heading"/>
    <w:next w:val="Textbody"/>
    <w:link w:val="OndertitelChar"/>
    <w:rsid w:val="00083A0A"/>
    <w:pPr>
      <w:jc w:val="center"/>
    </w:pPr>
    <w:rPr>
      <w:i/>
      <w:iCs/>
    </w:rPr>
  </w:style>
  <w:style w:type="character" w:customStyle="1" w:styleId="OndertitelChar">
    <w:name w:val="Ondertitel Char"/>
    <w:basedOn w:val="Standaardalinea-lettertype"/>
    <w:link w:val="Ondertitel"/>
    <w:rsid w:val="00083A0A"/>
    <w:rPr>
      <w:rFonts w:ascii="Arial" w:eastAsia="DejaVu Sans" w:hAnsi="Arial" w:cs="Lohit Hindi"/>
      <w:i/>
      <w:iCs/>
      <w:kern w:val="3"/>
      <w:sz w:val="28"/>
      <w:szCs w:val="28"/>
      <w:lang w:eastAsia="zh-CN" w:bidi="hi-IN"/>
      <w14:ligatures w14:val="none"/>
    </w:rPr>
  </w:style>
  <w:style w:type="paragraph" w:customStyle="1" w:styleId="ContentsHeading">
    <w:name w:val="Contents Heading"/>
    <w:basedOn w:val="Heading"/>
    <w:rsid w:val="00083A0A"/>
    <w:pPr>
      <w:suppressLineNumbers/>
    </w:pPr>
    <w:rPr>
      <w:b/>
      <w:bCs/>
      <w:sz w:val="36"/>
      <w:szCs w:val="32"/>
    </w:rPr>
  </w:style>
  <w:style w:type="paragraph" w:customStyle="1" w:styleId="Contents1">
    <w:name w:val="Contents 1"/>
    <w:basedOn w:val="Index"/>
    <w:rsid w:val="00083A0A"/>
    <w:pPr>
      <w:tabs>
        <w:tab w:val="right" w:leader="dot" w:pos="9637"/>
      </w:tabs>
      <w:spacing w:before="170"/>
    </w:pPr>
    <w:rPr>
      <w:sz w:val="26"/>
    </w:rPr>
  </w:style>
  <w:style w:type="paragraph" w:customStyle="1" w:styleId="Contents2">
    <w:name w:val="Contents 2"/>
    <w:basedOn w:val="Index"/>
    <w:rsid w:val="00083A0A"/>
    <w:pPr>
      <w:tabs>
        <w:tab w:val="right" w:leader="dot" w:pos="9637"/>
      </w:tabs>
      <w:spacing w:before="57"/>
      <w:ind w:left="283"/>
    </w:pPr>
  </w:style>
  <w:style w:type="paragraph" w:customStyle="1" w:styleId="Contents3">
    <w:name w:val="Contents 3"/>
    <w:basedOn w:val="Index"/>
    <w:rsid w:val="00083A0A"/>
    <w:pPr>
      <w:tabs>
        <w:tab w:val="right" w:leader="dot" w:pos="9921"/>
      </w:tabs>
      <w:ind w:left="850"/>
    </w:pPr>
  </w:style>
  <w:style w:type="paragraph" w:customStyle="1" w:styleId="TableContents">
    <w:name w:val="Table Contents"/>
    <w:basedOn w:val="Standaard"/>
    <w:rsid w:val="00083A0A"/>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Huisstijl-Rubricering"/>
    <w:rsid w:val="00083A0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ubricering">
    <w:name w:val="Huisstijl - Rubricering"/>
    <w:basedOn w:val="Standaard"/>
    <w:next w:val="Huisstijl-Toezendgegevens"/>
    <w:rsid w:val="00083A0A"/>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Toezendgegevens">
    <w:name w:val="Huisstijl - Toezendgegevens"/>
    <w:basedOn w:val="Standaard"/>
    <w:rsid w:val="00083A0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83A0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083A0A"/>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083A0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er1">
    <w:name w:val="Header1"/>
    <w:basedOn w:val="Standaard"/>
    <w:rsid w:val="00083A0A"/>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Framecontents">
    <w:name w:val="Frame contents"/>
    <w:basedOn w:val="Textbody"/>
    <w:rsid w:val="00083A0A"/>
  </w:style>
  <w:style w:type="paragraph" w:customStyle="1" w:styleId="Huisstijl-Afzendgegevenskop">
    <w:name w:val="Huisstijl - Afzendgegevens kop"/>
    <w:basedOn w:val="Standaard"/>
    <w:rsid w:val="00083A0A"/>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083A0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083A0A"/>
    <w:pPr>
      <w:spacing w:before="90"/>
    </w:pPr>
    <w:rPr>
      <w:b/>
    </w:rPr>
  </w:style>
  <w:style w:type="paragraph" w:customStyle="1" w:styleId="Huisstijl-ReferentiegegevenskopW1">
    <w:name w:val="Huisstijl - Referentiegegevens kop W1"/>
    <w:basedOn w:val="Standaard"/>
    <w:next w:val="Huisstijl-Referentiegegevens"/>
    <w:rsid w:val="00083A0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83A0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83A0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083A0A"/>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083A0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083A0A"/>
    <w:rPr>
      <w:i/>
    </w:rPr>
  </w:style>
  <w:style w:type="paragraph" w:customStyle="1" w:styleId="Footer1">
    <w:name w:val="Footer1"/>
    <w:basedOn w:val="Standaard"/>
    <w:rsid w:val="00083A0A"/>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083A0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character" w:customStyle="1" w:styleId="Placeholder">
    <w:name w:val="Placeholder"/>
    <w:rsid w:val="00083A0A"/>
    <w:rPr>
      <w:smallCaps/>
      <w:color w:val="008080"/>
      <w:u w:val="dotted"/>
    </w:rPr>
  </w:style>
  <w:style w:type="character" w:customStyle="1" w:styleId="NumberingSymbols">
    <w:name w:val="Numbering Symbols"/>
    <w:rsid w:val="00083A0A"/>
    <w:rPr>
      <w:rFonts w:ascii="Verdana" w:hAnsi="Verdana"/>
      <w:sz w:val="18"/>
    </w:rPr>
  </w:style>
  <w:style w:type="character" w:customStyle="1" w:styleId="BulletSymbols">
    <w:name w:val="Bullet Symbols"/>
    <w:rsid w:val="00083A0A"/>
    <w:rPr>
      <w:rFonts w:ascii="Verdana" w:eastAsia="OpenSymbol" w:hAnsi="Verdana" w:cs="OpenSymbol"/>
      <w:sz w:val="26"/>
    </w:rPr>
  </w:style>
  <w:style w:type="character" w:customStyle="1" w:styleId="Huisstijl-Aankruisvakken">
    <w:name w:val="Huisstijl - Aankruisvakken"/>
    <w:rsid w:val="00083A0A"/>
    <w:rPr>
      <w:rFonts w:ascii="Verdana" w:hAnsi="Verdana"/>
      <w:sz w:val="26"/>
    </w:rPr>
  </w:style>
  <w:style w:type="paragraph" w:styleId="Koptekst">
    <w:name w:val="header"/>
    <w:basedOn w:val="Standaard"/>
    <w:link w:val="KoptekstChar"/>
    <w:uiPriority w:val="99"/>
    <w:unhideWhenUsed/>
    <w:rsid w:val="00083A0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83A0A"/>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083A0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83A0A"/>
    <w:rPr>
      <w:rFonts w:ascii="Verdana" w:eastAsia="DejaVu Sans" w:hAnsi="Verdana" w:cs="Mangal"/>
      <w:kern w:val="3"/>
      <w:sz w:val="18"/>
      <w:szCs w:val="21"/>
      <w:lang w:eastAsia="zh-CN" w:bidi="hi-IN"/>
      <w14:ligatures w14:val="none"/>
    </w:rPr>
  </w:style>
  <w:style w:type="paragraph" w:styleId="Ballontekst">
    <w:name w:val="Balloon Text"/>
    <w:basedOn w:val="Standaard"/>
    <w:link w:val="BallontekstChar"/>
    <w:uiPriority w:val="99"/>
    <w:semiHidden/>
    <w:unhideWhenUsed/>
    <w:rsid w:val="00083A0A"/>
    <w:pPr>
      <w:widowControl w:val="0"/>
      <w:suppressAutoHyphens/>
      <w:autoSpaceDN w:val="0"/>
      <w:spacing w:after="0" w:line="240" w:lineRule="exact"/>
      <w:textAlignment w:val="baseline"/>
    </w:pPr>
    <w:rPr>
      <w:rFonts w:ascii="Tahoma" w:eastAsia="DejaVu Sans"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083A0A"/>
    <w:rPr>
      <w:rFonts w:ascii="Tahoma" w:eastAsia="DejaVu Sans" w:hAnsi="Tahoma" w:cs="Mangal"/>
      <w:kern w:val="3"/>
      <w:sz w:val="16"/>
      <w:szCs w:val="14"/>
      <w:lang w:eastAsia="zh-CN" w:bidi="hi-IN"/>
      <w14:ligatures w14:val="none"/>
    </w:rPr>
  </w:style>
  <w:style w:type="paragraph" w:customStyle="1" w:styleId="Huisstijl-AfzendgegevenskopW1">
    <w:name w:val="Huisstijl - Afzendgegevens kop W1"/>
    <w:basedOn w:val="Huisstijl-Afzendgegevenskop"/>
    <w:qFormat/>
    <w:rsid w:val="00083A0A"/>
    <w:pPr>
      <w:spacing w:before="90"/>
    </w:pPr>
  </w:style>
  <w:style w:type="paragraph" w:customStyle="1" w:styleId="Huisstijl-AfzendgegevensC">
    <w:name w:val="Huisstijl - Afzendgegevens C"/>
    <w:basedOn w:val="Huisstijl-Afzendgegevens"/>
    <w:qFormat/>
    <w:rsid w:val="00083A0A"/>
    <w:rPr>
      <w:i/>
    </w:rPr>
  </w:style>
  <w:style w:type="paragraph" w:customStyle="1" w:styleId="Huisstijl-AfzendgegevensMdtn">
    <w:name w:val="Huisstijl - Afzendgegevens Mdtn"/>
    <w:basedOn w:val="Huisstijl-Afzendgegevens"/>
    <w:qFormat/>
    <w:rsid w:val="00083A0A"/>
    <w:pPr>
      <w:tabs>
        <w:tab w:val="clear" w:pos="170"/>
        <w:tab w:val="left" w:pos="482"/>
      </w:tabs>
    </w:pPr>
  </w:style>
  <w:style w:type="paragraph" w:customStyle="1" w:styleId="Huisstijl-Ondertekeningvervolgtitel">
    <w:name w:val="Huisstijl - Ondertekening vervolg titel"/>
    <w:basedOn w:val="Huisstijl-Ondertekeningvervolg"/>
    <w:qFormat/>
    <w:rsid w:val="00083A0A"/>
    <w:rPr>
      <w:i w:val="0"/>
      <w:noProof/>
    </w:rPr>
  </w:style>
  <w:style w:type="table" w:styleId="Tabelraster">
    <w:name w:val="Table Grid"/>
    <w:basedOn w:val="Standaardtabel"/>
    <w:uiPriority w:val="39"/>
    <w:rsid w:val="00083A0A"/>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083A0A"/>
    <w:pPr>
      <w:widowControl w:val="0"/>
      <w:suppressAutoHyphens/>
      <w:autoSpaceDN w:val="0"/>
      <w:spacing w:after="0" w:line="240" w:lineRule="exact"/>
      <w:textAlignment w:val="baseline"/>
    </w:pPr>
    <w:rPr>
      <w:rFonts w:ascii="Verdana" w:eastAsia="DejaVu Sans" w:hAnsi="Verdana" w:cs="Lohit Hindi"/>
      <w:b/>
      <w:noProof/>
      <w:kern w:val="3"/>
      <w:sz w:val="13"/>
      <w:szCs w:val="13"/>
      <w:lang w:eastAsia="zh-CN" w:bidi="hi-IN"/>
      <w14:ligatures w14:val="none"/>
    </w:rPr>
  </w:style>
  <w:style w:type="paragraph" w:customStyle="1" w:styleId="Huisstijl-Minuutgegevens">
    <w:name w:val="Huisstijl - Minuutgegevens"/>
    <w:basedOn w:val="Standaard"/>
    <w:qFormat/>
    <w:rsid w:val="00083A0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Gegevenskop">
    <w:name w:val="Huisstijl - Gegevens kop"/>
    <w:basedOn w:val="Standaard"/>
    <w:qFormat/>
    <w:rsid w:val="00083A0A"/>
    <w:pPr>
      <w:widowControl w:val="0"/>
      <w:suppressAutoHyphens/>
      <w:autoSpaceDN w:val="0"/>
      <w:spacing w:after="0" w:line="240" w:lineRule="exact"/>
    </w:pPr>
    <w:rPr>
      <w:rFonts w:ascii="Verdana" w:eastAsia="DejaVu Sans" w:hAnsi="Verdana" w:cs="Lohit Hindi"/>
      <w:kern w:val="3"/>
      <w:sz w:val="13"/>
      <w:szCs w:val="24"/>
      <w:lang w:eastAsia="zh-CN" w:bidi="hi-IN"/>
      <w14:ligatures w14:val="none"/>
    </w:rPr>
  </w:style>
  <w:style w:type="paragraph" w:customStyle="1" w:styleId="Huisstijl-Gegevens">
    <w:name w:val="Huisstijl - Gegevens"/>
    <w:basedOn w:val="Huisstijl-Gegevenskop"/>
    <w:qFormat/>
    <w:rsid w:val="00083A0A"/>
    <w:rPr>
      <w:sz w:val="18"/>
    </w:rPr>
  </w:style>
  <w:style w:type="paragraph" w:styleId="Voetnoottekst">
    <w:name w:val="footnote text"/>
    <w:basedOn w:val="Standaard"/>
    <w:link w:val="VoetnoottekstChar"/>
    <w:uiPriority w:val="99"/>
    <w:unhideWhenUsed/>
    <w:rsid w:val="00083A0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83A0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3A0A"/>
    <w:rPr>
      <w:vertAlign w:val="superscript"/>
    </w:rPr>
  </w:style>
  <w:style w:type="paragraph" w:styleId="Lijstalinea">
    <w:name w:val="List Paragraph"/>
    <w:basedOn w:val="Standaard"/>
    <w:uiPriority w:val="34"/>
    <w:qFormat/>
    <w:rsid w:val="00083A0A"/>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083A0A"/>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083A0A"/>
    <w:pPr>
      <w:spacing w:after="0" w:line="240" w:lineRule="auto"/>
    </w:pPr>
    <w:rPr>
      <w:rFonts w:ascii="Verdana" w:hAnsi="Verdana"/>
      <w:sz w:val="18"/>
      <w:lang w:val="en-US"/>
    </w:rPr>
  </w:style>
  <w:style w:type="character" w:styleId="Hyperlink">
    <w:name w:val="Hyperlink"/>
    <w:basedOn w:val="Standaardalinea-lettertype"/>
    <w:uiPriority w:val="99"/>
    <w:semiHidden/>
    <w:unhideWhenUsed/>
    <w:rsid w:val="00083A0A"/>
    <w:rPr>
      <w:color w:val="0563C1"/>
      <w:u w:val="single"/>
    </w:rPr>
  </w:style>
  <w:style w:type="paragraph" w:styleId="Revisie">
    <w:name w:val="Revision"/>
    <w:hidden/>
    <w:uiPriority w:val="99"/>
    <w:semiHidden/>
    <w:rsid w:val="00083A0A"/>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4908</ap:Words>
  <ap:Characters>26997</ap:Characters>
  <ap:DocSecurity>0</ap:DocSecurity>
  <ap:Lines>224</ap:Lines>
  <ap:Paragraphs>63</ap:Paragraphs>
  <ap:ScaleCrop>false</ap:ScaleCrop>
  <ap:LinksUpToDate>false</ap:LinksUpToDate>
  <ap:CharactersWithSpaces>31842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2024-10-24T12:07:00.0000000Z</dcterms:created>
  <dcterms:modified xsi:type="dcterms:W3CDTF">2024-10-24T12:07:00.0000000Z</dcterms:modified>
  <version/>
  <category/>
</coreProperties>
</file>