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174FED" w:rsidTr="00174FED" w14:paraId="68DE1586" w14:textId="77777777">
        <w:sdt>
          <w:sdtPr>
            <w:tag w:val="bmZaakNummerAdvies"/>
            <w:id w:val="1256097514"/>
            <w:lock w:val="sdtLocked"/>
            <w:placeholder>
              <w:docPart w:val="DefaultPlaceholder_-1854013440"/>
            </w:placeholder>
          </w:sdtPr>
          <w:sdtEndPr/>
          <w:sdtContent>
            <w:tc>
              <w:tcPr>
                <w:tcW w:w="4251" w:type="dxa"/>
              </w:tcPr>
              <w:p w:rsidR="00174FED" w:rsidRDefault="00174FED" w14:paraId="3655DEDA" w14:textId="2821F500">
                <w:r>
                  <w:t>No. W02.24.00180/II/K</w:t>
                </w:r>
              </w:p>
            </w:tc>
          </w:sdtContent>
        </w:sdt>
        <w:sdt>
          <w:sdtPr>
            <w:tag w:val="bmDatumAdvies"/>
            <w:id w:val="-1071349070"/>
            <w:lock w:val="sdtLocked"/>
            <w:placeholder>
              <w:docPart w:val="DefaultPlaceholder_-1854013440"/>
            </w:placeholder>
          </w:sdtPr>
          <w:sdtEndPr/>
          <w:sdtContent>
            <w:tc>
              <w:tcPr>
                <w:tcW w:w="4252" w:type="dxa"/>
              </w:tcPr>
              <w:p w:rsidR="00174FED" w:rsidRDefault="00174FED" w14:paraId="175311C9" w14:textId="3A315C9A">
                <w:r>
                  <w:t>'s-Gravenhage, 2 oktober 2024</w:t>
                </w:r>
              </w:p>
            </w:tc>
          </w:sdtContent>
        </w:sdt>
      </w:tr>
    </w:tbl>
    <w:p w:rsidR="00174FED" w:rsidRDefault="00174FED" w14:paraId="71C83058" w14:textId="77777777"/>
    <w:p w:rsidR="00174FED" w:rsidRDefault="00174FED" w14:paraId="495FDDA1" w14:textId="77777777"/>
    <w:p w:rsidR="001978DD" w:rsidRDefault="00B906FE" w14:paraId="6C405E9A" w14:textId="4D35CD36">
      <w:sdt>
        <w:sdtPr>
          <w:tag w:val="bmAanhef"/>
          <w:id w:val="-1097708986"/>
          <w:lock w:val="sdtLocked"/>
          <w:placeholder>
            <w:docPart w:val="DefaultPlaceholder_-1854013440"/>
          </w:placeholder>
        </w:sdtPr>
        <w:sdtEndPr/>
        <w:sdtContent>
          <w:r w:rsidR="00174FED">
            <w:rPr>
              <w:color w:val="000000"/>
            </w:rPr>
            <w:t>Bij Kabinetsmissive van 22 juli 2024, no.2024001680, heeft Uwe Majesteit, op voordracht van de Minister van Buitenlandse Zaken, bij de Afdeling advisering van de Raad van State van het Koninkrijk ter overweging aanhangig gemaakt het voorstel van rijkswet houdende wijziging van de Rijkswet consulaire bescherming EU-burgers voor de vaststelling en afgifte van een Europees noodreisdocument, met memorie van toelichting.</w:t>
          </w:r>
        </w:sdtContent>
      </w:sdt>
    </w:p>
    <w:p w:rsidR="001978DD" w:rsidRDefault="001978DD" w14:paraId="6C405E9B" w14:textId="77777777"/>
    <w:sdt>
      <w:sdtPr>
        <w:tag w:val="bmVrijeTekst1"/>
        <w:id w:val="-31807785"/>
        <w:lock w:val="sdtLocked"/>
        <w:placeholder>
          <w:docPart w:val="DefaultPlaceholder_-1854013440"/>
        </w:placeholder>
      </w:sdtPr>
      <w:sdtEndPr/>
      <w:sdtContent>
        <w:p w:rsidR="00350972" w:rsidRDefault="00E12C65" w14:paraId="74D2E0CC" w14:textId="77777777">
          <w:r>
            <w:t xml:space="preserve">Met het wetsvoorstel worden de regels over het verstrekken van EU-noodreisdocumenten geïmplementeerd in de Rijkswet consulaire bescherming EU-burgers. </w:t>
          </w:r>
          <w:r w:rsidR="00DC2D00">
            <w:t xml:space="preserve">De voorgestelde wijzigingen zien op de aanwijzing van personen die een EU-noodreisdocument kunnen aanvragen, de afgiftetermijn en de geldigheid van het document. </w:t>
          </w:r>
        </w:p>
        <w:p w:rsidR="00350972" w:rsidRDefault="00350972" w14:paraId="4CCC86AB" w14:textId="77777777"/>
        <w:p w:rsidR="00867F4E" w:rsidRDefault="00DC2D00" w14:paraId="001E826C" w14:textId="4B206B38">
          <w:r>
            <w:t xml:space="preserve">De Afdeling </w:t>
          </w:r>
          <w:r w:rsidR="008178F8">
            <w:t xml:space="preserve">advisering van de Raad van State van het Koninkrijk </w:t>
          </w:r>
          <w:r w:rsidR="00132825">
            <w:t xml:space="preserve">adviseert om in het wetsvoorstel ook de </w:t>
          </w:r>
          <w:r w:rsidR="00154831">
            <w:t xml:space="preserve">maximale </w:t>
          </w:r>
          <w:r w:rsidR="00132825">
            <w:t xml:space="preserve">bewaartermijnen van persoonsgegevens op te nemen, zoals </w:t>
          </w:r>
          <w:r w:rsidR="00154831">
            <w:t xml:space="preserve">die zijn voorgeschreven in de EU-noodreisdocumentenrichtlijn. </w:t>
          </w:r>
          <w:r w:rsidR="00867F4E">
            <w:t xml:space="preserve">Daarnaast </w:t>
          </w:r>
          <w:r w:rsidR="00132825">
            <w:t>adviseert zij d</w:t>
          </w:r>
          <w:r w:rsidR="00867F4E">
            <w:t>e reikwijdte van het begrip ‘niet-vertegenwoordigde EU-burger’</w:t>
          </w:r>
          <w:r w:rsidR="00132825">
            <w:t xml:space="preserve"> in overeenstemming te brengen met </w:t>
          </w:r>
          <w:r w:rsidR="00154831">
            <w:t>de richtlijn</w:t>
          </w:r>
          <w:r w:rsidR="00867F4E">
            <w:t xml:space="preserve">. </w:t>
          </w:r>
          <w:r w:rsidR="00132825">
            <w:t xml:space="preserve">In verband daarmee is aanpassing van het wetsvoorstel wenselijk. </w:t>
          </w:r>
        </w:p>
        <w:p w:rsidR="00AC76E0" w:rsidRDefault="00AC76E0" w14:paraId="33C77A7D" w14:textId="77777777"/>
        <w:p w:rsidR="00502B5E" w:rsidRDefault="00502B5E" w14:paraId="15554C5C" w14:textId="36F0BF04">
          <w:r>
            <w:t>1.</w:t>
          </w:r>
          <w:r>
            <w:tab/>
          </w:r>
          <w:r>
            <w:rPr>
              <w:u w:val="single"/>
            </w:rPr>
            <w:t>Inhoud voorstel</w:t>
          </w:r>
        </w:p>
        <w:p w:rsidR="00502B5E" w:rsidRDefault="00502B5E" w14:paraId="5E7EB630" w14:textId="77777777"/>
        <w:p w:rsidR="00350972" w:rsidRDefault="005231D4" w14:paraId="1BD4EEB1" w14:textId="77777777">
          <w:r>
            <w:t xml:space="preserve">Het </w:t>
          </w:r>
          <w:r w:rsidR="00551725">
            <w:t xml:space="preserve">wetsvoorstel </w:t>
          </w:r>
          <w:r w:rsidR="006A5B6B">
            <w:t>betreft</w:t>
          </w:r>
          <w:r w:rsidR="00551725">
            <w:t xml:space="preserve"> een implementatie van </w:t>
          </w:r>
          <w:r w:rsidR="00B344D0">
            <w:t>de</w:t>
          </w:r>
          <w:r w:rsidR="00D865F7">
            <w:t xml:space="preserve"> </w:t>
          </w:r>
          <w:r w:rsidR="00B344D0">
            <w:t>EU-noodreisdocumentenrichtlijn</w:t>
          </w:r>
          <w:r w:rsidR="00B344D0">
            <w:rPr>
              <w:rStyle w:val="Voetnootmarkering"/>
            </w:rPr>
            <w:footnoteReference w:id="2"/>
          </w:r>
          <w:r w:rsidR="00B344D0">
            <w:t xml:space="preserve"> </w:t>
          </w:r>
          <w:r w:rsidR="00931FFC">
            <w:t xml:space="preserve">en strekt tot wijziging van de Rijkswet consulaire bescherming EU-burgers. </w:t>
          </w:r>
          <w:r w:rsidR="002A2EE5">
            <w:t>Met de wijziging worden voorschriften vastge</w:t>
          </w:r>
          <w:r w:rsidR="004576EB">
            <w:t>legd</w:t>
          </w:r>
          <w:r w:rsidR="002A2EE5">
            <w:t xml:space="preserve"> voor het verstrekken van EU-noodreisdocumenten.</w:t>
          </w:r>
          <w:r w:rsidR="004D298C">
            <w:t xml:space="preserve"> </w:t>
          </w:r>
          <w:r w:rsidR="002E7B8F">
            <w:t>Het verstrekken van</w:t>
          </w:r>
          <w:r w:rsidR="004D298C">
            <w:t xml:space="preserve"> EU-noodreisdocumenten </w:t>
          </w:r>
          <w:r w:rsidR="002E7B8F">
            <w:t>is de meest voorkomende vorm van consulaire bescherming die aan EU-burgers wordt geboden in derde landen waar zij niet vertegenwoordigd zijn.</w:t>
          </w:r>
          <w:r w:rsidR="00157FDE">
            <w:rPr>
              <w:rStyle w:val="Voetnootmarkering"/>
            </w:rPr>
            <w:footnoteReference w:id="3"/>
          </w:r>
          <w:r w:rsidR="004228A1">
            <w:t xml:space="preserve"> </w:t>
          </w:r>
        </w:p>
        <w:p w:rsidR="00350972" w:rsidRDefault="00350972" w14:paraId="198DDA12" w14:textId="77777777"/>
        <w:p w:rsidR="00AC76E0" w:rsidRDefault="004228A1" w14:paraId="7BCF4782" w14:textId="1EFE36ED">
          <w:r>
            <w:t>Met de richtlijn word</w:t>
          </w:r>
          <w:r w:rsidR="00B54C23">
            <w:t>t samenhang gecreëerd tussen de voorwaarden en procedures tot het afgeven van EU-noodreisdocumenten en de algemene regels over coördinatie- en samenwerkingsmaatregelen ter vergemakkelijking van de consulaire bescherming.</w:t>
          </w:r>
          <w:r w:rsidR="0077547C">
            <w:rPr>
              <w:rStyle w:val="Voetnootmarkering"/>
            </w:rPr>
            <w:footnoteReference w:id="4"/>
          </w:r>
          <w:r w:rsidR="00D97F59">
            <w:t xml:space="preserve"> </w:t>
          </w:r>
          <w:r w:rsidR="00C94A69">
            <w:t xml:space="preserve">De </w:t>
          </w:r>
          <w:r w:rsidR="00407A2F">
            <w:t xml:space="preserve">voorgestelde wijziging van de Rijkswet </w:t>
          </w:r>
          <w:r w:rsidR="00C00B76">
            <w:t>bevat een aanwijzing van de</w:t>
          </w:r>
          <w:r w:rsidR="00806C45">
            <w:t xml:space="preserve"> personen die een EU-noodreisdocument </w:t>
          </w:r>
          <w:r w:rsidR="00C00B76">
            <w:t>kunnen aanvragen</w:t>
          </w:r>
          <w:r w:rsidR="00806C45">
            <w:t xml:space="preserve">, </w:t>
          </w:r>
          <w:r w:rsidR="00C94A69">
            <w:t xml:space="preserve">de </w:t>
          </w:r>
          <w:r w:rsidR="00806C45">
            <w:t>afgiftetermijn en</w:t>
          </w:r>
          <w:r w:rsidR="00C94A69">
            <w:t xml:space="preserve"> de geldigheid van het </w:t>
          </w:r>
          <w:r w:rsidR="00806C45">
            <w:t>document.</w:t>
          </w:r>
        </w:p>
        <w:p w:rsidR="00806C45" w:rsidRDefault="00806C45" w14:paraId="70A0198E" w14:textId="77777777"/>
        <w:p w:rsidR="00C00B76" w:rsidRDefault="00502B5E" w14:paraId="271065C5" w14:textId="6E0CC2C3">
          <w:pPr>
            <w:rPr>
              <w:u w:val="single"/>
            </w:rPr>
          </w:pPr>
          <w:r>
            <w:t>2.</w:t>
          </w:r>
          <w:r>
            <w:tab/>
          </w:r>
          <w:r>
            <w:rPr>
              <w:u w:val="single"/>
            </w:rPr>
            <w:t>Bewaartermijn</w:t>
          </w:r>
        </w:p>
        <w:p w:rsidR="00502B5E" w:rsidRDefault="00502B5E" w14:paraId="5FB5958E" w14:textId="77777777">
          <w:pPr>
            <w:rPr>
              <w:u w:val="single"/>
            </w:rPr>
          </w:pPr>
        </w:p>
        <w:p w:rsidR="00502B5E" w:rsidRDefault="00113061" w14:paraId="7F31C9DE" w14:textId="047E228C">
          <w:r>
            <w:t xml:space="preserve">Als een EU-noodreisdocument wordt aangevraagd, worden zowel door de lidstaat </w:t>
          </w:r>
          <w:r w:rsidR="0038786F">
            <w:t>die bijstand verleen</w:t>
          </w:r>
          <w:r w:rsidR="009E4035">
            <w:t>t</w:t>
          </w:r>
          <w:r w:rsidR="0038786F">
            <w:t xml:space="preserve"> </w:t>
          </w:r>
          <w:r>
            <w:t>als de lidstaat van nationaliteit van de EU-burger persoonsgegevens verwerkt. Op grond van</w:t>
          </w:r>
          <w:r w:rsidR="0046507C">
            <w:t xml:space="preserve"> </w:t>
          </w:r>
          <w:r>
            <w:t>artikel 15</w:t>
          </w:r>
          <w:r w:rsidR="00F23017">
            <w:t>, vierde lid,</w:t>
          </w:r>
          <w:r>
            <w:t xml:space="preserve"> van de EU-noodreisdocumentatierichtlijn </w:t>
          </w:r>
          <w:r w:rsidR="00DD1B39">
            <w:t xml:space="preserve">mogen deze persoonsgegevens </w:t>
          </w:r>
          <w:r w:rsidR="00272447">
            <w:t>zo lang als nodig is</w:t>
          </w:r>
          <w:r w:rsidR="00DD1B39">
            <w:t xml:space="preserve"> worden bewaard</w:t>
          </w:r>
          <w:r w:rsidR="00553311">
            <w:t xml:space="preserve">, onder meer met het oog op de inning van leges. </w:t>
          </w:r>
          <w:r w:rsidR="00B5324D">
            <w:t>De bewaartermijn</w:t>
          </w:r>
          <w:r w:rsidR="00275ACD">
            <w:t>en</w:t>
          </w:r>
          <w:r w:rsidR="00B5324D">
            <w:t xml:space="preserve"> word</w:t>
          </w:r>
          <w:r w:rsidR="00275ACD">
            <w:t>en</w:t>
          </w:r>
          <w:r w:rsidR="00B5324D">
            <w:t xml:space="preserve"> echter </w:t>
          </w:r>
          <w:r w:rsidR="008A1BA2">
            <w:t xml:space="preserve">concreet </w:t>
          </w:r>
          <w:r w:rsidR="001A0748">
            <w:t>begrens</w:t>
          </w:r>
          <w:r w:rsidR="002664C9">
            <w:t>d.</w:t>
          </w:r>
          <w:r w:rsidR="001A0748">
            <w:t xml:space="preserve"> </w:t>
          </w:r>
          <w:r w:rsidR="00886923">
            <w:t xml:space="preserve">De persoonsgegevens mogen </w:t>
          </w:r>
          <w:r w:rsidR="00667190">
            <w:t>d</w:t>
          </w:r>
          <w:r w:rsidRPr="00667190" w:rsidR="00667190">
            <w:t>oor de lidstaat die bijstand verleen</w:t>
          </w:r>
          <w:r w:rsidR="00810C86">
            <w:t>t</w:t>
          </w:r>
          <w:r w:rsidR="00DD1B39">
            <w:t xml:space="preserve"> in geen geval langer </w:t>
          </w:r>
          <w:r w:rsidR="00710044">
            <w:t xml:space="preserve">worden bewaard </w:t>
          </w:r>
          <w:r w:rsidR="00DD1B39">
            <w:t>dan 180 dagen</w:t>
          </w:r>
          <w:r w:rsidR="00E34E89">
            <w:t>. V</w:t>
          </w:r>
          <w:r w:rsidRPr="00E34E89" w:rsidR="00E34E89">
            <w:t>oor</w:t>
          </w:r>
          <w:r w:rsidR="00DD1B39">
            <w:t xml:space="preserve"> de lidstaat van nationaliteit </w:t>
          </w:r>
          <w:r w:rsidR="00E34E89">
            <w:t xml:space="preserve">geldt een </w:t>
          </w:r>
          <w:r w:rsidR="00F85DAA">
            <w:t>maximale</w:t>
          </w:r>
          <w:r w:rsidR="00E34E89">
            <w:t xml:space="preserve"> </w:t>
          </w:r>
          <w:r w:rsidR="00F85DAA">
            <w:t>bewaartermijn van</w:t>
          </w:r>
          <w:r w:rsidR="00A577D0">
            <w:t xml:space="preserve"> </w:t>
          </w:r>
          <w:r w:rsidR="00DD1B39">
            <w:t>twee jaar</w:t>
          </w:r>
          <w:r w:rsidR="00BD66C4">
            <w:t>.</w:t>
          </w:r>
          <w:r w:rsidR="00DD1B39">
            <w:t xml:space="preserve"> </w:t>
          </w:r>
          <w:r w:rsidR="00AB4B18">
            <w:t xml:space="preserve">Na het verstrijken van de </w:t>
          </w:r>
          <w:r w:rsidR="000028EB">
            <w:t xml:space="preserve">gestelde </w:t>
          </w:r>
          <w:r w:rsidR="00AB4B18">
            <w:t xml:space="preserve">bewaartermijnen </w:t>
          </w:r>
          <w:r w:rsidR="000028EB">
            <w:t>moeten</w:t>
          </w:r>
          <w:r w:rsidR="00AB4B18">
            <w:t xml:space="preserve"> de persoonsgegevens van de aanvrager </w:t>
          </w:r>
          <w:r w:rsidR="0005272D">
            <w:t>worden</w:t>
          </w:r>
          <w:r w:rsidR="00AB4B18">
            <w:t xml:space="preserve"> gewist. </w:t>
          </w:r>
        </w:p>
        <w:p w:rsidR="00B77605" w:rsidRDefault="00B77605" w14:paraId="53C7EA08" w14:textId="77777777"/>
        <w:p w:rsidR="00373C81" w:rsidRDefault="00137B21" w14:paraId="445C185F" w14:textId="77777777">
          <w:r>
            <w:t>D</w:t>
          </w:r>
          <w:r w:rsidR="00024A67">
            <w:t>eze</w:t>
          </w:r>
          <w:r w:rsidR="00E03DCD">
            <w:t xml:space="preserve"> </w:t>
          </w:r>
          <w:r w:rsidR="00024A67">
            <w:t>bewaartermijnen</w:t>
          </w:r>
          <w:r>
            <w:t xml:space="preserve"> worden </w:t>
          </w:r>
          <w:r w:rsidR="00024A67">
            <w:t>niet geïmplementeerd</w:t>
          </w:r>
          <w:r w:rsidR="00E03DCD">
            <w:t xml:space="preserve"> in de Rijkswet</w:t>
          </w:r>
          <w:r w:rsidR="00024A67">
            <w:t xml:space="preserve">. </w:t>
          </w:r>
          <w:r w:rsidR="00B91226">
            <w:t>Volgens de</w:t>
          </w:r>
          <w:r w:rsidR="00024A67">
            <w:t xml:space="preserve"> memorie van toelichting </w:t>
          </w:r>
          <w:r w:rsidR="00685251">
            <w:t xml:space="preserve">is </w:t>
          </w:r>
          <w:r w:rsidR="00D10B9A">
            <w:t>dat</w:t>
          </w:r>
          <w:r w:rsidR="00E53AD7">
            <w:t xml:space="preserve"> </w:t>
          </w:r>
          <w:r w:rsidR="00B91226">
            <w:t xml:space="preserve">niet nodig, omdat </w:t>
          </w:r>
          <w:r>
            <w:t>de Algemene verordening gegevensbescherming (AVG) van toepassing is en de richtlijn slechts een concretisering van die normen betreft.</w:t>
          </w:r>
          <w:r w:rsidR="00C47093">
            <w:rPr>
              <w:rStyle w:val="Voetnootmarkering"/>
            </w:rPr>
            <w:footnoteReference w:id="5"/>
          </w:r>
          <w:r>
            <w:t xml:space="preserve"> </w:t>
          </w:r>
        </w:p>
        <w:p w:rsidR="00373C81" w:rsidRDefault="00373C81" w14:paraId="1F2CBD1D" w14:textId="77777777"/>
        <w:p w:rsidR="006B5B95" w:rsidRDefault="00600D61" w14:paraId="5F85DD2E" w14:textId="43A8009F">
          <w:r>
            <w:t>De Afdeling wijst er</w:t>
          </w:r>
          <w:r w:rsidR="000F69C7">
            <w:t xml:space="preserve"> </w:t>
          </w:r>
          <w:r>
            <w:t>op dat de AVG</w:t>
          </w:r>
          <w:r w:rsidR="00EA3956">
            <w:t xml:space="preserve"> geen concrete bewaartermijnen </w:t>
          </w:r>
          <w:r w:rsidR="00191324">
            <w:t>bevat</w:t>
          </w:r>
          <w:r w:rsidR="00685251">
            <w:t xml:space="preserve"> en slechts in algemene zin </w:t>
          </w:r>
          <w:r w:rsidR="00D653C0">
            <w:t xml:space="preserve">voorschrijft dat </w:t>
          </w:r>
          <w:r w:rsidR="009B2384">
            <w:t xml:space="preserve">persoonsgegevens niet langer </w:t>
          </w:r>
          <w:r w:rsidR="00685251">
            <w:t xml:space="preserve">mogen </w:t>
          </w:r>
          <w:r w:rsidR="009B2384">
            <w:t>worden bewaard dan noodzakelijk.</w:t>
          </w:r>
          <w:r w:rsidR="004E4A5B">
            <w:rPr>
              <w:rStyle w:val="Voetnootmarkering"/>
            </w:rPr>
            <w:footnoteReference w:id="6"/>
          </w:r>
          <w:r w:rsidR="006B5B95">
            <w:t xml:space="preserve"> Bewaartermijnen vormen een belangrijke waarborg voor de zorgvuldige omgang met persoonsgegevens. </w:t>
          </w:r>
          <w:r w:rsidRPr="00A926F8" w:rsidR="00A926F8">
            <w:t>Dit brengt met zich dat de opslag van persoonsgegevens moet worden beperkt tot het strikte minimum</w:t>
          </w:r>
          <w:r w:rsidR="000F78FE">
            <w:t xml:space="preserve">. </w:t>
          </w:r>
          <w:r w:rsidR="00754BF3">
            <w:t xml:space="preserve">In </w:t>
          </w:r>
          <w:r w:rsidRPr="00754BF3" w:rsidR="00754BF3">
            <w:t xml:space="preserve">de EU-noodreisdocumentatierichtlijn </w:t>
          </w:r>
          <w:r w:rsidR="00CD29E5">
            <w:t xml:space="preserve">zijn dan ook </w:t>
          </w:r>
          <w:r w:rsidR="00B12397">
            <w:t>maximale</w:t>
          </w:r>
          <w:r w:rsidR="00501C23">
            <w:t xml:space="preserve"> </w:t>
          </w:r>
          <w:r w:rsidR="00B12397">
            <w:t xml:space="preserve">bewaartermijnen </w:t>
          </w:r>
          <w:r w:rsidR="00371089">
            <w:t>opgenomen</w:t>
          </w:r>
          <w:r w:rsidR="0002718D">
            <w:t xml:space="preserve"> die moeten worden omgezet in het nationale recht</w:t>
          </w:r>
          <w:r w:rsidR="00B12397">
            <w:t>.</w:t>
          </w:r>
        </w:p>
        <w:p w:rsidR="006B5B95" w:rsidRDefault="006B5B95" w14:paraId="5CA29790" w14:textId="77777777"/>
        <w:p w:rsidR="00B77605" w:rsidRDefault="006B5B95" w14:paraId="04E0A75C" w14:textId="13F274DC">
          <w:r>
            <w:t xml:space="preserve">De Afdeling adviseert </w:t>
          </w:r>
          <w:r w:rsidR="00264EC2">
            <w:t>daar</w:t>
          </w:r>
          <w:r>
            <w:t xml:space="preserve">om de bewaartermijnen uit artikel 15 van de EU-noodreisdocumentenrichtlijn te implementeren in de Rijkswet. </w:t>
          </w:r>
        </w:p>
        <w:p w:rsidR="00A11C90" w:rsidRDefault="00A11C90" w14:paraId="5BB93796" w14:textId="77777777"/>
        <w:p w:rsidRPr="00A11C90" w:rsidR="00A11C90" w:rsidRDefault="00A11C90" w14:paraId="6162D5FA" w14:textId="7F74320C">
          <w:pPr>
            <w:rPr>
              <w:u w:val="single"/>
            </w:rPr>
          </w:pPr>
          <w:r>
            <w:t>3.</w:t>
          </w:r>
          <w:r>
            <w:tab/>
          </w:r>
          <w:r w:rsidR="007517E8">
            <w:rPr>
              <w:u w:val="single"/>
            </w:rPr>
            <w:t>Niet-vertegenwoordigde EU-burger</w:t>
          </w:r>
        </w:p>
        <w:p w:rsidR="00AB4B18" w:rsidRDefault="00AB4B18" w14:paraId="0CC44A45" w14:textId="77777777"/>
        <w:p w:rsidR="00416E50" w:rsidRDefault="0068625B" w14:paraId="1851A1C8" w14:textId="77777777">
          <w:r>
            <w:t>Op grond van dit voorstel kan een</w:t>
          </w:r>
          <w:r w:rsidR="00E2651A">
            <w:t xml:space="preserve"> </w:t>
          </w:r>
          <w:r w:rsidR="00B07F18">
            <w:t>EU-noodreisdocument</w:t>
          </w:r>
          <w:r w:rsidR="00E2651A">
            <w:t xml:space="preserve"> worden aangevraagd door EU-burgers </w:t>
          </w:r>
          <w:r>
            <w:t xml:space="preserve">waarvan </w:t>
          </w:r>
          <w:r w:rsidR="00ED4B61">
            <w:t>de lidstaat niet is vertegenwoordigd in een derde land.</w:t>
          </w:r>
          <w:r>
            <w:rPr>
              <w:rStyle w:val="Voetnootmarkering"/>
            </w:rPr>
            <w:footnoteReference w:id="7"/>
          </w:r>
          <w:r w:rsidR="00ED4B61">
            <w:t xml:space="preserve"> </w:t>
          </w:r>
          <w:r w:rsidR="005D496D">
            <w:t xml:space="preserve">In de </w:t>
          </w:r>
          <w:r w:rsidR="003016E8">
            <w:t xml:space="preserve">EU-noodreisdocumentatierichtlijn </w:t>
          </w:r>
          <w:r w:rsidR="005D496D">
            <w:t xml:space="preserve">is sprake van een </w:t>
          </w:r>
          <w:r w:rsidR="00733D5C">
            <w:t>‘</w:t>
          </w:r>
          <w:r w:rsidR="005D496D">
            <w:t>niet-vertegenwoordigde burger</w:t>
          </w:r>
          <w:r w:rsidR="00733D5C">
            <w:t>’</w:t>
          </w:r>
          <w:r w:rsidR="005D496D">
            <w:t xml:space="preserve"> indien </w:t>
          </w:r>
          <w:r w:rsidR="00840DEB">
            <w:t>de</w:t>
          </w:r>
          <w:r w:rsidR="003016E8">
            <w:t xml:space="preserve"> </w:t>
          </w:r>
          <w:r w:rsidR="007C79CC">
            <w:t>lidstaat</w:t>
          </w:r>
          <w:r w:rsidR="00840DEB">
            <w:t xml:space="preserve"> van nationaliteit</w:t>
          </w:r>
          <w:r w:rsidR="007C79CC">
            <w:t xml:space="preserve"> geen ambassade of consulaat op permanente basis heeft in het derde land of indien de ambassade, het consulaat of honorair consul ter plaatse niet in staat is om </w:t>
          </w:r>
          <w:r w:rsidR="00FC6859">
            <w:t>in bepaalde gevallen consulaire bescherming te bieden.</w:t>
          </w:r>
          <w:r w:rsidR="00FC6859">
            <w:rPr>
              <w:rStyle w:val="Voetnootmarkering"/>
            </w:rPr>
            <w:footnoteReference w:id="8"/>
          </w:r>
          <w:r w:rsidR="00840DEB">
            <w:t xml:space="preserve"> </w:t>
          </w:r>
        </w:p>
        <w:p w:rsidR="00416E50" w:rsidRDefault="00416E50" w14:paraId="5A97A3F2" w14:textId="77777777"/>
        <w:p w:rsidR="00416E50" w:rsidRDefault="00EA72F6" w14:paraId="1028DF94" w14:textId="77777777">
          <w:r>
            <w:lastRenderedPageBreak/>
            <w:t xml:space="preserve">De tekst in het voorgestelde artikel 5b, eerste lid, onder a, </w:t>
          </w:r>
          <w:r w:rsidR="00D03DA7">
            <w:t>heeft uitsluitend betrekking op</w:t>
          </w:r>
          <w:r w:rsidR="00FC493B">
            <w:t xml:space="preserve"> burgers uit</w:t>
          </w:r>
          <w:r w:rsidR="00D03DA7">
            <w:t xml:space="preserve"> een lidstaat die in het derde land geen ambassade of consulaat heeft. </w:t>
          </w:r>
          <w:r w:rsidR="007D6642">
            <w:t xml:space="preserve">Dit is niet in lijn met </w:t>
          </w:r>
          <w:r w:rsidR="00345B7E">
            <w:t xml:space="preserve">de begripsbepaling zoals opgenomen </w:t>
          </w:r>
          <w:r w:rsidR="007D6642">
            <w:t>in de EU-noodreisdocumentenrichtlijn</w:t>
          </w:r>
          <w:r w:rsidR="00F75A2D">
            <w:t xml:space="preserve"> en komt ook niet overeen met de bepaling in artikel 2 van de Rijkswet op basis waarvan de verstrekking van noodreisdocumenten op dit moment geschiedt</w:t>
          </w:r>
          <w:r w:rsidR="007D6642">
            <w:t xml:space="preserve">. </w:t>
          </w:r>
        </w:p>
        <w:p w:rsidR="00416E50" w:rsidRDefault="00416E50" w14:paraId="17270FC4" w14:textId="77777777"/>
        <w:p w:rsidR="00AC76E0" w:rsidRDefault="007D6642" w14:paraId="04A01155" w14:textId="3021AE43">
          <w:r>
            <w:t>De Afdeling adviseert dan ook om dit aan te passen</w:t>
          </w:r>
          <w:r w:rsidR="006F784D">
            <w:t xml:space="preserve"> en het voorgestelde artikel 5b, eerste lid, onder a, in overeenstemming te brengen met de EU-noodreisdocumentenrichtlijn.</w:t>
          </w:r>
        </w:p>
      </w:sdtContent>
    </w:sdt>
    <w:p w:rsidR="006515F3" w:rsidRDefault="006515F3" w14:paraId="0D7519B7" w14:textId="77777777"/>
    <w:sdt>
      <w:sdtPr>
        <w:tag w:val="bmDictum"/>
        <w:id w:val="666524841"/>
        <w:lock w:val="sdtLocked"/>
        <w:placeholder>
          <w:docPart w:val="DefaultPlaceholder_-1854013440"/>
        </w:placeholder>
      </w:sdtPr>
      <w:sdtEndPr/>
      <w:sdtContent>
        <w:p w:rsidR="002D4195" w:rsidRDefault="00CB1EBA" w14:paraId="4D49D517" w14:textId="6EBE3D17">
          <w:r>
            <w:t xml:space="preserve">De Afdeling advisering van de Raad van State van het Koninkrijk heeft een aantal opmerkingen bij het voorstel van rijkswet en adviseert daarmee rekening te houden voordat het voorstel van rijkswet bij de Tweede Kamer der Staten-Generaal wordt ingediend en aan de Staten van Aruba, die van Curaçao en die van Sint Maarten wordt overgelegd. </w:t>
          </w:r>
          <w:r>
            <w:br/>
          </w:r>
          <w:r>
            <w:br/>
          </w:r>
          <w:r>
            <w:br/>
            <w:t>De vice-president van de Raad van State van het Koninkrijk,</w:t>
          </w:r>
        </w:p>
      </w:sdtContent>
    </w:sdt>
    <w:sectPr w:rsidR="002D4195" w:rsidSect="00174FED">
      <w:headerReference w:type="even" r:id="rId11"/>
      <w:headerReference w:type="default" r:id="rId12"/>
      <w:footerReference w:type="even" r:id="rId13"/>
      <w:footerReference w:type="default" r:id="rId14"/>
      <w:headerReference w:type="first" r:id="rId15"/>
      <w:footerReference w:type="first" r:id="rId16"/>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F90EC" w14:textId="77777777" w:rsidR="0012160B" w:rsidRDefault="0012160B">
      <w:r>
        <w:separator/>
      </w:r>
    </w:p>
  </w:endnote>
  <w:endnote w:type="continuationSeparator" w:id="0">
    <w:p w14:paraId="30A8E413" w14:textId="77777777" w:rsidR="0012160B" w:rsidRDefault="0012160B">
      <w:r>
        <w:continuationSeparator/>
      </w:r>
    </w:p>
  </w:endnote>
  <w:endnote w:type="continuationNotice" w:id="1">
    <w:p w14:paraId="452C7936" w14:textId="77777777" w:rsidR="0012160B" w:rsidRDefault="001216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5EA1" w14:textId="77777777" w:rsidR="00631ADE" w:rsidRDefault="00631AD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6D08C2" w14:paraId="6C405EA4" w14:textId="77777777" w:rsidTr="00D90098">
      <w:tc>
        <w:tcPr>
          <w:tcW w:w="4815" w:type="dxa"/>
        </w:tcPr>
        <w:p w14:paraId="6C405EA2" w14:textId="77777777" w:rsidR="00D90098" w:rsidRDefault="00D90098" w:rsidP="00D90098">
          <w:pPr>
            <w:pStyle w:val="Voettekst"/>
          </w:pPr>
        </w:p>
      </w:tc>
      <w:tc>
        <w:tcPr>
          <w:tcW w:w="4247" w:type="dxa"/>
        </w:tcPr>
        <w:p w14:paraId="6C405EA3" w14:textId="77777777" w:rsidR="00D90098" w:rsidRDefault="00D90098" w:rsidP="00D90098">
          <w:pPr>
            <w:pStyle w:val="Voettekst"/>
            <w:jc w:val="right"/>
          </w:pPr>
        </w:p>
      </w:tc>
    </w:tr>
  </w:tbl>
  <w:p w14:paraId="6C405EA5"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0A42" w14:textId="3076F5BE" w:rsidR="00174FED" w:rsidRPr="00174FED" w:rsidRDefault="00174FED">
    <w:pPr>
      <w:pStyle w:val="Voettekst"/>
      <w:rPr>
        <w:rFonts w:ascii="Bembo" w:hAnsi="Bembo"/>
        <w:sz w:val="32"/>
      </w:rPr>
    </w:pPr>
    <w:r w:rsidRPr="00174FED">
      <w:rPr>
        <w:rFonts w:ascii="Bembo" w:hAnsi="Bembo"/>
        <w:sz w:val="32"/>
      </w:rPr>
      <w:t>AAN DE KONING</w:t>
    </w:r>
  </w:p>
  <w:p w14:paraId="31C5DFCE" w14:textId="77777777" w:rsidR="00174FED" w:rsidRDefault="00174FE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EF124" w14:textId="77777777" w:rsidR="0012160B" w:rsidRDefault="0012160B">
      <w:r>
        <w:separator/>
      </w:r>
    </w:p>
  </w:footnote>
  <w:footnote w:type="continuationSeparator" w:id="0">
    <w:p w14:paraId="532468BF" w14:textId="77777777" w:rsidR="0012160B" w:rsidRDefault="0012160B">
      <w:r>
        <w:continuationSeparator/>
      </w:r>
    </w:p>
  </w:footnote>
  <w:footnote w:type="continuationNotice" w:id="1">
    <w:p w14:paraId="616EA042" w14:textId="77777777" w:rsidR="0012160B" w:rsidRDefault="0012160B"/>
  </w:footnote>
  <w:footnote w:id="2">
    <w:p w14:paraId="0AD693B1" w14:textId="329764EC" w:rsidR="00B344D0" w:rsidRDefault="00B344D0" w:rsidP="00B344D0">
      <w:pPr>
        <w:pStyle w:val="Voetnoottekst"/>
      </w:pPr>
      <w:r>
        <w:rPr>
          <w:rStyle w:val="Voetnootmarkering"/>
        </w:rPr>
        <w:footnoteRef/>
      </w:r>
      <w:r>
        <w:t xml:space="preserve"> </w:t>
      </w:r>
      <w:hyperlink r:id="rId1" w:history="1">
        <w:r w:rsidRPr="001B641E">
          <w:rPr>
            <w:rStyle w:val="Hyperlink"/>
          </w:rPr>
          <w:t>Richtlijn (EU) 2019/997</w:t>
        </w:r>
      </w:hyperlink>
      <w:r w:rsidRPr="00931FFC">
        <w:t xml:space="preserve"> van de Raad van de Europese Unie van 18 juni 2019 tot vaststelling van een EU-noodreisdocument en tot intrekking van Besluit 96/409/GBVB (</w:t>
      </w:r>
      <w:proofErr w:type="spellStart"/>
      <w:r w:rsidRPr="00931FFC">
        <w:t>PbEU</w:t>
      </w:r>
      <w:proofErr w:type="spellEnd"/>
      <w:r w:rsidRPr="00931FFC">
        <w:t xml:space="preserve"> 2019, L 163)</w:t>
      </w:r>
      <w:r>
        <w:t>.</w:t>
      </w:r>
    </w:p>
  </w:footnote>
  <w:footnote w:id="3">
    <w:p w14:paraId="01BB2075" w14:textId="431E0E8C" w:rsidR="00157FDE" w:rsidRDefault="00157FDE" w:rsidP="00157FDE">
      <w:pPr>
        <w:pStyle w:val="Voetnoottekst"/>
      </w:pPr>
      <w:r>
        <w:rPr>
          <w:rStyle w:val="Voetnootmarkering"/>
        </w:rPr>
        <w:footnoteRef/>
      </w:r>
      <w:r>
        <w:t xml:space="preserve"> Niet vertegenwoordigd in de zin van artikel 6 </w:t>
      </w:r>
      <w:hyperlink r:id="rId2" w:history="1">
        <w:r w:rsidR="00053184" w:rsidRPr="00B46C17">
          <w:rPr>
            <w:rStyle w:val="Hyperlink"/>
          </w:rPr>
          <w:t>Richtlijn (EU) 2015/637</w:t>
        </w:r>
      </w:hyperlink>
      <w:r w:rsidR="009D27DE">
        <w:t xml:space="preserve"> </w:t>
      </w:r>
      <w:r w:rsidR="009D27DE" w:rsidRPr="009D27DE">
        <w:t>van de Raad van 20 april 2015 betreffende de coördinatie- en samenwerkingsmaatregelen ter vergemakkelijking van de consulaire bescherming van niet-vertegenwoordigde burgers van de Unie in derde landen en tot intrekking van Besluit 95/553/EG</w:t>
      </w:r>
      <w:r w:rsidR="00053184">
        <w:t xml:space="preserve">. </w:t>
      </w:r>
    </w:p>
  </w:footnote>
  <w:footnote w:id="4">
    <w:p w14:paraId="65E022E4" w14:textId="496E33F4" w:rsidR="0077547C" w:rsidRDefault="0077547C">
      <w:pPr>
        <w:pStyle w:val="Voetnoottekst"/>
      </w:pPr>
      <w:r>
        <w:rPr>
          <w:rStyle w:val="Voetnootmarkering"/>
        </w:rPr>
        <w:footnoteRef/>
      </w:r>
      <w:r>
        <w:t xml:space="preserve"> </w:t>
      </w:r>
      <w:r w:rsidR="00AE7E40">
        <w:t xml:space="preserve">Memorie van toelichting, Algemeen deel, 1. Inleiding. </w:t>
      </w:r>
    </w:p>
  </w:footnote>
  <w:footnote w:id="5">
    <w:p w14:paraId="693B3B5B" w14:textId="450E6650" w:rsidR="00C47093" w:rsidRDefault="00C47093">
      <w:pPr>
        <w:pStyle w:val="Voetnoottekst"/>
      </w:pPr>
      <w:r>
        <w:rPr>
          <w:rStyle w:val="Voetnootmarkering"/>
        </w:rPr>
        <w:footnoteRef/>
      </w:r>
      <w:r>
        <w:t xml:space="preserve"> Memorie van toelichting, Algemeen deel, 3. Verhouding tot hoger recht en nationale regelgeving. </w:t>
      </w:r>
    </w:p>
  </w:footnote>
  <w:footnote w:id="6">
    <w:p w14:paraId="28B5F686" w14:textId="13895E73" w:rsidR="004E4A5B" w:rsidRDefault="004E4A5B">
      <w:pPr>
        <w:pStyle w:val="Voetnoottekst"/>
      </w:pPr>
      <w:r>
        <w:rPr>
          <w:rStyle w:val="Voetnootmarkering"/>
        </w:rPr>
        <w:footnoteRef/>
      </w:r>
      <w:r>
        <w:t xml:space="preserve"> Artikel 5, eerste lid, onder e, AVG. </w:t>
      </w:r>
    </w:p>
  </w:footnote>
  <w:footnote w:id="7">
    <w:p w14:paraId="7EC5BF6C" w14:textId="77777777" w:rsidR="0068625B" w:rsidRDefault="0068625B" w:rsidP="0068625B">
      <w:pPr>
        <w:pStyle w:val="Voetnoottekst"/>
      </w:pPr>
      <w:r>
        <w:rPr>
          <w:rStyle w:val="Voetnootmarkering"/>
        </w:rPr>
        <w:footnoteRef/>
      </w:r>
      <w:r>
        <w:t xml:space="preserve"> Voorgesteld artikel 5b. </w:t>
      </w:r>
    </w:p>
  </w:footnote>
  <w:footnote w:id="8">
    <w:p w14:paraId="77FA25ED" w14:textId="2ACF92A6" w:rsidR="00FC6859" w:rsidRDefault="00FC6859">
      <w:pPr>
        <w:pStyle w:val="Voetnoottekst"/>
      </w:pPr>
      <w:r>
        <w:rPr>
          <w:rStyle w:val="Voetnootmarkering"/>
        </w:rPr>
        <w:footnoteRef/>
      </w:r>
      <w:r>
        <w:t xml:space="preserve"> Zie artikel </w:t>
      </w:r>
      <w:r w:rsidR="00CF4677">
        <w:t>2</w:t>
      </w:r>
      <w:r w:rsidR="00E2651A">
        <w:t xml:space="preserve"> EU-noodreisdocumentatierichtlijn</w:t>
      </w:r>
      <w:r>
        <w:t xml:space="preserve"> onder verwijzing naar artikel </w:t>
      </w:r>
      <w:r w:rsidRPr="00FC6859">
        <w:t>6 van Richtlijn (EU) 2015/637</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5E9F" w14:textId="77777777" w:rsidR="00631ADE" w:rsidRDefault="00631AD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5EA0" w14:textId="77777777" w:rsidR="00FA7BCD" w:rsidRDefault="00273CFB"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05EA6" w14:textId="77777777" w:rsidR="00DA0CDA" w:rsidRDefault="00273CFB"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6C405EA7" w14:textId="77777777" w:rsidR="00993C75" w:rsidRDefault="00273CFB">
    <w:pPr>
      <w:pStyle w:val="Koptekst"/>
    </w:pPr>
    <w:r>
      <w:rPr>
        <w:noProof/>
      </w:rPr>
      <w:drawing>
        <wp:anchor distT="0" distB="0" distL="114300" distR="114300" simplePos="0" relativeHeight="251658240" behindDoc="1" locked="0" layoutInCell="1" allowOverlap="1" wp14:anchorId="6C405EB2" wp14:editId="6C405EB3">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C2"/>
    <w:rsid w:val="000028EB"/>
    <w:rsid w:val="00017C54"/>
    <w:rsid w:val="00024A67"/>
    <w:rsid w:val="0002718D"/>
    <w:rsid w:val="0005272D"/>
    <w:rsid w:val="00053184"/>
    <w:rsid w:val="00070D20"/>
    <w:rsid w:val="000C2F17"/>
    <w:rsid w:val="000D60C2"/>
    <w:rsid w:val="000D79EA"/>
    <w:rsid w:val="000F69C7"/>
    <w:rsid w:val="000F78FE"/>
    <w:rsid w:val="00113061"/>
    <w:rsid w:val="0012160B"/>
    <w:rsid w:val="00130C55"/>
    <w:rsid w:val="00132825"/>
    <w:rsid w:val="00137B21"/>
    <w:rsid w:val="0014340F"/>
    <w:rsid w:val="00154831"/>
    <w:rsid w:val="00157FDE"/>
    <w:rsid w:val="001630D3"/>
    <w:rsid w:val="0016702B"/>
    <w:rsid w:val="00174FED"/>
    <w:rsid w:val="00191324"/>
    <w:rsid w:val="001978DD"/>
    <w:rsid w:val="001A0748"/>
    <w:rsid w:val="001B641E"/>
    <w:rsid w:val="001E188D"/>
    <w:rsid w:val="001F4164"/>
    <w:rsid w:val="00211C6C"/>
    <w:rsid w:val="00221979"/>
    <w:rsid w:val="00224722"/>
    <w:rsid w:val="002340D9"/>
    <w:rsid w:val="0026138D"/>
    <w:rsid w:val="00264EC2"/>
    <w:rsid w:val="002664C9"/>
    <w:rsid w:val="00272447"/>
    <w:rsid w:val="00273CFB"/>
    <w:rsid w:val="00275ACD"/>
    <w:rsid w:val="002820B0"/>
    <w:rsid w:val="00295675"/>
    <w:rsid w:val="002A2EE5"/>
    <w:rsid w:val="002A457C"/>
    <w:rsid w:val="002C04BE"/>
    <w:rsid w:val="002D4195"/>
    <w:rsid w:val="002D4CE7"/>
    <w:rsid w:val="002E06FE"/>
    <w:rsid w:val="002E52A3"/>
    <w:rsid w:val="002E7B8F"/>
    <w:rsid w:val="003016E8"/>
    <w:rsid w:val="00330298"/>
    <w:rsid w:val="00334329"/>
    <w:rsid w:val="00340737"/>
    <w:rsid w:val="00340F57"/>
    <w:rsid w:val="003435CC"/>
    <w:rsid w:val="0034534E"/>
    <w:rsid w:val="00345B7E"/>
    <w:rsid w:val="00350972"/>
    <w:rsid w:val="00371089"/>
    <w:rsid w:val="00373C81"/>
    <w:rsid w:val="0038786F"/>
    <w:rsid w:val="00395690"/>
    <w:rsid w:val="003963BE"/>
    <w:rsid w:val="00407A2F"/>
    <w:rsid w:val="00416E50"/>
    <w:rsid w:val="004228A1"/>
    <w:rsid w:val="00434795"/>
    <w:rsid w:val="004377CB"/>
    <w:rsid w:val="00452C69"/>
    <w:rsid w:val="004576C6"/>
    <w:rsid w:val="004576EB"/>
    <w:rsid w:val="0046391A"/>
    <w:rsid w:val="0046507C"/>
    <w:rsid w:val="004740DB"/>
    <w:rsid w:val="00496C48"/>
    <w:rsid w:val="004D2246"/>
    <w:rsid w:val="004D298C"/>
    <w:rsid w:val="004E4A49"/>
    <w:rsid w:val="004E4A5B"/>
    <w:rsid w:val="004F4DDA"/>
    <w:rsid w:val="00501C23"/>
    <w:rsid w:val="00502B5E"/>
    <w:rsid w:val="00513589"/>
    <w:rsid w:val="00515C2B"/>
    <w:rsid w:val="005231D4"/>
    <w:rsid w:val="005267F0"/>
    <w:rsid w:val="00551725"/>
    <w:rsid w:val="00553311"/>
    <w:rsid w:val="005546A2"/>
    <w:rsid w:val="00555FA9"/>
    <w:rsid w:val="005966F9"/>
    <w:rsid w:val="005D496D"/>
    <w:rsid w:val="005F056A"/>
    <w:rsid w:val="00600D61"/>
    <w:rsid w:val="00631082"/>
    <w:rsid w:val="00631ADE"/>
    <w:rsid w:val="00636F75"/>
    <w:rsid w:val="006515F3"/>
    <w:rsid w:val="00663A73"/>
    <w:rsid w:val="00667190"/>
    <w:rsid w:val="006819B8"/>
    <w:rsid w:val="00685251"/>
    <w:rsid w:val="0068625B"/>
    <w:rsid w:val="006A5B6B"/>
    <w:rsid w:val="006B5B95"/>
    <w:rsid w:val="006D08C2"/>
    <w:rsid w:val="006F784D"/>
    <w:rsid w:val="00710044"/>
    <w:rsid w:val="00733D5C"/>
    <w:rsid w:val="007517E8"/>
    <w:rsid w:val="00754BF3"/>
    <w:rsid w:val="00762CF7"/>
    <w:rsid w:val="0077547C"/>
    <w:rsid w:val="007A4B8D"/>
    <w:rsid w:val="007B2923"/>
    <w:rsid w:val="007C2C5F"/>
    <w:rsid w:val="007C79CC"/>
    <w:rsid w:val="007D6642"/>
    <w:rsid w:val="007F0642"/>
    <w:rsid w:val="00802560"/>
    <w:rsid w:val="00805938"/>
    <w:rsid w:val="00806C45"/>
    <w:rsid w:val="00810C86"/>
    <w:rsid w:val="008178F8"/>
    <w:rsid w:val="00840DEB"/>
    <w:rsid w:val="00865080"/>
    <w:rsid w:val="00867F4E"/>
    <w:rsid w:val="00886923"/>
    <w:rsid w:val="00894515"/>
    <w:rsid w:val="00897151"/>
    <w:rsid w:val="008A1BA2"/>
    <w:rsid w:val="008C6266"/>
    <w:rsid w:val="008D3664"/>
    <w:rsid w:val="008E443C"/>
    <w:rsid w:val="008F181B"/>
    <w:rsid w:val="00902D94"/>
    <w:rsid w:val="00921ADE"/>
    <w:rsid w:val="00924113"/>
    <w:rsid w:val="00931FFC"/>
    <w:rsid w:val="00993C75"/>
    <w:rsid w:val="009B2384"/>
    <w:rsid w:val="009B4A59"/>
    <w:rsid w:val="009D27DE"/>
    <w:rsid w:val="009E4035"/>
    <w:rsid w:val="00A11C90"/>
    <w:rsid w:val="00A276B0"/>
    <w:rsid w:val="00A31236"/>
    <w:rsid w:val="00A43856"/>
    <w:rsid w:val="00A577D0"/>
    <w:rsid w:val="00A926F8"/>
    <w:rsid w:val="00AB4B18"/>
    <w:rsid w:val="00AC76E0"/>
    <w:rsid w:val="00AE00D8"/>
    <w:rsid w:val="00AE7E40"/>
    <w:rsid w:val="00B07191"/>
    <w:rsid w:val="00B07F18"/>
    <w:rsid w:val="00B12397"/>
    <w:rsid w:val="00B344D0"/>
    <w:rsid w:val="00B463B3"/>
    <w:rsid w:val="00B46C17"/>
    <w:rsid w:val="00B5324D"/>
    <w:rsid w:val="00B54C23"/>
    <w:rsid w:val="00B62891"/>
    <w:rsid w:val="00B77605"/>
    <w:rsid w:val="00B906FE"/>
    <w:rsid w:val="00B91226"/>
    <w:rsid w:val="00BB11B5"/>
    <w:rsid w:val="00BC6B50"/>
    <w:rsid w:val="00BD66C4"/>
    <w:rsid w:val="00BF644A"/>
    <w:rsid w:val="00C00B76"/>
    <w:rsid w:val="00C47093"/>
    <w:rsid w:val="00C701A4"/>
    <w:rsid w:val="00C877A9"/>
    <w:rsid w:val="00C94A69"/>
    <w:rsid w:val="00CB1EBA"/>
    <w:rsid w:val="00CD29E5"/>
    <w:rsid w:val="00CD7D9B"/>
    <w:rsid w:val="00CF27F4"/>
    <w:rsid w:val="00CF4677"/>
    <w:rsid w:val="00D03DA7"/>
    <w:rsid w:val="00D10B9A"/>
    <w:rsid w:val="00D36652"/>
    <w:rsid w:val="00D5486F"/>
    <w:rsid w:val="00D5560A"/>
    <w:rsid w:val="00D653C0"/>
    <w:rsid w:val="00D72880"/>
    <w:rsid w:val="00D75D9B"/>
    <w:rsid w:val="00D865F7"/>
    <w:rsid w:val="00D90098"/>
    <w:rsid w:val="00D96B49"/>
    <w:rsid w:val="00D97F59"/>
    <w:rsid w:val="00DA0CDA"/>
    <w:rsid w:val="00DA1D5E"/>
    <w:rsid w:val="00DA4BF5"/>
    <w:rsid w:val="00DC087F"/>
    <w:rsid w:val="00DC2D00"/>
    <w:rsid w:val="00DD1B39"/>
    <w:rsid w:val="00DF1D2A"/>
    <w:rsid w:val="00DF353B"/>
    <w:rsid w:val="00E03DCD"/>
    <w:rsid w:val="00E12C65"/>
    <w:rsid w:val="00E2651A"/>
    <w:rsid w:val="00E26973"/>
    <w:rsid w:val="00E34E89"/>
    <w:rsid w:val="00E53AD7"/>
    <w:rsid w:val="00E7139A"/>
    <w:rsid w:val="00EA3956"/>
    <w:rsid w:val="00EA72F6"/>
    <w:rsid w:val="00ED4B61"/>
    <w:rsid w:val="00EE06BD"/>
    <w:rsid w:val="00EE0EF3"/>
    <w:rsid w:val="00EE546F"/>
    <w:rsid w:val="00EF55B1"/>
    <w:rsid w:val="00F11594"/>
    <w:rsid w:val="00F12747"/>
    <w:rsid w:val="00F23017"/>
    <w:rsid w:val="00F37E81"/>
    <w:rsid w:val="00F42EAE"/>
    <w:rsid w:val="00F75A2D"/>
    <w:rsid w:val="00F85DAA"/>
    <w:rsid w:val="00FA7BCD"/>
    <w:rsid w:val="00FC3A2F"/>
    <w:rsid w:val="00FC493B"/>
    <w:rsid w:val="00FC6859"/>
    <w:rsid w:val="00FC689E"/>
    <w:rsid w:val="00FD733C"/>
    <w:rsid w:val="00FE06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405E92"/>
  <w15:docId w15:val="{3219F69B-ACD1-4C0E-928C-9ACAD8A5B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921ADE"/>
    <w:rPr>
      <w:color w:val="666666"/>
    </w:rPr>
  </w:style>
  <w:style w:type="paragraph" w:styleId="Revisie">
    <w:name w:val="Revision"/>
    <w:hidden/>
    <w:uiPriority w:val="99"/>
    <w:semiHidden/>
    <w:rsid w:val="00921ADE"/>
    <w:rPr>
      <w:rFonts w:ascii="Univers" w:hAnsi="Univers"/>
      <w:sz w:val="22"/>
      <w:szCs w:val="24"/>
    </w:rPr>
  </w:style>
  <w:style w:type="paragraph" w:styleId="Voetnoottekst">
    <w:name w:val="footnote text"/>
    <w:basedOn w:val="Standaard"/>
    <w:link w:val="VoetnoottekstChar"/>
    <w:uiPriority w:val="99"/>
    <w:semiHidden/>
    <w:unhideWhenUsed/>
    <w:rsid w:val="00931FFC"/>
    <w:rPr>
      <w:sz w:val="20"/>
      <w:szCs w:val="20"/>
    </w:rPr>
  </w:style>
  <w:style w:type="character" w:customStyle="1" w:styleId="VoetnoottekstChar">
    <w:name w:val="Voetnoottekst Char"/>
    <w:basedOn w:val="Standaardalinea-lettertype"/>
    <w:link w:val="Voetnoottekst"/>
    <w:uiPriority w:val="99"/>
    <w:semiHidden/>
    <w:rsid w:val="00931FFC"/>
    <w:rPr>
      <w:rFonts w:ascii="Univers" w:hAnsi="Univers"/>
    </w:rPr>
  </w:style>
  <w:style w:type="character" w:styleId="Voetnootmarkering">
    <w:name w:val="footnote reference"/>
    <w:basedOn w:val="Standaardalinea-lettertype"/>
    <w:uiPriority w:val="99"/>
    <w:semiHidden/>
    <w:unhideWhenUsed/>
    <w:rsid w:val="00931FFC"/>
    <w:rPr>
      <w:vertAlign w:val="superscript"/>
    </w:rPr>
  </w:style>
  <w:style w:type="character" w:styleId="Hyperlink">
    <w:name w:val="Hyperlink"/>
    <w:basedOn w:val="Standaardalinea-lettertype"/>
    <w:uiPriority w:val="99"/>
    <w:unhideWhenUsed/>
    <w:rsid w:val="00B46C17"/>
    <w:rPr>
      <w:color w:val="0000FF" w:themeColor="hyperlink"/>
      <w:u w:val="single"/>
    </w:rPr>
  </w:style>
  <w:style w:type="character" w:styleId="Onopgelostemelding">
    <w:name w:val="Unresolved Mention"/>
    <w:basedOn w:val="Standaardalinea-lettertype"/>
    <w:uiPriority w:val="99"/>
    <w:rsid w:val="00B46C17"/>
    <w:rPr>
      <w:color w:val="605E5C"/>
      <w:shd w:val="clear" w:color="auto" w:fill="E1DFDD"/>
    </w:rPr>
  </w:style>
  <w:style w:type="paragraph" w:styleId="Lijstalinea">
    <w:name w:val="List Paragraph"/>
    <w:basedOn w:val="Standaard"/>
    <w:uiPriority w:val="34"/>
    <w:qFormat/>
    <w:rsid w:val="00502B5E"/>
    <w:pPr>
      <w:ind w:left="720"/>
      <w:contextualSpacing/>
    </w:pPr>
  </w:style>
  <w:style w:type="character" w:styleId="Verwijzingopmerking">
    <w:name w:val="annotation reference"/>
    <w:basedOn w:val="Standaardalinea-lettertype"/>
    <w:uiPriority w:val="99"/>
    <w:semiHidden/>
    <w:unhideWhenUsed/>
    <w:rsid w:val="004E4A5B"/>
    <w:rPr>
      <w:sz w:val="16"/>
      <w:szCs w:val="16"/>
    </w:rPr>
  </w:style>
  <w:style w:type="paragraph" w:styleId="Tekstopmerking">
    <w:name w:val="annotation text"/>
    <w:basedOn w:val="Standaard"/>
    <w:link w:val="TekstopmerkingChar"/>
    <w:uiPriority w:val="99"/>
    <w:unhideWhenUsed/>
    <w:rsid w:val="004E4A5B"/>
    <w:rPr>
      <w:sz w:val="20"/>
      <w:szCs w:val="20"/>
    </w:rPr>
  </w:style>
  <w:style w:type="character" w:customStyle="1" w:styleId="TekstopmerkingChar">
    <w:name w:val="Tekst opmerking Char"/>
    <w:basedOn w:val="Standaardalinea-lettertype"/>
    <w:link w:val="Tekstopmerking"/>
    <w:uiPriority w:val="99"/>
    <w:rsid w:val="004E4A5B"/>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4E4A5B"/>
    <w:rPr>
      <w:b/>
      <w:bCs/>
    </w:rPr>
  </w:style>
  <w:style w:type="character" w:customStyle="1" w:styleId="OnderwerpvanopmerkingChar">
    <w:name w:val="Onderwerp van opmerking Char"/>
    <w:basedOn w:val="TekstopmerkingChar"/>
    <w:link w:val="Onderwerpvanopmerking"/>
    <w:uiPriority w:val="99"/>
    <w:semiHidden/>
    <w:rsid w:val="004E4A5B"/>
    <w:rPr>
      <w:rFonts w:ascii="Univers" w:hAnsi="Univers"/>
      <w:b/>
      <w:bCs/>
    </w:rPr>
  </w:style>
  <w:style w:type="character" w:styleId="GevolgdeHyperlink">
    <w:name w:val="FollowedHyperlink"/>
    <w:basedOn w:val="Standaardalinea-lettertype"/>
    <w:uiPriority w:val="99"/>
    <w:semiHidden/>
    <w:unhideWhenUsed/>
    <w:rsid w:val="00CF27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footer" Target="footer3.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NL/TXT/PDF/?uri=CELEX:32015L0637" TargetMode="External"/><Relationship Id="rId1" Type="http://schemas.openxmlformats.org/officeDocument/2006/relationships/hyperlink" Target="https://eur-lex.europa.eu/legal-content/NL/TXT/PDF/?uri=CELEX:32019L099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FC3103C4-A37E-451F-A025-A3C65747EE1E}"/>
      </w:docPartPr>
      <w:docPartBody>
        <w:p w:rsidR="006D75B9" w:rsidRDefault="006D75B9">
          <w:r w:rsidRPr="00DC7BE2">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B9"/>
    <w:rsid w:val="00260117"/>
    <w:rsid w:val="006D75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6D75B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737</ap:Words>
  <ap:Characters>4583</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2024-10-16T08:54:00.0000000Z</dcterms:created>
  <dcterms:modified xsi:type="dcterms:W3CDTF">2024-10-16T08:54:00.0000000Z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Ja</vt:lpwstr>
  </property>
  <property fmtid="{D5CDD505-2E9C-101B-9397-08002B2CF9AE}" pid="4" name="zaaknummer">
    <vt:lpwstr>W02.24.00180/II/K</vt:lpwstr>
  </property>
  <property fmtid="{D5CDD505-2E9C-101B-9397-08002B2CF9AE}" pid="5" name="zaaktype">
    <vt:lpwstr>RWET</vt:lpwstr>
  </property>
  <property fmtid="{D5CDD505-2E9C-101B-9397-08002B2CF9AE}" pid="6" name="ContentTypeId">
    <vt:lpwstr>0x010100FA5A77795FEADA4EA51227303613444600ADF9AB0A1944C84D99AD686C9B3D3B49</vt:lpwstr>
  </property>
  <property fmtid="{D5CDD505-2E9C-101B-9397-08002B2CF9AE}" pid="7" name="Bestemming">
    <vt:lpwstr>2;#Corsa|a7721b99-8166-4953-a37e-7c8574fb4b8b</vt:lpwstr>
  </property>
  <property fmtid="{D5CDD505-2E9C-101B-9397-08002B2CF9AE}" pid="8" name="_dlc_DocIdItemGuid">
    <vt:lpwstr>65666067-4453-4095-a48e-5b3f43f0edae</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ies>
</file>