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2966" w:rsidR="00632966" w:rsidRDefault="00654F2F" w14:paraId="4CAA52A8" w14:textId="3E378961">
      <w:pPr>
        <w:rPr>
          <w:rFonts w:cstheme="minorHAnsi"/>
        </w:rPr>
      </w:pPr>
      <w:r w:rsidRPr="00632966">
        <w:rPr>
          <w:rFonts w:cstheme="minorHAnsi"/>
        </w:rPr>
        <w:t>32</w:t>
      </w:r>
      <w:r w:rsidRPr="00632966" w:rsidR="00632966">
        <w:rPr>
          <w:rFonts w:cstheme="minorHAnsi"/>
        </w:rPr>
        <w:t xml:space="preserve"> </w:t>
      </w:r>
      <w:r w:rsidRPr="00632966">
        <w:rPr>
          <w:rFonts w:cstheme="minorHAnsi"/>
        </w:rPr>
        <w:t>011</w:t>
      </w:r>
      <w:r w:rsidRPr="00632966" w:rsidR="00632966">
        <w:rPr>
          <w:rFonts w:cstheme="minorHAnsi"/>
        </w:rPr>
        <w:tab/>
      </w:r>
      <w:r w:rsidRPr="00632966" w:rsidR="00632966">
        <w:rPr>
          <w:rFonts w:cstheme="minorHAnsi"/>
        </w:rPr>
        <w:tab/>
        <w:t>Tabaksbeleid</w:t>
      </w:r>
    </w:p>
    <w:p w:rsidRPr="00632966" w:rsidR="00632966" w:rsidP="00D31852" w:rsidRDefault="00632966" w14:paraId="3718FE7B" w14:textId="77777777">
      <w:pPr>
        <w:rPr>
          <w:rFonts w:cstheme="minorHAnsi"/>
        </w:rPr>
      </w:pPr>
      <w:r w:rsidRPr="00632966">
        <w:rPr>
          <w:rFonts w:cstheme="minorHAnsi"/>
        </w:rPr>
        <w:t xml:space="preserve">Nr. </w:t>
      </w:r>
      <w:r w:rsidRPr="00632966" w:rsidR="00654F2F">
        <w:rPr>
          <w:rFonts w:cstheme="minorHAnsi"/>
        </w:rPr>
        <w:t>117</w:t>
      </w:r>
      <w:r w:rsidRPr="00632966">
        <w:rPr>
          <w:rFonts w:cstheme="minorHAnsi"/>
        </w:rPr>
        <w:tab/>
      </w:r>
      <w:r w:rsidRPr="00632966">
        <w:rPr>
          <w:rFonts w:cstheme="minorHAnsi"/>
        </w:rPr>
        <w:tab/>
        <w:t>Brief van de staatssecretaris van Volksgezondheid, Welzijn en Sport</w:t>
      </w:r>
    </w:p>
    <w:p w:rsidRPr="00632966" w:rsidR="00654F2F" w:rsidP="005724BB" w:rsidRDefault="00632966" w14:paraId="2BB8BA33" w14:textId="01BFFDCA">
      <w:pPr>
        <w:rPr>
          <w:rFonts w:cstheme="minorHAnsi"/>
        </w:rPr>
      </w:pPr>
      <w:r w:rsidRPr="00632966">
        <w:rPr>
          <w:rFonts w:cstheme="minorHAnsi"/>
        </w:rPr>
        <w:t>Aan de Voorzitter van de Tweede Kamer der Staten-Generaal</w:t>
      </w:r>
    </w:p>
    <w:p w:rsidRPr="00632966" w:rsidR="00632966" w:rsidP="005724BB" w:rsidRDefault="00632966" w14:paraId="3CAA54E1" w14:textId="7E1DF40C">
      <w:pPr>
        <w:rPr>
          <w:rFonts w:cstheme="minorHAnsi"/>
        </w:rPr>
      </w:pPr>
      <w:r w:rsidRPr="00632966">
        <w:rPr>
          <w:rFonts w:cstheme="minorHAnsi"/>
        </w:rPr>
        <w:t>Den Haag, 22 oktober 2024</w:t>
      </w:r>
    </w:p>
    <w:p w:rsidRPr="00632966" w:rsidR="00654F2F" w:rsidP="005724BB" w:rsidRDefault="00654F2F" w14:paraId="7723FD40" w14:textId="77777777">
      <w:pPr>
        <w:rPr>
          <w:rFonts w:cstheme="minorHAnsi"/>
        </w:rPr>
      </w:pPr>
    </w:p>
    <w:p w:rsidRPr="00632966" w:rsidR="005724BB" w:rsidP="005724BB" w:rsidRDefault="005724BB" w14:paraId="655E41D2" w14:textId="68CC0D38">
      <w:pPr>
        <w:rPr>
          <w:rFonts w:cstheme="minorHAnsi"/>
        </w:rPr>
      </w:pPr>
      <w:r w:rsidRPr="00632966">
        <w:rPr>
          <w:rFonts w:cstheme="minorHAnsi"/>
        </w:rPr>
        <w:t>Hierbij informeer ik uw Kamer over de herstelactie van de NVWA in het kader van de te hoog opgelegde boetes voor recidiverende overtreders van de Tabaks- en rookwarenwet (Trw).</w:t>
      </w:r>
    </w:p>
    <w:p w:rsidRPr="00632966" w:rsidR="005724BB" w:rsidP="005724BB" w:rsidRDefault="005724BB" w14:paraId="6C100CB9" w14:textId="77777777">
      <w:pPr>
        <w:rPr>
          <w:rFonts w:cstheme="minorHAnsi"/>
        </w:rPr>
      </w:pPr>
    </w:p>
    <w:p w:rsidRPr="00632966" w:rsidR="005724BB" w:rsidP="005724BB" w:rsidRDefault="005724BB" w14:paraId="3EC50394" w14:textId="77777777">
      <w:pPr>
        <w:rPr>
          <w:rFonts w:cstheme="minorHAnsi"/>
        </w:rPr>
      </w:pPr>
      <w:r w:rsidRPr="00632966">
        <w:rPr>
          <w:rFonts w:cstheme="minorHAnsi"/>
        </w:rPr>
        <w:t xml:space="preserve">De NVWA controleert of ondernemers zich aan de regels uit de Tabaks- en rookwarenwet (Trw) houden. Dit gebeurt door middel van risicogericht toezicht en door herinspecties bij ondernemers die eerder de wet hebben overtreden. Zo ook bij overtreders die in herhaling vervallen (recidivisten). Dit zijn ondernemers die twee of meer keren de wet hebben overtreden en die daardoor een hogere boete krijgen. De boetes die de NVWA aan hen oplegt, worden met iedere volgende overtreding verhoogd volgens de recidivebepalingen uit de Trw. </w:t>
      </w:r>
    </w:p>
    <w:p w:rsidRPr="00632966" w:rsidR="005724BB" w:rsidP="005724BB" w:rsidRDefault="005724BB" w14:paraId="27270DAC" w14:textId="77777777">
      <w:pPr>
        <w:rPr>
          <w:rFonts w:cstheme="minorHAnsi"/>
        </w:rPr>
      </w:pPr>
      <w:r w:rsidRPr="00632966">
        <w:rPr>
          <w:rFonts w:cstheme="minorHAnsi"/>
        </w:rPr>
        <w:t xml:space="preserve">Uit intern onderzoek van de NVWA is gebleken dat deze bepalingen niet in alle situaties op eenzelfde, eenduidige manier zijn toegepast. Hierdoor hebben deze overtreders van de Trw mogelijk in maximaal de helft van de gevallen een te hoge boete gekregen. De NVWA zal vanuit het oogpunt van zorgvuldigheid en de menselijke maat spoedig overgaan tot een herstelactie van de te hoog opgelegde boetebedragen over de afgelopen twee jaar. Hierdoor zal een deel van de 1900 ondernemers die tijdens deze periode twee of meer keren de wet hebben overtreden, geld terugkrijgen van de NVWA. Hiermee sluit de NVWA aan bij de rechtsontwikkeling van de afgelopen jaren rond het door bestuursorganen herzien van besluiten die weliswaar definitief vaststaan maar evident onjuist zijn. De herstelactie heeft naar verwachting betrekking op 1500 tot 1800 boetezaken waarbij de te hoog opgelegde bedragen voor het overgrote deel variëren van enkele honderden euro’s tot 3560 euro. </w:t>
      </w:r>
    </w:p>
    <w:p w:rsidRPr="00632966" w:rsidR="005724BB" w:rsidP="005724BB" w:rsidRDefault="005724BB" w14:paraId="3E3C1ECD" w14:textId="77777777">
      <w:pPr>
        <w:rPr>
          <w:rFonts w:cstheme="minorHAnsi"/>
        </w:rPr>
      </w:pPr>
      <w:r w:rsidRPr="00632966">
        <w:rPr>
          <w:rFonts w:cstheme="minorHAnsi"/>
        </w:rPr>
        <w:t>De ondernemers met een te hoge boete ontvangen van de NVWA het te veel betaalde boetebedrag met wettelijke rente retour. Zij hoeven geen actie te ondernemen om hiervoor in aanmerking te komen. </w:t>
      </w:r>
    </w:p>
    <w:p w:rsidRPr="00632966" w:rsidR="005724BB" w:rsidP="005724BB" w:rsidRDefault="005724BB" w14:paraId="23768700" w14:textId="77777777">
      <w:pPr>
        <w:spacing w:line="240" w:lineRule="auto"/>
        <w:rPr>
          <w:rFonts w:cstheme="minorHAnsi"/>
          <w:noProof/>
        </w:rPr>
      </w:pPr>
    </w:p>
    <w:p w:rsidRPr="00632966" w:rsidR="005724BB" w:rsidP="00632966" w:rsidRDefault="00632966" w14:paraId="03999C56" w14:textId="1E62C70E">
      <w:pPr>
        <w:pStyle w:val="Geenafstand"/>
        <w:rPr>
          <w:rFonts w:cstheme="minorHAnsi"/>
        </w:rPr>
      </w:pPr>
      <w:r w:rsidRPr="00632966">
        <w:rPr>
          <w:rFonts w:eastAsia="SimSun" w:cstheme="minorHAnsi"/>
        </w:rPr>
        <w:t>D</w:t>
      </w:r>
      <w:r w:rsidRPr="00632966" w:rsidR="005724BB">
        <w:rPr>
          <w:rFonts w:eastAsia="SimSun" w:cstheme="minorHAnsi"/>
        </w:rPr>
        <w:t xml:space="preserve">e </w:t>
      </w:r>
      <w:r w:rsidRPr="00632966">
        <w:rPr>
          <w:rFonts w:cstheme="minorHAnsi"/>
        </w:rPr>
        <w:t>staatssecretaris van Volksgezondheid, Welzijn en Sport</w:t>
      </w:r>
      <w:r w:rsidRPr="00632966" w:rsidR="005724BB">
        <w:rPr>
          <w:rFonts w:eastAsia="SimSun" w:cstheme="minorHAnsi"/>
        </w:rPr>
        <w:t>,</w:t>
      </w:r>
    </w:p>
    <w:p w:rsidRPr="00632966" w:rsidR="005724BB" w:rsidP="00632966" w:rsidRDefault="005724BB" w14:paraId="2446691A" w14:textId="59291335">
      <w:pPr>
        <w:pStyle w:val="Geenafstand"/>
        <w:rPr>
          <w:rFonts w:cstheme="minorHAnsi"/>
        </w:rPr>
      </w:pPr>
      <w:r w:rsidRPr="00632966">
        <w:rPr>
          <w:rFonts w:cstheme="minorHAnsi"/>
        </w:rPr>
        <w:t>V</w:t>
      </w:r>
      <w:r w:rsidRPr="00632966" w:rsidR="00632966">
        <w:rPr>
          <w:rFonts w:cstheme="minorHAnsi"/>
        </w:rPr>
        <w:t>.P.G.</w:t>
      </w:r>
      <w:r w:rsidRPr="00632966">
        <w:rPr>
          <w:rFonts w:cstheme="minorHAnsi"/>
        </w:rPr>
        <w:t xml:space="preserve"> Karremans</w:t>
      </w:r>
    </w:p>
    <w:p w:rsidRPr="00632966" w:rsidR="00B03D55" w:rsidRDefault="00B03D55" w14:paraId="38382E81" w14:textId="77777777">
      <w:pPr>
        <w:rPr>
          <w:rFonts w:cstheme="minorHAnsi"/>
        </w:rPr>
      </w:pPr>
    </w:p>
    <w:sectPr w:rsidRPr="00632966" w:rsidR="00B03D55" w:rsidSect="005724BB">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7E05" w14:textId="77777777" w:rsidR="005724BB" w:rsidRDefault="005724BB" w:rsidP="005724BB">
      <w:pPr>
        <w:spacing w:after="0" w:line="240" w:lineRule="auto"/>
      </w:pPr>
      <w:r>
        <w:separator/>
      </w:r>
    </w:p>
  </w:endnote>
  <w:endnote w:type="continuationSeparator" w:id="0">
    <w:p w14:paraId="2FFB85BB" w14:textId="77777777" w:rsidR="005724BB" w:rsidRDefault="005724BB" w:rsidP="00572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90A4" w14:textId="77777777" w:rsidR="005724BB" w:rsidRPr="005724BB" w:rsidRDefault="005724BB" w:rsidP="005724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6763" w14:textId="77777777" w:rsidR="005724BB" w:rsidRPr="005724BB" w:rsidRDefault="005724BB" w:rsidP="005724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4F8B" w14:textId="77777777" w:rsidR="005724BB" w:rsidRPr="005724BB" w:rsidRDefault="005724BB" w:rsidP="005724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C976" w14:textId="77777777" w:rsidR="005724BB" w:rsidRDefault="005724BB" w:rsidP="005724BB">
      <w:pPr>
        <w:spacing w:after="0" w:line="240" w:lineRule="auto"/>
      </w:pPr>
      <w:r>
        <w:separator/>
      </w:r>
    </w:p>
  </w:footnote>
  <w:footnote w:type="continuationSeparator" w:id="0">
    <w:p w14:paraId="327986AD" w14:textId="77777777" w:rsidR="005724BB" w:rsidRDefault="005724BB" w:rsidP="00572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8F3B" w14:textId="77777777" w:rsidR="005724BB" w:rsidRPr="005724BB" w:rsidRDefault="005724BB" w:rsidP="005724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6AC0" w14:textId="77777777" w:rsidR="00654F2F" w:rsidRPr="005724BB" w:rsidRDefault="00654F2F" w:rsidP="005724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2274" w14:textId="77777777" w:rsidR="00654F2F" w:rsidRPr="005724BB" w:rsidRDefault="00654F2F" w:rsidP="005724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BB"/>
    <w:rsid w:val="005724BB"/>
    <w:rsid w:val="00632966"/>
    <w:rsid w:val="00654F2F"/>
    <w:rsid w:val="009066EB"/>
    <w:rsid w:val="00B03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74CCD"/>
  <w15:chartTrackingRefBased/>
  <w15:docId w15:val="{F64B08FC-BBAC-4479-A0F2-A48EC818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5724BB"/>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5724BB"/>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5724BB"/>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5724BB"/>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5724BB"/>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5724BB"/>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5724BB"/>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5724BB"/>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724B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724BB"/>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5724BB"/>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5724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24BB"/>
  </w:style>
  <w:style w:type="paragraph" w:styleId="Geenafstand">
    <w:name w:val="No Spacing"/>
    <w:uiPriority w:val="1"/>
    <w:qFormat/>
    <w:rsid w:val="006329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326</ap:Words>
  <ap:Characters>1799</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2024-10-23T11:26:00.0000000Z</dcterms:created>
  <dcterms:modified xsi:type="dcterms:W3CDTF">2024-10-23T11:26:00.0000000Z</dcterms:modified>
  <version/>
  <category/>
</coreProperties>
</file>