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822CA" w:rsidR="00340ECA" w:rsidP="002822CA" w:rsidRDefault="00410BEA" w14:paraId="44810767" w14:textId="2207F5A7">
      <w:r>
        <w:t>Geachte Voorzitter,</w:t>
      </w:r>
    </w:p>
    <w:p w:rsidR="00A50CF6" w:rsidP="00810C93" w:rsidRDefault="00560607" w14:paraId="0563AA00" w14:textId="00D2CA04">
      <w:r>
        <w:br/>
      </w:r>
      <w:r w:rsidR="00896094">
        <w:t>Met deze brief informe</w:t>
      </w:r>
      <w:r w:rsidR="002D14D3">
        <w:t>ren</w:t>
      </w:r>
      <w:r w:rsidR="00896094">
        <w:t xml:space="preserve"> </w:t>
      </w:r>
      <w:r w:rsidR="002D14D3">
        <w:t xml:space="preserve">wij </w:t>
      </w:r>
      <w:r w:rsidR="00896094">
        <w:t>u</w:t>
      </w:r>
      <w:r w:rsidRPr="00827E24" w:rsidR="00DC5146">
        <w:t xml:space="preserve">, mede namens </w:t>
      </w:r>
      <w:r w:rsidRPr="00827E24" w:rsidR="00D45A45">
        <w:t>de Minister van Buitenlandse Zaken</w:t>
      </w:r>
      <w:r w:rsidRPr="00827E24" w:rsidR="003F205D">
        <w:t xml:space="preserve"> </w:t>
      </w:r>
      <w:r w:rsidRPr="00827E24" w:rsidR="00896094">
        <w:t xml:space="preserve">over </w:t>
      </w:r>
      <w:r w:rsidRPr="00827E24" w:rsidR="00DC5146">
        <w:t xml:space="preserve">een </w:t>
      </w:r>
      <w:r w:rsidRPr="00827E24" w:rsidR="00896094">
        <w:t>internationale a</w:t>
      </w:r>
      <w:r w:rsidR="00896094">
        <w:t xml:space="preserve">rbitrage </w:t>
      </w:r>
      <w:r w:rsidR="00DC5146">
        <w:t>d</w:t>
      </w:r>
      <w:r w:rsidR="005B6E6A">
        <w:t>ie</w:t>
      </w:r>
      <w:r w:rsidR="00DC5146">
        <w:t xml:space="preserve"> d</w:t>
      </w:r>
      <w:r w:rsidR="00896094">
        <w:t xml:space="preserve">oor </w:t>
      </w:r>
      <w:proofErr w:type="spellStart"/>
      <w:r w:rsidR="00896094">
        <w:t>ExxonMobil</w:t>
      </w:r>
      <w:proofErr w:type="spellEnd"/>
      <w:r w:rsidR="00896094">
        <w:t xml:space="preserve"> </w:t>
      </w:r>
      <w:r w:rsidR="003438C8">
        <w:t xml:space="preserve">Petroleum &amp; Chemical BV, gevestigd te België, (hierna: Exxon </w:t>
      </w:r>
      <w:bookmarkStart w:name="_Hlk179211803" w:id="0"/>
      <w:r w:rsidR="003438C8">
        <w:t>België</w:t>
      </w:r>
      <w:bookmarkEnd w:id="0"/>
      <w:r w:rsidR="003438C8">
        <w:t xml:space="preserve">) </w:t>
      </w:r>
      <w:r w:rsidR="00DC5146">
        <w:t xml:space="preserve">op 30 september jl. bij het International Centre </w:t>
      </w:r>
      <w:proofErr w:type="spellStart"/>
      <w:r w:rsidR="00DC5146">
        <w:t>for</w:t>
      </w:r>
      <w:proofErr w:type="spellEnd"/>
      <w:r w:rsidR="00DC5146">
        <w:t xml:space="preserve"> </w:t>
      </w:r>
      <w:proofErr w:type="spellStart"/>
      <w:r w:rsidR="00DC5146">
        <w:t>Settlement</w:t>
      </w:r>
      <w:proofErr w:type="spellEnd"/>
      <w:r w:rsidR="00DC5146">
        <w:t xml:space="preserve"> of Investment </w:t>
      </w:r>
      <w:proofErr w:type="spellStart"/>
      <w:r w:rsidR="00DC5146">
        <w:t>Disputes</w:t>
      </w:r>
      <w:proofErr w:type="spellEnd"/>
      <w:r w:rsidR="00DC5146">
        <w:t xml:space="preserve"> (ICSID) </w:t>
      </w:r>
      <w:r w:rsidR="003438C8">
        <w:t xml:space="preserve">is </w:t>
      </w:r>
      <w:r w:rsidR="00DC5146">
        <w:t>ingediend. Dit betreft een formele investeerder-staat geschillenbeslechtingsprocedure t</w:t>
      </w:r>
      <w:r w:rsidR="003438C8">
        <w:t xml:space="preserve">egen de Nederlandse Staat. </w:t>
      </w:r>
      <w:r w:rsidR="008E43F3">
        <w:t>De</w:t>
      </w:r>
      <w:r w:rsidR="005B6E6A">
        <w:t xml:space="preserve"> Kamer is eerder over deze procedure geïnformeerd in de Kamerbrief van </w:t>
      </w:r>
      <w:r w:rsidR="003F205D">
        <w:t xml:space="preserve">9 oktober jl. </w:t>
      </w:r>
      <w:r w:rsidR="005B6E6A">
        <w:t xml:space="preserve">over de stand van zaken van de procedures tussen de Staat, NAM, Shell en </w:t>
      </w:r>
      <w:proofErr w:type="spellStart"/>
      <w:r w:rsidR="005B6E6A">
        <w:t>ExxonMobil</w:t>
      </w:r>
      <w:proofErr w:type="spellEnd"/>
      <w:r w:rsidR="002D14D3">
        <w:t xml:space="preserve"> (</w:t>
      </w:r>
      <w:r w:rsidRPr="006B436A" w:rsidR="008E43F3">
        <w:rPr>
          <w:szCs w:val="18"/>
        </w:rPr>
        <w:t>33</w:t>
      </w:r>
      <w:r w:rsidR="008E43F3">
        <w:rPr>
          <w:szCs w:val="18"/>
        </w:rPr>
        <w:t>.</w:t>
      </w:r>
      <w:r w:rsidRPr="006B436A" w:rsidR="008E43F3">
        <w:rPr>
          <w:szCs w:val="18"/>
        </w:rPr>
        <w:t>529</w:t>
      </w:r>
      <w:r w:rsidR="008E43F3">
        <w:rPr>
          <w:szCs w:val="18"/>
        </w:rPr>
        <w:t>, nr. 1260</w:t>
      </w:r>
      <w:r w:rsidR="002D14D3">
        <w:t>)</w:t>
      </w:r>
      <w:r w:rsidR="005B6E6A">
        <w:t xml:space="preserve">. </w:t>
      </w:r>
      <w:r w:rsidR="003438C8">
        <w:br/>
      </w:r>
      <w:r w:rsidR="003438C8">
        <w:br/>
        <w:t xml:space="preserve">De start van deze juridische procedure door Exxon België komt als een verrassing. </w:t>
      </w:r>
      <w:r w:rsidR="003438C8">
        <w:br/>
        <w:t xml:space="preserve">Deze partij claimt indirect aandeelhouder van NAM te zijn en beroept zich als investeerder in NAM op de investeringsbescherming onder het </w:t>
      </w:r>
      <w:r w:rsidR="003F205D">
        <w:t xml:space="preserve">Verdrag inzake het </w:t>
      </w:r>
      <w:r w:rsidR="003438C8">
        <w:t>Energiehandvest (</w:t>
      </w:r>
      <w:r w:rsidR="005B6E6A">
        <w:t xml:space="preserve">in het Engels: Energy Charter </w:t>
      </w:r>
      <w:proofErr w:type="spellStart"/>
      <w:r w:rsidR="005B6E6A">
        <w:t>Treaty</w:t>
      </w:r>
      <w:proofErr w:type="spellEnd"/>
      <w:r w:rsidR="005B6E6A">
        <w:t xml:space="preserve"> en </w:t>
      </w:r>
      <w:r w:rsidR="003438C8">
        <w:t xml:space="preserve">hierna: ECT). </w:t>
      </w:r>
      <w:r w:rsidR="003438C8">
        <w:br/>
      </w:r>
      <w:r w:rsidR="003438C8">
        <w:br/>
      </w:r>
      <w:r w:rsidR="005B6E6A">
        <w:t xml:space="preserve">De aanvraag </w:t>
      </w:r>
      <w:r w:rsidR="003438C8">
        <w:t>tot arbitrage is ingeluid met een zogenaamde ‘</w:t>
      </w:r>
      <w:proofErr w:type="spellStart"/>
      <w:r w:rsidR="003438C8">
        <w:t>notice</w:t>
      </w:r>
      <w:proofErr w:type="spellEnd"/>
      <w:r w:rsidR="003438C8">
        <w:t xml:space="preserve"> of </w:t>
      </w:r>
      <w:proofErr w:type="spellStart"/>
      <w:r w:rsidR="003438C8">
        <w:t>dispute</w:t>
      </w:r>
      <w:proofErr w:type="spellEnd"/>
      <w:r w:rsidR="003438C8">
        <w:t xml:space="preserve">’, die op 1 juli jl. door </w:t>
      </w:r>
      <w:r w:rsidR="004124AD">
        <w:t>de Staat</w:t>
      </w:r>
      <w:r w:rsidR="003438C8">
        <w:t xml:space="preserve"> is ontvangen. In deze brief gaf Exxon België aan bereid te zijn om een internationale arbitrageprocedure te starten vanwege schade die zij meent te lijden door niet nakoming van de Staat van het Akkoord op Hoofdlijnen, gesloten met de direct</w:t>
      </w:r>
      <w:r w:rsidR="00DA5DED">
        <w:t>e</w:t>
      </w:r>
      <w:r w:rsidR="003438C8">
        <w:t xml:space="preserve"> aandeelhouders van NAM. </w:t>
      </w:r>
      <w:r w:rsidR="003438C8">
        <w:br/>
        <w:t>Een dergelijke procedure dient ingevolge artikel 26</w:t>
      </w:r>
      <w:r w:rsidR="00DA5DED">
        <w:t xml:space="preserve">, eerste lid en tweede lid, </w:t>
      </w:r>
      <w:r w:rsidR="003438C8">
        <w:t xml:space="preserve">van het ECT te worden ingeluid met een zogenaamde ‘afkoelingsperiode’ van ten minste </w:t>
      </w:r>
      <w:r w:rsidR="00317489">
        <w:t>90 dagen</w:t>
      </w:r>
      <w:r w:rsidR="003438C8">
        <w:t>. In deze periode moeten een investeerder en een staat</w:t>
      </w:r>
      <w:r w:rsidR="00DC5146">
        <w:t xml:space="preserve"> proberen om</w:t>
      </w:r>
      <w:r w:rsidR="003438C8">
        <w:t xml:space="preserve">, bij een beweerde niet-nakoming van een verplichting </w:t>
      </w:r>
      <w:r w:rsidR="00DA5DED">
        <w:t xml:space="preserve">onder het ECT </w:t>
      </w:r>
      <w:r w:rsidR="003438C8">
        <w:t xml:space="preserve">door een staat, </w:t>
      </w:r>
      <w:r w:rsidR="005B6E6A">
        <w:t xml:space="preserve">hun geschil </w:t>
      </w:r>
      <w:r w:rsidR="00DC5146">
        <w:t xml:space="preserve">zo mogelijk door middel van een minnelijke schikking </w:t>
      </w:r>
      <w:r w:rsidR="003438C8">
        <w:t xml:space="preserve">in onderling overleg op te lossen. Er heeft hierover slechts </w:t>
      </w:r>
      <w:r w:rsidR="00441ABE">
        <w:t>éé</w:t>
      </w:r>
      <w:r w:rsidR="003438C8">
        <w:t>n gesprek plaatsgevonden, dat geen resultaat heeft opgeleverd</w:t>
      </w:r>
      <w:r w:rsidR="00E8298D">
        <w:t xml:space="preserve">. </w:t>
      </w:r>
      <w:r w:rsidR="00E8298D">
        <w:br/>
      </w:r>
      <w:r w:rsidR="00E8298D">
        <w:br/>
        <w:t xml:space="preserve">In dit gesprek is door </w:t>
      </w:r>
      <w:r w:rsidR="004124AD">
        <w:t>de Staat</w:t>
      </w:r>
      <w:r w:rsidR="00E8298D">
        <w:t xml:space="preserve"> aangegeven dat er reeds drie arbitrage procedures lopen met NAM en haar aandeelhouders over hetzelfde onderwerp en dat onduidelijk is welke rol Exxon België speelt in dit kader aangezien tot op heden alle gesprekken met contactpersonen van </w:t>
      </w:r>
      <w:proofErr w:type="spellStart"/>
      <w:r w:rsidR="00E8298D">
        <w:t>ExxonMobil</w:t>
      </w:r>
      <w:proofErr w:type="spellEnd"/>
      <w:r w:rsidR="00E8298D">
        <w:t xml:space="preserve"> Nederland hebben plaatsgevonden. De Staat heeft in dat kader om verduidelijking gevraagd, maar deze niet gekregen. </w:t>
      </w:r>
      <w:r w:rsidR="005B6E6A">
        <w:t>In plaats daarvan ontving de Staat de aankondiging dat de arbitrage procedure was ingediend bij ICSID.</w:t>
      </w:r>
      <w:r w:rsidR="00E8298D">
        <w:br/>
      </w:r>
      <w:r w:rsidR="00E8298D">
        <w:br/>
      </w:r>
      <w:r w:rsidR="00DC5146">
        <w:t xml:space="preserve">Ten aanzien van de gekozen procedure </w:t>
      </w:r>
      <w:r w:rsidR="00BF2977">
        <w:t>is relevant</w:t>
      </w:r>
      <w:r w:rsidR="00DC5146">
        <w:t xml:space="preserve"> dat de Nederlandse Staat zich al eerder op het standpunt heeft gesteld dat</w:t>
      </w:r>
      <w:r w:rsidR="005B6E6A">
        <w:t>,</w:t>
      </w:r>
      <w:r w:rsidR="00DC5146">
        <w:t xml:space="preserve"> gelet op de jurisprudentie van het Hof van Justitie van de Europese Unie</w:t>
      </w:r>
      <w:r w:rsidR="005B6E6A">
        <w:t>,</w:t>
      </w:r>
      <w:r w:rsidR="00DC5146">
        <w:t xml:space="preserve"> </w:t>
      </w:r>
      <w:r w:rsidR="00034768">
        <w:t xml:space="preserve">een </w:t>
      </w:r>
      <w:r w:rsidR="00DC5146">
        <w:t>arbitrage procedure</w:t>
      </w:r>
      <w:r w:rsidR="00DA5DED">
        <w:t xml:space="preserve"> tussen een investeerder van een EU-lidstaat en een EU-lidstaat – ook onder het ECT – </w:t>
      </w:r>
      <w:r w:rsidR="00DC5146">
        <w:t xml:space="preserve">in strijd is met Europees recht. </w:t>
      </w:r>
      <w:r w:rsidR="00DA5DED">
        <w:t xml:space="preserve">De EU-lidstaten en de Europese Commissie hebben bovendien over een (juridisch bindende) overeenkomst onderhandeld betreffende de </w:t>
      </w:r>
      <w:proofErr w:type="spellStart"/>
      <w:r w:rsidR="00DA5DED">
        <w:t>interpratie</w:t>
      </w:r>
      <w:proofErr w:type="spellEnd"/>
      <w:r w:rsidR="00DA5DED">
        <w:t xml:space="preserve"> en toepassing van het ECT, waarin partijen hun gemeenschappelijke interpretatie bevestigen dat de arbitrageclausule als vervat in het ECT niet van toepassing is en nooit had mogen worden toegepast als basis voor intra-EU arbitrageprocedures. Daarnaast is door de EU en de lidstaten, waaronder Nederland en België, een interpretatieve verklaring afgelegd op 26 juni jl. waarin deze gemeenschappelijke interpretatie van de EU en de lidstaten is vastgelegd. </w:t>
      </w:r>
      <w:r w:rsidR="00DA5DED">
        <w:br/>
      </w:r>
      <w:r w:rsidR="00DA5DED">
        <w:br/>
      </w:r>
      <w:r w:rsidR="003068DE">
        <w:t>In dat kader wij</w:t>
      </w:r>
      <w:r w:rsidR="00317489">
        <w:t>zen wij</w:t>
      </w:r>
      <w:r w:rsidR="003068DE">
        <w:t xml:space="preserve"> ook op het feit dat </w:t>
      </w:r>
      <w:r w:rsidR="00D52A62">
        <w:t xml:space="preserve">Nederland het ECT heeft opgezegd en dat </w:t>
      </w:r>
      <w:r w:rsidR="000F6D09">
        <w:t xml:space="preserve">het ECT op 28 juni 2025 </w:t>
      </w:r>
      <w:r w:rsidR="00DA5DED">
        <w:t xml:space="preserve">voor Nederland </w:t>
      </w:r>
      <w:r w:rsidR="000F6D09">
        <w:t>buiten werking zal treden</w:t>
      </w:r>
      <w:r w:rsidR="00D52A62">
        <w:t xml:space="preserve">. </w:t>
      </w:r>
      <w:r w:rsidR="00DA5DED">
        <w:t xml:space="preserve">Onder de </w:t>
      </w:r>
      <w:proofErr w:type="spellStart"/>
      <w:r w:rsidR="00DA5DED">
        <w:t>sunsetclausule</w:t>
      </w:r>
      <w:proofErr w:type="spellEnd"/>
      <w:r w:rsidR="00DA5DED">
        <w:t xml:space="preserve"> zal het verdrag nog 20 jaar in werking zijn voor investeringen die reeds bestonden voor 28 juni 2025. </w:t>
      </w:r>
      <w:r w:rsidR="00DA5DED">
        <w:br/>
      </w:r>
      <w:r w:rsidR="00E8298D">
        <w:br/>
        <w:t xml:space="preserve">De Nederlandse Staat bereidt zich </w:t>
      </w:r>
      <w:r w:rsidR="005B6E6A">
        <w:t xml:space="preserve">desalniettemin </w:t>
      </w:r>
      <w:r w:rsidR="00E8298D">
        <w:t xml:space="preserve">voor op het voeren van </w:t>
      </w:r>
      <w:r w:rsidR="00DC5146">
        <w:t>deze internationale arbitrage</w:t>
      </w:r>
      <w:r w:rsidR="00E8298D">
        <w:t>procedure</w:t>
      </w:r>
      <w:r w:rsidR="00DA5DED">
        <w:t xml:space="preserve"> parallel aan de al lopende </w:t>
      </w:r>
      <w:r w:rsidRPr="00317489" w:rsidR="00317489">
        <w:t>Nederlands Arbitrage Instituut</w:t>
      </w:r>
      <w:r w:rsidR="00317489">
        <w:t xml:space="preserve"> (</w:t>
      </w:r>
      <w:r w:rsidR="00DA5DED">
        <w:t>NAI</w:t>
      </w:r>
      <w:r w:rsidR="00317489">
        <w:t>)</w:t>
      </w:r>
      <w:r w:rsidR="00DA5DED">
        <w:t>-arbitrage procedures</w:t>
      </w:r>
      <w:r w:rsidR="00E8298D">
        <w:t xml:space="preserve">. </w:t>
      </w:r>
      <w:r w:rsidR="00DC5146">
        <w:t xml:space="preserve">Daarbij zal allereerst </w:t>
      </w:r>
      <w:r w:rsidR="00DA5DED">
        <w:t xml:space="preserve">ten aanzien van </w:t>
      </w:r>
      <w:r w:rsidR="00DC5146">
        <w:t>de bevoegdheid van het tribunaal verweer gevoerd worden. Deze procedure zal zo transparant m</w:t>
      </w:r>
      <w:r w:rsidR="00034768">
        <w:t>o</w:t>
      </w:r>
      <w:r w:rsidR="00DC5146">
        <w:t>gelijk worden gevoerd</w:t>
      </w:r>
      <w:r w:rsidR="006B3BAD">
        <w:t xml:space="preserve">. Daarbij dient rekening gehouden te worden met zowel het vertrouwelijke karakter van dergelijke </w:t>
      </w:r>
      <w:proofErr w:type="spellStart"/>
      <w:r w:rsidR="006B3BAD">
        <w:t>arbitrages</w:t>
      </w:r>
      <w:proofErr w:type="spellEnd"/>
      <w:r w:rsidR="006B3BAD">
        <w:t>, alsook met het beschermen van de procespositie van de Staat.</w:t>
      </w:r>
      <w:r w:rsidR="000F6D09">
        <w:t xml:space="preserve"> </w:t>
      </w:r>
      <w:r w:rsidR="006B3BAD">
        <w:t xml:space="preserve">Wij zullen </w:t>
      </w:r>
      <w:r w:rsidR="00BF2977">
        <w:t>de</w:t>
      </w:r>
      <w:r w:rsidR="005B6E6A">
        <w:t xml:space="preserve"> Kamer </w:t>
      </w:r>
      <w:r w:rsidR="000F6D09">
        <w:t>op belangrijke procesmomenten</w:t>
      </w:r>
      <w:r w:rsidRPr="006B3BAD" w:rsidR="006B3BAD">
        <w:t xml:space="preserve"> </w:t>
      </w:r>
      <w:r w:rsidR="006B3BAD">
        <w:t>informeren</w:t>
      </w:r>
      <w:r w:rsidR="00DC5146">
        <w:t xml:space="preserve">. </w:t>
      </w:r>
      <w:r w:rsidR="006B3BAD">
        <w:t>Over de inhoud</w:t>
      </w:r>
      <w:r w:rsidR="00DA0281">
        <w:t xml:space="preserve"> kan</w:t>
      </w:r>
      <w:r w:rsidR="006B3BAD">
        <w:t xml:space="preserve"> </w:t>
      </w:r>
      <w:r w:rsidR="00BF2977">
        <w:t>de</w:t>
      </w:r>
      <w:r w:rsidR="006B3BAD">
        <w:t xml:space="preserve"> Kamer desgewenst</w:t>
      </w:r>
      <w:r w:rsidR="00DA0281">
        <w:t xml:space="preserve"> in een technische briefing vertrouwelijk nader geïnformeerd worden. </w:t>
      </w:r>
      <w:r w:rsidR="00DC5146">
        <w:br/>
      </w:r>
    </w:p>
    <w:p w:rsidR="00FA087A" w:rsidP="00810C93" w:rsidRDefault="00FA087A" w14:paraId="0DB8B020" w14:textId="77777777"/>
    <w:p w:rsidR="00FA087A" w:rsidP="00810C93" w:rsidRDefault="00FA087A" w14:paraId="41BAB6D1" w14:textId="77777777"/>
    <w:p w:rsidR="00D22441" w:rsidP="00810C93" w:rsidRDefault="00D22441" w14:paraId="7A5E0AC6" w14:textId="77777777"/>
    <w:p w:rsidR="00D22441" w:rsidP="00810C93" w:rsidRDefault="00560607" w14:paraId="04D051F5" w14:textId="77777777">
      <w:pPr>
        <w:rPr>
          <w:szCs w:val="18"/>
        </w:rPr>
      </w:pPr>
      <w:r w:rsidRPr="005461DA">
        <w:rPr>
          <w:szCs w:val="18"/>
        </w:rPr>
        <w:t>Sophie Hermans</w:t>
      </w:r>
    </w:p>
    <w:p w:rsidRPr="005461DA" w:rsidR="004E505E" w:rsidP="00524FB4" w:rsidRDefault="00560607" w14:paraId="46E4D994" w14:textId="77777777">
      <w:pPr>
        <w:rPr>
          <w:szCs w:val="18"/>
        </w:rPr>
      </w:pPr>
      <w:r>
        <w:rPr>
          <w:szCs w:val="18"/>
        </w:rPr>
        <w:t>Minister van Klimaat en Groene Groei</w:t>
      </w:r>
    </w:p>
    <w:p w:rsidR="00664678" w:rsidP="00810C93" w:rsidRDefault="00664678" w14:paraId="547BD7BC" w14:textId="77777777"/>
    <w:p w:rsidR="004124AD" w:rsidP="004124AD" w:rsidRDefault="004124AD" w14:paraId="27DD903F" w14:textId="77777777"/>
    <w:p w:rsidR="004124AD" w:rsidP="004124AD" w:rsidRDefault="004124AD" w14:paraId="4142AF63" w14:textId="77777777"/>
    <w:p w:rsidR="004124AD" w:rsidP="004124AD" w:rsidRDefault="004124AD" w14:paraId="0FAB6078" w14:textId="77777777"/>
    <w:p w:rsidR="004124AD" w:rsidP="004124AD" w:rsidRDefault="00317489" w14:paraId="787D5A31" w14:textId="0408A5D7">
      <w:r>
        <w:t>Eddie van Marum</w:t>
      </w:r>
    </w:p>
    <w:p w:rsidRPr="004124AD" w:rsidR="004124AD" w:rsidP="004124AD" w:rsidRDefault="004124AD" w14:paraId="6915E19C" w14:textId="7F9E5705">
      <w:r w:rsidRPr="004124AD">
        <w:t>De staatssecretaris van Binnenlandse Zaken en Koninkrijksrelaties,</w:t>
      </w:r>
    </w:p>
    <w:p w:rsidRPr="004124AD" w:rsidR="004124AD" w:rsidP="004124AD" w:rsidRDefault="004124AD" w14:paraId="077D1D81" w14:textId="77777777">
      <w:pPr>
        <w:rPr>
          <w:i/>
          <w:iCs/>
        </w:rPr>
      </w:pPr>
      <w:r w:rsidRPr="004124AD">
        <w:rPr>
          <w:i/>
          <w:iCs/>
        </w:rPr>
        <w:t>Herstel Groningen</w:t>
      </w:r>
    </w:p>
    <w:p w:rsidR="004124AD" w:rsidP="004124AD" w:rsidRDefault="004124AD" w14:paraId="5F30A79D" w14:textId="77777777"/>
    <w:p w:rsidR="004124AD" w:rsidP="004124AD" w:rsidRDefault="004124AD" w14:paraId="6C91EDE9" w14:textId="77777777"/>
    <w:p w:rsidR="00BF2977" w:rsidP="004124AD" w:rsidRDefault="00BF2977" w14:paraId="04B9C454" w14:textId="77777777"/>
    <w:p w:rsidR="00BF2977" w:rsidP="00BF2977" w:rsidRDefault="00BF2977" w14:paraId="7F0FBEB1" w14:textId="77777777"/>
    <w:p w:rsidR="00BF2977" w:rsidP="00BF2977" w:rsidRDefault="00BF2977" w14:paraId="1A13817E" w14:textId="77777777">
      <w:proofErr w:type="spellStart"/>
      <w:r>
        <w:t>Reinette</w:t>
      </w:r>
      <w:proofErr w:type="spellEnd"/>
      <w:r>
        <w:t xml:space="preserve"> Klever</w:t>
      </w:r>
    </w:p>
    <w:p w:rsidR="004124AD" w:rsidP="004124AD" w:rsidRDefault="00BF2977" w14:paraId="2CE13DB8" w14:textId="39368FFA">
      <w:r>
        <w:t>Minister voor Buitenlandse Handel en Ontwikkelingshulp</w:t>
      </w:r>
    </w:p>
    <w:sectPr w:rsidR="004124AD"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A6720" w14:textId="77777777" w:rsidR="0040063B" w:rsidRDefault="0040063B">
      <w:r>
        <w:separator/>
      </w:r>
    </w:p>
    <w:p w14:paraId="4682DB91" w14:textId="77777777" w:rsidR="0040063B" w:rsidRDefault="0040063B"/>
  </w:endnote>
  <w:endnote w:type="continuationSeparator" w:id="0">
    <w:p w14:paraId="737D4E7F" w14:textId="77777777" w:rsidR="0040063B" w:rsidRDefault="0040063B">
      <w:r>
        <w:continuationSeparator/>
      </w:r>
    </w:p>
    <w:p w14:paraId="293956C6" w14:textId="77777777" w:rsidR="0040063B" w:rsidRDefault="00400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94159" w14:textId="77777777" w:rsidR="00827E24" w:rsidRDefault="00827E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0A88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35D3B" w14:paraId="59578010" w14:textId="77777777" w:rsidTr="00CA6A25">
      <w:trPr>
        <w:trHeight w:hRule="exact" w:val="240"/>
      </w:trPr>
      <w:tc>
        <w:tcPr>
          <w:tcW w:w="7601" w:type="dxa"/>
          <w:shd w:val="clear" w:color="auto" w:fill="auto"/>
        </w:tcPr>
        <w:p w14:paraId="671EACF8" w14:textId="77777777" w:rsidR="00527BD4" w:rsidRDefault="00527BD4" w:rsidP="003F1F6B">
          <w:pPr>
            <w:pStyle w:val="Huisstijl-Rubricering"/>
          </w:pPr>
        </w:p>
      </w:tc>
      <w:tc>
        <w:tcPr>
          <w:tcW w:w="2156" w:type="dxa"/>
        </w:tcPr>
        <w:p w14:paraId="1EDE8315" w14:textId="324B3039" w:rsidR="00527BD4" w:rsidRPr="00645414" w:rsidRDefault="0056060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40063B">
            <w:fldChar w:fldCharType="begin"/>
          </w:r>
          <w:r w:rsidR="0040063B">
            <w:instrText xml:space="preserve"> SECTIONPAGES   \* MERGEFORMAT </w:instrText>
          </w:r>
          <w:r w:rsidR="0040063B">
            <w:fldChar w:fldCharType="separate"/>
          </w:r>
          <w:r w:rsidR="00B12280">
            <w:t>2</w:t>
          </w:r>
          <w:r w:rsidR="0040063B">
            <w:fldChar w:fldCharType="end"/>
          </w:r>
        </w:p>
      </w:tc>
    </w:tr>
  </w:tbl>
  <w:p w14:paraId="0CD8D1F0"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35D3B" w14:paraId="6955F8D9" w14:textId="77777777" w:rsidTr="00CA6A25">
      <w:trPr>
        <w:trHeight w:hRule="exact" w:val="240"/>
      </w:trPr>
      <w:tc>
        <w:tcPr>
          <w:tcW w:w="7601" w:type="dxa"/>
          <w:shd w:val="clear" w:color="auto" w:fill="auto"/>
        </w:tcPr>
        <w:p w14:paraId="15E27713" w14:textId="77777777" w:rsidR="00527BD4" w:rsidRDefault="00527BD4" w:rsidP="008C356D">
          <w:pPr>
            <w:pStyle w:val="Huisstijl-Rubricering"/>
          </w:pPr>
        </w:p>
      </w:tc>
      <w:tc>
        <w:tcPr>
          <w:tcW w:w="2170" w:type="dxa"/>
        </w:tcPr>
        <w:p w14:paraId="2BFECEF3" w14:textId="331182EB" w:rsidR="00527BD4" w:rsidRPr="00ED539E" w:rsidRDefault="0056060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40063B">
            <w:fldChar w:fldCharType="begin"/>
          </w:r>
          <w:r w:rsidR="0040063B">
            <w:instrText xml:space="preserve"> SECTIONPAGES   \* MERGEFORMAT </w:instrText>
          </w:r>
          <w:r w:rsidR="0040063B">
            <w:fldChar w:fldCharType="separate"/>
          </w:r>
          <w:r w:rsidR="00B12280">
            <w:t>2</w:t>
          </w:r>
          <w:r w:rsidR="0040063B">
            <w:fldChar w:fldCharType="end"/>
          </w:r>
        </w:p>
      </w:tc>
    </w:tr>
  </w:tbl>
  <w:p w14:paraId="22387BFE" w14:textId="77777777" w:rsidR="00527BD4" w:rsidRPr="00BC3B53" w:rsidRDefault="00527BD4" w:rsidP="008C356D">
    <w:pPr>
      <w:pStyle w:val="Voettekst"/>
      <w:spacing w:line="240" w:lineRule="auto"/>
      <w:rPr>
        <w:sz w:val="2"/>
        <w:szCs w:val="2"/>
      </w:rPr>
    </w:pPr>
  </w:p>
  <w:p w14:paraId="6BF98CF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767A9" w14:textId="77777777" w:rsidR="0040063B" w:rsidRDefault="0040063B">
      <w:r>
        <w:separator/>
      </w:r>
    </w:p>
    <w:p w14:paraId="1BA095FD" w14:textId="77777777" w:rsidR="0040063B" w:rsidRDefault="0040063B"/>
  </w:footnote>
  <w:footnote w:type="continuationSeparator" w:id="0">
    <w:p w14:paraId="6BD3F743" w14:textId="77777777" w:rsidR="0040063B" w:rsidRDefault="0040063B">
      <w:r>
        <w:continuationSeparator/>
      </w:r>
    </w:p>
    <w:p w14:paraId="3DC1AEC4" w14:textId="77777777" w:rsidR="0040063B" w:rsidRDefault="004006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4C58F" w14:textId="77777777" w:rsidR="00827E24" w:rsidRDefault="00827E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35D3B" w14:paraId="42BFB7AA" w14:textId="77777777" w:rsidTr="00A50CF6">
      <w:tc>
        <w:tcPr>
          <w:tcW w:w="2156" w:type="dxa"/>
          <w:shd w:val="clear" w:color="auto" w:fill="auto"/>
        </w:tcPr>
        <w:p w14:paraId="6E72BCBE" w14:textId="77777777" w:rsidR="00527BD4" w:rsidRPr="005819CE" w:rsidRDefault="00560607" w:rsidP="00A50CF6">
          <w:pPr>
            <w:pStyle w:val="Huisstijl-Adres"/>
            <w:rPr>
              <w:b/>
            </w:rPr>
          </w:pPr>
          <w:r>
            <w:rPr>
              <w:b/>
            </w:rPr>
            <w:t>Directie Wetgeving en Juridische Zaken</w:t>
          </w:r>
          <w:r w:rsidRPr="005819CE">
            <w:rPr>
              <w:b/>
            </w:rPr>
            <w:br/>
          </w:r>
        </w:p>
      </w:tc>
    </w:tr>
    <w:tr w:rsidR="00235D3B" w14:paraId="23851AF2" w14:textId="77777777" w:rsidTr="00A50CF6">
      <w:trPr>
        <w:trHeight w:hRule="exact" w:val="200"/>
      </w:trPr>
      <w:tc>
        <w:tcPr>
          <w:tcW w:w="2156" w:type="dxa"/>
          <w:shd w:val="clear" w:color="auto" w:fill="auto"/>
        </w:tcPr>
        <w:p w14:paraId="4FF5CB4D" w14:textId="77777777" w:rsidR="00527BD4" w:rsidRPr="005819CE" w:rsidRDefault="00527BD4" w:rsidP="00A50CF6"/>
      </w:tc>
    </w:tr>
    <w:tr w:rsidR="00235D3B" w14:paraId="3B0F14C4" w14:textId="77777777" w:rsidTr="00502512">
      <w:trPr>
        <w:trHeight w:hRule="exact" w:val="774"/>
      </w:trPr>
      <w:tc>
        <w:tcPr>
          <w:tcW w:w="2156" w:type="dxa"/>
          <w:shd w:val="clear" w:color="auto" w:fill="auto"/>
        </w:tcPr>
        <w:p w14:paraId="446784D0" w14:textId="77777777" w:rsidR="00527BD4" w:rsidRDefault="00560607" w:rsidP="003A5290">
          <w:pPr>
            <w:pStyle w:val="Huisstijl-Kopje"/>
          </w:pPr>
          <w:r>
            <w:t>Ons kenmerk</w:t>
          </w:r>
        </w:p>
        <w:p w14:paraId="525F03AA" w14:textId="77777777" w:rsidR="00502512" w:rsidRPr="00502512" w:rsidRDefault="00560607" w:rsidP="003A5290">
          <w:pPr>
            <w:pStyle w:val="Huisstijl-Kopje"/>
            <w:rPr>
              <w:b w:val="0"/>
            </w:rPr>
          </w:pPr>
          <w:r>
            <w:rPr>
              <w:b w:val="0"/>
            </w:rPr>
            <w:t>WJZ</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88171396</w:t>
              </w:r>
              <w:r w:rsidR="00721AE1">
                <w:rPr>
                  <w:b w:val="0"/>
                </w:rPr>
                <w:fldChar w:fldCharType="end"/>
              </w:r>
            </w:sdtContent>
          </w:sdt>
        </w:p>
        <w:p w14:paraId="221C8460" w14:textId="77777777" w:rsidR="00527BD4" w:rsidRPr="005819CE" w:rsidRDefault="00527BD4" w:rsidP="00361A56">
          <w:pPr>
            <w:pStyle w:val="Huisstijl-Kopje"/>
          </w:pPr>
        </w:p>
      </w:tc>
    </w:tr>
  </w:tbl>
  <w:p w14:paraId="4C9C7E64" w14:textId="77777777" w:rsidR="00527BD4" w:rsidRDefault="00527BD4" w:rsidP="008C356D">
    <w:pPr>
      <w:pStyle w:val="Koptekst"/>
      <w:rPr>
        <w:rFonts w:cs="Verdana-Bold"/>
        <w:b/>
        <w:bCs/>
        <w:smallCaps/>
        <w:szCs w:val="18"/>
      </w:rPr>
    </w:pPr>
  </w:p>
  <w:p w14:paraId="2AA99E57" w14:textId="77777777" w:rsidR="00527BD4" w:rsidRDefault="00527BD4" w:rsidP="008C356D"/>
  <w:p w14:paraId="482C4B8B" w14:textId="77777777" w:rsidR="00527BD4" w:rsidRPr="00740712" w:rsidRDefault="00527BD4" w:rsidP="008C356D"/>
  <w:p w14:paraId="665AE876" w14:textId="77777777" w:rsidR="00527BD4" w:rsidRPr="00217880" w:rsidRDefault="00527BD4" w:rsidP="008C356D">
    <w:pPr>
      <w:spacing w:line="0" w:lineRule="atLeast"/>
      <w:rPr>
        <w:sz w:val="2"/>
        <w:szCs w:val="2"/>
      </w:rPr>
    </w:pPr>
  </w:p>
  <w:p w14:paraId="4894F652" w14:textId="77777777" w:rsidR="00527BD4" w:rsidRDefault="00527BD4" w:rsidP="004F44C2">
    <w:pPr>
      <w:pStyle w:val="Koptekst"/>
      <w:rPr>
        <w:rFonts w:cs="Verdana-Bold"/>
        <w:b/>
        <w:bCs/>
        <w:smallCaps/>
        <w:szCs w:val="18"/>
      </w:rPr>
    </w:pPr>
  </w:p>
  <w:p w14:paraId="15BA8082" w14:textId="77777777" w:rsidR="00527BD4" w:rsidRDefault="00527BD4" w:rsidP="004F44C2"/>
  <w:p w14:paraId="2EE0B11A" w14:textId="77777777" w:rsidR="00527BD4" w:rsidRPr="00740712" w:rsidRDefault="00527BD4" w:rsidP="004F44C2"/>
  <w:p w14:paraId="7CF6FCE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35D3B" w14:paraId="090435AD" w14:textId="77777777" w:rsidTr="00751A6A">
      <w:trPr>
        <w:trHeight w:val="2636"/>
      </w:trPr>
      <w:tc>
        <w:tcPr>
          <w:tcW w:w="737" w:type="dxa"/>
          <w:shd w:val="clear" w:color="auto" w:fill="auto"/>
        </w:tcPr>
        <w:p w14:paraId="4D373F5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B84E369" w14:textId="77777777" w:rsidR="00527BD4" w:rsidRDefault="00560607"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6A482051" wp14:editId="6C0CB098">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14151CF2" w14:textId="77777777" w:rsidR="007269E3" w:rsidRDefault="007269E3" w:rsidP="00651CEE">
          <w:pPr>
            <w:framePr w:w="6340" w:h="2750" w:hRule="exact" w:hSpace="180" w:wrap="around" w:vAnchor="page" w:hAnchor="text" w:x="3873" w:y="-140"/>
            <w:spacing w:line="240" w:lineRule="auto"/>
          </w:pPr>
        </w:p>
      </w:tc>
    </w:tr>
  </w:tbl>
  <w:p w14:paraId="018BE573" w14:textId="77777777" w:rsidR="00527BD4" w:rsidRDefault="00527BD4" w:rsidP="00D0609E">
    <w:pPr>
      <w:framePr w:w="6340" w:h="2750" w:hRule="exact" w:hSpace="180" w:wrap="around" w:vAnchor="page" w:hAnchor="text" w:x="3873" w:y="-140"/>
    </w:pPr>
  </w:p>
  <w:p w14:paraId="6EEE17B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35D3B" w:rsidRPr="00410BEA" w14:paraId="63BA2823" w14:textId="77777777" w:rsidTr="00A50CF6">
      <w:tc>
        <w:tcPr>
          <w:tcW w:w="2160" w:type="dxa"/>
          <w:shd w:val="clear" w:color="auto" w:fill="auto"/>
        </w:tcPr>
        <w:p w14:paraId="3F107E08" w14:textId="77777777" w:rsidR="00527BD4" w:rsidRPr="005819CE" w:rsidRDefault="00560607" w:rsidP="00A50CF6">
          <w:pPr>
            <w:pStyle w:val="Huisstijl-Adres"/>
            <w:rPr>
              <w:b/>
            </w:rPr>
          </w:pPr>
          <w:r>
            <w:rPr>
              <w:b/>
            </w:rPr>
            <w:t>Directie Wetgeving en Juridische Zaken</w:t>
          </w:r>
          <w:r w:rsidRPr="005819CE">
            <w:rPr>
              <w:b/>
            </w:rPr>
            <w:br/>
          </w:r>
        </w:p>
        <w:p w14:paraId="76BFC0E9" w14:textId="77777777" w:rsidR="00527BD4" w:rsidRPr="00BE5ED9" w:rsidRDefault="00560607" w:rsidP="00A50CF6">
          <w:pPr>
            <w:pStyle w:val="Huisstijl-Adres"/>
          </w:pPr>
          <w:r>
            <w:rPr>
              <w:b/>
            </w:rPr>
            <w:t>Bezoekadres</w:t>
          </w:r>
          <w:r>
            <w:rPr>
              <w:b/>
            </w:rPr>
            <w:br/>
          </w:r>
          <w:r>
            <w:t>Bezuidenhoutseweg 73</w:t>
          </w:r>
          <w:r w:rsidRPr="005819CE">
            <w:br/>
          </w:r>
          <w:r>
            <w:t>2594 AC Den Haag</w:t>
          </w:r>
        </w:p>
        <w:p w14:paraId="355899D7" w14:textId="77777777" w:rsidR="00EF495B" w:rsidRDefault="00560607" w:rsidP="0098788A">
          <w:pPr>
            <w:pStyle w:val="Huisstijl-Adres"/>
          </w:pPr>
          <w:r>
            <w:rPr>
              <w:b/>
            </w:rPr>
            <w:t>Postadres</w:t>
          </w:r>
          <w:r>
            <w:rPr>
              <w:b/>
            </w:rPr>
            <w:br/>
          </w:r>
          <w:r>
            <w:t>Postbus 20401</w:t>
          </w:r>
          <w:r w:rsidRPr="005819CE">
            <w:br/>
            <w:t>2500 E</w:t>
          </w:r>
          <w:r>
            <w:t>K</w:t>
          </w:r>
          <w:r w:rsidRPr="005819CE">
            <w:t xml:space="preserve"> Den Haag</w:t>
          </w:r>
        </w:p>
        <w:p w14:paraId="231295DD" w14:textId="77777777" w:rsidR="00EF495B" w:rsidRPr="005B3814" w:rsidRDefault="00560607" w:rsidP="0098788A">
          <w:pPr>
            <w:pStyle w:val="Huisstijl-Adres"/>
          </w:pPr>
          <w:r>
            <w:rPr>
              <w:b/>
            </w:rPr>
            <w:t>Overheidsidentificatienr</w:t>
          </w:r>
          <w:r>
            <w:rPr>
              <w:b/>
            </w:rPr>
            <w:br/>
          </w:r>
          <w:r w:rsidR="00F323ED" w:rsidRPr="00F323ED">
            <w:t>00000001003214369000</w:t>
          </w:r>
        </w:p>
        <w:p w14:paraId="19762019" w14:textId="17AB603F" w:rsidR="00527BD4" w:rsidRPr="00410BEA" w:rsidRDefault="00560607"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235D3B" w:rsidRPr="00410BEA" w14:paraId="3588D2AA" w14:textId="77777777" w:rsidTr="00A50CF6">
      <w:trPr>
        <w:trHeight w:hRule="exact" w:val="200"/>
      </w:trPr>
      <w:tc>
        <w:tcPr>
          <w:tcW w:w="2160" w:type="dxa"/>
          <w:shd w:val="clear" w:color="auto" w:fill="auto"/>
        </w:tcPr>
        <w:p w14:paraId="77A2A45F" w14:textId="77777777" w:rsidR="00527BD4" w:rsidRPr="008E43F3" w:rsidRDefault="00527BD4" w:rsidP="00A50CF6"/>
      </w:tc>
    </w:tr>
    <w:tr w:rsidR="00235D3B" w14:paraId="3BBE1593" w14:textId="77777777" w:rsidTr="00A50CF6">
      <w:tc>
        <w:tcPr>
          <w:tcW w:w="2160" w:type="dxa"/>
          <w:shd w:val="clear" w:color="auto" w:fill="auto"/>
        </w:tcPr>
        <w:p w14:paraId="5D068ADD" w14:textId="77777777" w:rsidR="000C0163" w:rsidRPr="005819CE" w:rsidRDefault="00560607" w:rsidP="000C0163">
          <w:pPr>
            <w:pStyle w:val="Huisstijl-Kopje"/>
          </w:pPr>
          <w:r>
            <w:t>Ons kenmerk</w:t>
          </w:r>
          <w:r w:rsidRPr="005819CE">
            <w:t xml:space="preserve"> </w:t>
          </w:r>
        </w:p>
        <w:p w14:paraId="5F0A2895" w14:textId="373B173A" w:rsidR="000C0163" w:rsidRPr="005819CE" w:rsidRDefault="00560607" w:rsidP="000C0163">
          <w:pPr>
            <w:pStyle w:val="Huisstijl-Gegeven"/>
          </w:pPr>
          <w:r>
            <w:t>WJZ</w:t>
          </w:r>
          <w:r w:rsidR="00926AE2">
            <w:t xml:space="preserve"> / </w:t>
          </w:r>
          <w:sdt>
            <w:sdtPr>
              <w:rPr>
                <w:b/>
              </w:rPr>
              <w:alias w:val="documentId"/>
              <w:id w:val="1655725354"/>
              <w:placeholder>
                <w:docPart w:val="CFD61419E6AA44D5AC21AC16CEAAA2CA"/>
              </w:placeholder>
            </w:sdtPr>
            <w:sdtEndPr/>
            <w:sdtContent>
              <w:fldSimple w:instr=" DOCPROPERTY  &quot;documentId&quot;  \* MERGEFORMAT ">
                <w:r w:rsidR="00410BEA">
                  <w:t>88171396</w:t>
                </w:r>
              </w:fldSimple>
            </w:sdtContent>
          </w:sdt>
        </w:p>
        <w:p w14:paraId="1B58E10B" w14:textId="77777777" w:rsidR="00527BD4" w:rsidRPr="005819CE" w:rsidRDefault="00527BD4" w:rsidP="00410BEA">
          <w:pPr>
            <w:pStyle w:val="Huisstijl-Kopje"/>
          </w:pPr>
        </w:p>
      </w:tc>
    </w:tr>
  </w:tbl>
  <w:p w14:paraId="064E732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35D3B" w14:paraId="0C997189" w14:textId="77777777" w:rsidTr="007610AA">
      <w:trPr>
        <w:trHeight w:val="400"/>
      </w:trPr>
      <w:tc>
        <w:tcPr>
          <w:tcW w:w="7520" w:type="dxa"/>
          <w:gridSpan w:val="2"/>
          <w:shd w:val="clear" w:color="auto" w:fill="auto"/>
        </w:tcPr>
        <w:p w14:paraId="0AA59031" w14:textId="77777777" w:rsidR="00527BD4" w:rsidRPr="00BC3B53" w:rsidRDefault="00560607" w:rsidP="00A50CF6">
          <w:pPr>
            <w:pStyle w:val="Huisstijl-Retouradres"/>
          </w:pPr>
          <w:r>
            <w:t>&gt; Retouradres Postbus 20401 2500 EK Den Haag</w:t>
          </w:r>
        </w:p>
      </w:tc>
    </w:tr>
    <w:tr w:rsidR="00235D3B" w14:paraId="5F4A7C25" w14:textId="77777777" w:rsidTr="007610AA">
      <w:tc>
        <w:tcPr>
          <w:tcW w:w="7520" w:type="dxa"/>
          <w:gridSpan w:val="2"/>
          <w:shd w:val="clear" w:color="auto" w:fill="auto"/>
        </w:tcPr>
        <w:p w14:paraId="75A53E0D" w14:textId="77777777" w:rsidR="00527BD4" w:rsidRPr="00983E8F" w:rsidRDefault="00527BD4" w:rsidP="00A50CF6">
          <w:pPr>
            <w:pStyle w:val="Huisstijl-Rubricering"/>
          </w:pPr>
        </w:p>
      </w:tc>
    </w:tr>
    <w:tr w:rsidR="00235D3B" w14:paraId="12D00CBB" w14:textId="77777777" w:rsidTr="007610AA">
      <w:trPr>
        <w:trHeight w:hRule="exact" w:val="2440"/>
      </w:trPr>
      <w:tc>
        <w:tcPr>
          <w:tcW w:w="7520" w:type="dxa"/>
          <w:gridSpan w:val="2"/>
          <w:shd w:val="clear" w:color="auto" w:fill="auto"/>
        </w:tcPr>
        <w:p w14:paraId="7153CE31" w14:textId="77777777" w:rsidR="00410BEA" w:rsidRDefault="00410BEA" w:rsidP="00410BEA">
          <w:pPr>
            <w:pStyle w:val="Huisstijl-NAW"/>
          </w:pPr>
          <w:r w:rsidRPr="00D24199">
            <w:t xml:space="preserve">De </w:t>
          </w:r>
          <w:r>
            <w:t>V</w:t>
          </w:r>
          <w:r w:rsidRPr="00D24199">
            <w:t xml:space="preserve">oorzitter van de Tweede Kamer </w:t>
          </w:r>
        </w:p>
        <w:p w14:paraId="371A31D3" w14:textId="77777777" w:rsidR="00410BEA" w:rsidRDefault="00410BEA" w:rsidP="00410BEA">
          <w:pPr>
            <w:pStyle w:val="Huisstijl-NAW"/>
          </w:pPr>
          <w:r w:rsidRPr="00D24199">
            <w:t>der Staten-Generaal</w:t>
          </w:r>
        </w:p>
        <w:p w14:paraId="02F64798" w14:textId="77777777" w:rsidR="00410BEA" w:rsidRPr="00EE5E84" w:rsidRDefault="00410BEA" w:rsidP="00410BEA">
          <w:pPr>
            <w:rPr>
              <w:lang w:val="de-DE"/>
            </w:rPr>
          </w:pPr>
          <w:proofErr w:type="spellStart"/>
          <w:r w:rsidRPr="00EE5E84">
            <w:rPr>
              <w:lang w:val="de-DE"/>
            </w:rPr>
            <w:t>Prinses</w:t>
          </w:r>
          <w:proofErr w:type="spellEnd"/>
          <w:r w:rsidRPr="00EE5E84">
            <w:rPr>
              <w:lang w:val="de-DE"/>
            </w:rPr>
            <w:t xml:space="preserve"> </w:t>
          </w:r>
          <w:proofErr w:type="spellStart"/>
          <w:r w:rsidRPr="00EE5E84">
            <w:rPr>
              <w:lang w:val="de-DE"/>
            </w:rPr>
            <w:t>Irenestraat</w:t>
          </w:r>
          <w:proofErr w:type="spellEnd"/>
          <w:r w:rsidRPr="00EE5E84">
            <w:rPr>
              <w:lang w:val="de-DE"/>
            </w:rPr>
            <w:t xml:space="preserve"> 6</w:t>
          </w:r>
        </w:p>
        <w:p w14:paraId="3D2540D3" w14:textId="77777777" w:rsidR="00410BEA" w:rsidRDefault="00410BEA" w:rsidP="00410BEA">
          <w:pPr>
            <w:rPr>
              <w:lang w:val="de-DE"/>
            </w:rPr>
          </w:pPr>
          <w:r w:rsidRPr="00EE5E84">
            <w:rPr>
              <w:lang w:val="de-DE"/>
            </w:rPr>
            <w:t>2595 BD  DEN H</w:t>
          </w:r>
          <w:r>
            <w:rPr>
              <w:lang w:val="de-DE"/>
            </w:rPr>
            <w:t>AAG</w:t>
          </w:r>
        </w:p>
        <w:p w14:paraId="02410100" w14:textId="120BFF74" w:rsidR="00235D3B" w:rsidRDefault="00235D3B">
          <w:pPr>
            <w:pStyle w:val="Huisstijl-NAW"/>
          </w:pPr>
        </w:p>
      </w:tc>
    </w:tr>
    <w:tr w:rsidR="00235D3B" w14:paraId="5AA0F722" w14:textId="77777777" w:rsidTr="007610AA">
      <w:trPr>
        <w:trHeight w:hRule="exact" w:val="400"/>
      </w:trPr>
      <w:tc>
        <w:tcPr>
          <w:tcW w:w="7520" w:type="dxa"/>
          <w:gridSpan w:val="2"/>
          <w:shd w:val="clear" w:color="auto" w:fill="auto"/>
        </w:tcPr>
        <w:p w14:paraId="5285307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35D3B" w14:paraId="118BEAE1" w14:textId="77777777" w:rsidTr="007610AA">
      <w:trPr>
        <w:trHeight w:val="240"/>
      </w:trPr>
      <w:tc>
        <w:tcPr>
          <w:tcW w:w="900" w:type="dxa"/>
          <w:shd w:val="clear" w:color="auto" w:fill="auto"/>
        </w:tcPr>
        <w:p w14:paraId="6C35AC24" w14:textId="77777777" w:rsidR="00527BD4" w:rsidRPr="007709EF" w:rsidRDefault="00560607" w:rsidP="00A50CF6">
          <w:pPr>
            <w:rPr>
              <w:szCs w:val="18"/>
            </w:rPr>
          </w:pPr>
          <w:r>
            <w:rPr>
              <w:szCs w:val="18"/>
            </w:rPr>
            <w:t>Datum</w:t>
          </w:r>
        </w:p>
      </w:tc>
      <w:tc>
        <w:tcPr>
          <w:tcW w:w="6620" w:type="dxa"/>
          <w:shd w:val="clear" w:color="auto" w:fill="auto"/>
        </w:tcPr>
        <w:p w14:paraId="6219C448" w14:textId="7C0FEBDC" w:rsidR="00527BD4" w:rsidRPr="007709EF" w:rsidRDefault="001A6042" w:rsidP="00A50CF6">
          <w:r>
            <w:t>18 oktober 2024</w:t>
          </w:r>
        </w:p>
      </w:tc>
    </w:tr>
    <w:tr w:rsidR="00235D3B" w14:paraId="28F39EAE" w14:textId="77777777" w:rsidTr="007610AA">
      <w:trPr>
        <w:trHeight w:val="240"/>
      </w:trPr>
      <w:tc>
        <w:tcPr>
          <w:tcW w:w="900" w:type="dxa"/>
          <w:shd w:val="clear" w:color="auto" w:fill="auto"/>
        </w:tcPr>
        <w:p w14:paraId="3FBE82B8" w14:textId="77777777" w:rsidR="00527BD4" w:rsidRPr="007709EF" w:rsidRDefault="00560607" w:rsidP="00A50CF6">
          <w:pPr>
            <w:rPr>
              <w:szCs w:val="18"/>
            </w:rPr>
          </w:pPr>
          <w:r>
            <w:rPr>
              <w:szCs w:val="18"/>
            </w:rPr>
            <w:t>Betreft</w:t>
          </w:r>
        </w:p>
      </w:tc>
      <w:tc>
        <w:tcPr>
          <w:tcW w:w="6620" w:type="dxa"/>
          <w:shd w:val="clear" w:color="auto" w:fill="auto"/>
        </w:tcPr>
        <w:p w14:paraId="0AA9A38A" w14:textId="77777777" w:rsidR="00527BD4" w:rsidRPr="007709EF" w:rsidRDefault="00560607" w:rsidP="00A50CF6">
          <w:r>
            <w:t>Nieuwe arbitrage procedure tegen de Staat onder het Energiehandvestverdrag</w:t>
          </w:r>
        </w:p>
      </w:tc>
    </w:tr>
  </w:tbl>
  <w:p w14:paraId="251B3FD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432EFA6">
      <w:start w:val="1"/>
      <w:numFmt w:val="bullet"/>
      <w:pStyle w:val="Lijstopsomteken"/>
      <w:lvlText w:val="•"/>
      <w:lvlJc w:val="left"/>
      <w:pPr>
        <w:tabs>
          <w:tab w:val="num" w:pos="227"/>
        </w:tabs>
        <w:ind w:left="227" w:hanging="227"/>
      </w:pPr>
      <w:rPr>
        <w:rFonts w:ascii="Verdana" w:hAnsi="Verdana" w:hint="default"/>
        <w:sz w:val="18"/>
        <w:szCs w:val="18"/>
      </w:rPr>
    </w:lvl>
    <w:lvl w:ilvl="1" w:tplc="32020512" w:tentative="1">
      <w:start w:val="1"/>
      <w:numFmt w:val="bullet"/>
      <w:lvlText w:val="o"/>
      <w:lvlJc w:val="left"/>
      <w:pPr>
        <w:tabs>
          <w:tab w:val="num" w:pos="1440"/>
        </w:tabs>
        <w:ind w:left="1440" w:hanging="360"/>
      </w:pPr>
      <w:rPr>
        <w:rFonts w:ascii="Courier New" w:hAnsi="Courier New" w:cs="Courier New" w:hint="default"/>
      </w:rPr>
    </w:lvl>
    <w:lvl w:ilvl="2" w:tplc="EF9CDF44" w:tentative="1">
      <w:start w:val="1"/>
      <w:numFmt w:val="bullet"/>
      <w:lvlText w:val=""/>
      <w:lvlJc w:val="left"/>
      <w:pPr>
        <w:tabs>
          <w:tab w:val="num" w:pos="2160"/>
        </w:tabs>
        <w:ind w:left="2160" w:hanging="360"/>
      </w:pPr>
      <w:rPr>
        <w:rFonts w:ascii="Wingdings" w:hAnsi="Wingdings" w:hint="default"/>
      </w:rPr>
    </w:lvl>
    <w:lvl w:ilvl="3" w:tplc="E9D8B2B0" w:tentative="1">
      <w:start w:val="1"/>
      <w:numFmt w:val="bullet"/>
      <w:lvlText w:val=""/>
      <w:lvlJc w:val="left"/>
      <w:pPr>
        <w:tabs>
          <w:tab w:val="num" w:pos="2880"/>
        </w:tabs>
        <w:ind w:left="2880" w:hanging="360"/>
      </w:pPr>
      <w:rPr>
        <w:rFonts w:ascii="Symbol" w:hAnsi="Symbol" w:hint="default"/>
      </w:rPr>
    </w:lvl>
    <w:lvl w:ilvl="4" w:tplc="7D825D72" w:tentative="1">
      <w:start w:val="1"/>
      <w:numFmt w:val="bullet"/>
      <w:lvlText w:val="o"/>
      <w:lvlJc w:val="left"/>
      <w:pPr>
        <w:tabs>
          <w:tab w:val="num" w:pos="3600"/>
        </w:tabs>
        <w:ind w:left="3600" w:hanging="360"/>
      </w:pPr>
      <w:rPr>
        <w:rFonts w:ascii="Courier New" w:hAnsi="Courier New" w:cs="Courier New" w:hint="default"/>
      </w:rPr>
    </w:lvl>
    <w:lvl w:ilvl="5" w:tplc="723E5278" w:tentative="1">
      <w:start w:val="1"/>
      <w:numFmt w:val="bullet"/>
      <w:lvlText w:val=""/>
      <w:lvlJc w:val="left"/>
      <w:pPr>
        <w:tabs>
          <w:tab w:val="num" w:pos="4320"/>
        </w:tabs>
        <w:ind w:left="4320" w:hanging="360"/>
      </w:pPr>
      <w:rPr>
        <w:rFonts w:ascii="Wingdings" w:hAnsi="Wingdings" w:hint="default"/>
      </w:rPr>
    </w:lvl>
    <w:lvl w:ilvl="6" w:tplc="22E6285A" w:tentative="1">
      <w:start w:val="1"/>
      <w:numFmt w:val="bullet"/>
      <w:lvlText w:val=""/>
      <w:lvlJc w:val="left"/>
      <w:pPr>
        <w:tabs>
          <w:tab w:val="num" w:pos="5040"/>
        </w:tabs>
        <w:ind w:left="5040" w:hanging="360"/>
      </w:pPr>
      <w:rPr>
        <w:rFonts w:ascii="Symbol" w:hAnsi="Symbol" w:hint="default"/>
      </w:rPr>
    </w:lvl>
    <w:lvl w:ilvl="7" w:tplc="67825162" w:tentative="1">
      <w:start w:val="1"/>
      <w:numFmt w:val="bullet"/>
      <w:lvlText w:val="o"/>
      <w:lvlJc w:val="left"/>
      <w:pPr>
        <w:tabs>
          <w:tab w:val="num" w:pos="5760"/>
        </w:tabs>
        <w:ind w:left="5760" w:hanging="360"/>
      </w:pPr>
      <w:rPr>
        <w:rFonts w:ascii="Courier New" w:hAnsi="Courier New" w:cs="Courier New" w:hint="default"/>
      </w:rPr>
    </w:lvl>
    <w:lvl w:ilvl="8" w:tplc="A31CD4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0E475FE">
      <w:start w:val="1"/>
      <w:numFmt w:val="bullet"/>
      <w:pStyle w:val="Lijstopsomteken2"/>
      <w:lvlText w:val="–"/>
      <w:lvlJc w:val="left"/>
      <w:pPr>
        <w:tabs>
          <w:tab w:val="num" w:pos="227"/>
        </w:tabs>
        <w:ind w:left="227" w:firstLine="0"/>
      </w:pPr>
      <w:rPr>
        <w:rFonts w:ascii="Verdana" w:hAnsi="Verdana" w:hint="default"/>
      </w:rPr>
    </w:lvl>
    <w:lvl w:ilvl="1" w:tplc="33163BEC" w:tentative="1">
      <w:start w:val="1"/>
      <w:numFmt w:val="bullet"/>
      <w:lvlText w:val="o"/>
      <w:lvlJc w:val="left"/>
      <w:pPr>
        <w:tabs>
          <w:tab w:val="num" w:pos="1440"/>
        </w:tabs>
        <w:ind w:left="1440" w:hanging="360"/>
      </w:pPr>
      <w:rPr>
        <w:rFonts w:ascii="Courier New" w:hAnsi="Courier New" w:cs="Courier New" w:hint="default"/>
      </w:rPr>
    </w:lvl>
    <w:lvl w:ilvl="2" w:tplc="4990A198" w:tentative="1">
      <w:start w:val="1"/>
      <w:numFmt w:val="bullet"/>
      <w:lvlText w:val=""/>
      <w:lvlJc w:val="left"/>
      <w:pPr>
        <w:tabs>
          <w:tab w:val="num" w:pos="2160"/>
        </w:tabs>
        <w:ind w:left="2160" w:hanging="360"/>
      </w:pPr>
      <w:rPr>
        <w:rFonts w:ascii="Wingdings" w:hAnsi="Wingdings" w:hint="default"/>
      </w:rPr>
    </w:lvl>
    <w:lvl w:ilvl="3" w:tplc="B9E07468" w:tentative="1">
      <w:start w:val="1"/>
      <w:numFmt w:val="bullet"/>
      <w:lvlText w:val=""/>
      <w:lvlJc w:val="left"/>
      <w:pPr>
        <w:tabs>
          <w:tab w:val="num" w:pos="2880"/>
        </w:tabs>
        <w:ind w:left="2880" w:hanging="360"/>
      </w:pPr>
      <w:rPr>
        <w:rFonts w:ascii="Symbol" w:hAnsi="Symbol" w:hint="default"/>
      </w:rPr>
    </w:lvl>
    <w:lvl w:ilvl="4" w:tplc="4B683EA8" w:tentative="1">
      <w:start w:val="1"/>
      <w:numFmt w:val="bullet"/>
      <w:lvlText w:val="o"/>
      <w:lvlJc w:val="left"/>
      <w:pPr>
        <w:tabs>
          <w:tab w:val="num" w:pos="3600"/>
        </w:tabs>
        <w:ind w:left="3600" w:hanging="360"/>
      </w:pPr>
      <w:rPr>
        <w:rFonts w:ascii="Courier New" w:hAnsi="Courier New" w:cs="Courier New" w:hint="default"/>
      </w:rPr>
    </w:lvl>
    <w:lvl w:ilvl="5" w:tplc="08D2B18C" w:tentative="1">
      <w:start w:val="1"/>
      <w:numFmt w:val="bullet"/>
      <w:lvlText w:val=""/>
      <w:lvlJc w:val="left"/>
      <w:pPr>
        <w:tabs>
          <w:tab w:val="num" w:pos="4320"/>
        </w:tabs>
        <w:ind w:left="4320" w:hanging="360"/>
      </w:pPr>
      <w:rPr>
        <w:rFonts w:ascii="Wingdings" w:hAnsi="Wingdings" w:hint="default"/>
      </w:rPr>
    </w:lvl>
    <w:lvl w:ilvl="6" w:tplc="D37CE58A" w:tentative="1">
      <w:start w:val="1"/>
      <w:numFmt w:val="bullet"/>
      <w:lvlText w:val=""/>
      <w:lvlJc w:val="left"/>
      <w:pPr>
        <w:tabs>
          <w:tab w:val="num" w:pos="5040"/>
        </w:tabs>
        <w:ind w:left="5040" w:hanging="360"/>
      </w:pPr>
      <w:rPr>
        <w:rFonts w:ascii="Symbol" w:hAnsi="Symbol" w:hint="default"/>
      </w:rPr>
    </w:lvl>
    <w:lvl w:ilvl="7" w:tplc="658060E2" w:tentative="1">
      <w:start w:val="1"/>
      <w:numFmt w:val="bullet"/>
      <w:lvlText w:val="o"/>
      <w:lvlJc w:val="left"/>
      <w:pPr>
        <w:tabs>
          <w:tab w:val="num" w:pos="5760"/>
        </w:tabs>
        <w:ind w:left="5760" w:hanging="360"/>
      </w:pPr>
      <w:rPr>
        <w:rFonts w:ascii="Courier New" w:hAnsi="Courier New" w:cs="Courier New" w:hint="default"/>
      </w:rPr>
    </w:lvl>
    <w:lvl w:ilvl="8" w:tplc="577454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80543321">
    <w:abstractNumId w:val="10"/>
  </w:num>
  <w:num w:numId="2" w16cid:durableId="440802779">
    <w:abstractNumId w:val="7"/>
  </w:num>
  <w:num w:numId="3" w16cid:durableId="473763977">
    <w:abstractNumId w:val="6"/>
  </w:num>
  <w:num w:numId="4" w16cid:durableId="2136945894">
    <w:abstractNumId w:val="5"/>
  </w:num>
  <w:num w:numId="5" w16cid:durableId="1778285300">
    <w:abstractNumId w:val="4"/>
  </w:num>
  <w:num w:numId="6" w16cid:durableId="866140122">
    <w:abstractNumId w:val="8"/>
  </w:num>
  <w:num w:numId="7" w16cid:durableId="66001016">
    <w:abstractNumId w:val="3"/>
  </w:num>
  <w:num w:numId="8" w16cid:durableId="629553558">
    <w:abstractNumId w:val="2"/>
  </w:num>
  <w:num w:numId="9" w16cid:durableId="2082286584">
    <w:abstractNumId w:val="1"/>
  </w:num>
  <w:num w:numId="10" w16cid:durableId="1000429112">
    <w:abstractNumId w:val="0"/>
  </w:num>
  <w:num w:numId="11" w16cid:durableId="268322510">
    <w:abstractNumId w:val="9"/>
  </w:num>
  <w:num w:numId="12" w16cid:durableId="73476463">
    <w:abstractNumId w:val="11"/>
  </w:num>
  <w:num w:numId="13" w16cid:durableId="895704573">
    <w:abstractNumId w:val="13"/>
  </w:num>
  <w:num w:numId="14" w16cid:durableId="105338269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768"/>
    <w:rsid w:val="00034A84"/>
    <w:rsid w:val="00035E67"/>
    <w:rsid w:val="000366F3"/>
    <w:rsid w:val="00042A5B"/>
    <w:rsid w:val="0006024D"/>
    <w:rsid w:val="00071193"/>
    <w:rsid w:val="00071F28"/>
    <w:rsid w:val="00074079"/>
    <w:rsid w:val="00083B9E"/>
    <w:rsid w:val="000847F7"/>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0F6D09"/>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2FD"/>
    <w:rsid w:val="001726F3"/>
    <w:rsid w:val="00173C51"/>
    <w:rsid w:val="00174CC2"/>
    <w:rsid w:val="00176CC6"/>
    <w:rsid w:val="00180233"/>
    <w:rsid w:val="00181BE4"/>
    <w:rsid w:val="00185576"/>
    <w:rsid w:val="00185951"/>
    <w:rsid w:val="00196B8B"/>
    <w:rsid w:val="001A2BEA"/>
    <w:rsid w:val="001A6042"/>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5D3B"/>
    <w:rsid w:val="00236CFE"/>
    <w:rsid w:val="002428E3"/>
    <w:rsid w:val="00243031"/>
    <w:rsid w:val="00260BAF"/>
    <w:rsid w:val="002650F7"/>
    <w:rsid w:val="00271A8E"/>
    <w:rsid w:val="00273F3B"/>
    <w:rsid w:val="00274DB7"/>
    <w:rsid w:val="00275984"/>
    <w:rsid w:val="002766A8"/>
    <w:rsid w:val="002768D1"/>
    <w:rsid w:val="00277FE0"/>
    <w:rsid w:val="00280F74"/>
    <w:rsid w:val="002822CA"/>
    <w:rsid w:val="00286998"/>
    <w:rsid w:val="00291AB7"/>
    <w:rsid w:val="00292EB2"/>
    <w:rsid w:val="0029422B"/>
    <w:rsid w:val="002A0938"/>
    <w:rsid w:val="002B153C"/>
    <w:rsid w:val="002B52FC"/>
    <w:rsid w:val="002C2830"/>
    <w:rsid w:val="002D001A"/>
    <w:rsid w:val="002D14D3"/>
    <w:rsid w:val="002D28E2"/>
    <w:rsid w:val="002D317B"/>
    <w:rsid w:val="002D3587"/>
    <w:rsid w:val="002D502D"/>
    <w:rsid w:val="002E0F69"/>
    <w:rsid w:val="002F5147"/>
    <w:rsid w:val="002F7ABD"/>
    <w:rsid w:val="003068DE"/>
    <w:rsid w:val="00312597"/>
    <w:rsid w:val="00317489"/>
    <w:rsid w:val="00327BA5"/>
    <w:rsid w:val="0033326F"/>
    <w:rsid w:val="00334154"/>
    <w:rsid w:val="003372C4"/>
    <w:rsid w:val="00340ECA"/>
    <w:rsid w:val="00341FA0"/>
    <w:rsid w:val="003438C8"/>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443B"/>
    <w:rsid w:val="003A5290"/>
    <w:rsid w:val="003B0155"/>
    <w:rsid w:val="003B2BAB"/>
    <w:rsid w:val="003B7EE7"/>
    <w:rsid w:val="003C2CCB"/>
    <w:rsid w:val="003D39EC"/>
    <w:rsid w:val="003D5DED"/>
    <w:rsid w:val="003E3DD5"/>
    <w:rsid w:val="003F07C6"/>
    <w:rsid w:val="003F1F6B"/>
    <w:rsid w:val="003F205D"/>
    <w:rsid w:val="003F3757"/>
    <w:rsid w:val="003F38BD"/>
    <w:rsid w:val="003F44B7"/>
    <w:rsid w:val="0040063B"/>
    <w:rsid w:val="004008E9"/>
    <w:rsid w:val="00410BEA"/>
    <w:rsid w:val="004124AD"/>
    <w:rsid w:val="00413B2E"/>
    <w:rsid w:val="00413D48"/>
    <w:rsid w:val="00441ABE"/>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2549"/>
    <w:rsid w:val="00516022"/>
    <w:rsid w:val="00521CEE"/>
    <w:rsid w:val="00524FB4"/>
    <w:rsid w:val="00526225"/>
    <w:rsid w:val="00527BD4"/>
    <w:rsid w:val="00537095"/>
    <w:rsid w:val="005403C8"/>
    <w:rsid w:val="005429DC"/>
    <w:rsid w:val="005461DA"/>
    <w:rsid w:val="005565F9"/>
    <w:rsid w:val="00560607"/>
    <w:rsid w:val="00573041"/>
    <w:rsid w:val="00575B80"/>
    <w:rsid w:val="0057620F"/>
    <w:rsid w:val="005819CE"/>
    <w:rsid w:val="0058298D"/>
    <w:rsid w:val="00584C1A"/>
    <w:rsid w:val="00593C2B"/>
    <w:rsid w:val="00595231"/>
    <w:rsid w:val="00596166"/>
    <w:rsid w:val="00597F64"/>
    <w:rsid w:val="005A207F"/>
    <w:rsid w:val="005A2F35"/>
    <w:rsid w:val="005B2996"/>
    <w:rsid w:val="005B3814"/>
    <w:rsid w:val="005B463E"/>
    <w:rsid w:val="005B6E6A"/>
    <w:rsid w:val="005C34E1"/>
    <w:rsid w:val="005C3FE0"/>
    <w:rsid w:val="005C740C"/>
    <w:rsid w:val="005D625B"/>
    <w:rsid w:val="005E16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3BAD"/>
    <w:rsid w:val="006B775E"/>
    <w:rsid w:val="006B7BC7"/>
    <w:rsid w:val="006C2535"/>
    <w:rsid w:val="006C441E"/>
    <w:rsid w:val="006C4B90"/>
    <w:rsid w:val="006D1016"/>
    <w:rsid w:val="006D17F2"/>
    <w:rsid w:val="006E0BB0"/>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67733"/>
    <w:rsid w:val="007709EF"/>
    <w:rsid w:val="00782701"/>
    <w:rsid w:val="00783331"/>
    <w:rsid w:val="0078355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27E24"/>
    <w:rsid w:val="0083178B"/>
    <w:rsid w:val="00831EE4"/>
    <w:rsid w:val="00833695"/>
    <w:rsid w:val="008336B7"/>
    <w:rsid w:val="00833A8E"/>
    <w:rsid w:val="00836ACA"/>
    <w:rsid w:val="00842CD8"/>
    <w:rsid w:val="008431FA"/>
    <w:rsid w:val="00847444"/>
    <w:rsid w:val="00847CE8"/>
    <w:rsid w:val="008517C6"/>
    <w:rsid w:val="008547BA"/>
    <w:rsid w:val="008553C7"/>
    <w:rsid w:val="00857FEB"/>
    <w:rsid w:val="008601AF"/>
    <w:rsid w:val="00872271"/>
    <w:rsid w:val="00883137"/>
    <w:rsid w:val="00894A3B"/>
    <w:rsid w:val="00896094"/>
    <w:rsid w:val="008A1F5D"/>
    <w:rsid w:val="008A28F5"/>
    <w:rsid w:val="008A5950"/>
    <w:rsid w:val="008B1198"/>
    <w:rsid w:val="008B3471"/>
    <w:rsid w:val="008B3929"/>
    <w:rsid w:val="008B4125"/>
    <w:rsid w:val="008B4CB3"/>
    <w:rsid w:val="008B567B"/>
    <w:rsid w:val="008B7B24"/>
    <w:rsid w:val="008C356D"/>
    <w:rsid w:val="008D43B5"/>
    <w:rsid w:val="008E0B3F"/>
    <w:rsid w:val="008E43F3"/>
    <w:rsid w:val="008E49AD"/>
    <w:rsid w:val="008E698E"/>
    <w:rsid w:val="008F2584"/>
    <w:rsid w:val="008F3246"/>
    <w:rsid w:val="008F3C1B"/>
    <w:rsid w:val="008F47BB"/>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2E5"/>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280"/>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1A1C"/>
    <w:rsid w:val="00BE3F88"/>
    <w:rsid w:val="00BE4756"/>
    <w:rsid w:val="00BE5ED9"/>
    <w:rsid w:val="00BE7B41"/>
    <w:rsid w:val="00BF2977"/>
    <w:rsid w:val="00C15A91"/>
    <w:rsid w:val="00C206F1"/>
    <w:rsid w:val="00C217E1"/>
    <w:rsid w:val="00C219B1"/>
    <w:rsid w:val="00C26E0A"/>
    <w:rsid w:val="00C4015B"/>
    <w:rsid w:val="00C40C60"/>
    <w:rsid w:val="00C43FE6"/>
    <w:rsid w:val="00C5258E"/>
    <w:rsid w:val="00C530C9"/>
    <w:rsid w:val="00C619A7"/>
    <w:rsid w:val="00C73D5F"/>
    <w:rsid w:val="00C82AFE"/>
    <w:rsid w:val="00C83DBC"/>
    <w:rsid w:val="00C97C80"/>
    <w:rsid w:val="00CA47D3"/>
    <w:rsid w:val="00CA6533"/>
    <w:rsid w:val="00CA6A25"/>
    <w:rsid w:val="00CA6A3F"/>
    <w:rsid w:val="00CA7C99"/>
    <w:rsid w:val="00CB2916"/>
    <w:rsid w:val="00CC6290"/>
    <w:rsid w:val="00CC6947"/>
    <w:rsid w:val="00CC7B6B"/>
    <w:rsid w:val="00CD233D"/>
    <w:rsid w:val="00CD3499"/>
    <w:rsid w:val="00CD362D"/>
    <w:rsid w:val="00CE101D"/>
    <w:rsid w:val="00CE1814"/>
    <w:rsid w:val="00CE1A95"/>
    <w:rsid w:val="00CE1C84"/>
    <w:rsid w:val="00CE5055"/>
    <w:rsid w:val="00CF053F"/>
    <w:rsid w:val="00CF1A17"/>
    <w:rsid w:val="00CF65C0"/>
    <w:rsid w:val="00D0375A"/>
    <w:rsid w:val="00D0609E"/>
    <w:rsid w:val="00D078E1"/>
    <w:rsid w:val="00D100E9"/>
    <w:rsid w:val="00D17942"/>
    <w:rsid w:val="00D21E4B"/>
    <w:rsid w:val="00D22441"/>
    <w:rsid w:val="00D23522"/>
    <w:rsid w:val="00D264D6"/>
    <w:rsid w:val="00D33BF0"/>
    <w:rsid w:val="00D33DE0"/>
    <w:rsid w:val="00D36447"/>
    <w:rsid w:val="00D45A45"/>
    <w:rsid w:val="00D516BE"/>
    <w:rsid w:val="00D52A62"/>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0281"/>
    <w:rsid w:val="00DA241E"/>
    <w:rsid w:val="00DA5DED"/>
    <w:rsid w:val="00DB36FE"/>
    <w:rsid w:val="00DB533A"/>
    <w:rsid w:val="00DB60AE"/>
    <w:rsid w:val="00DB6307"/>
    <w:rsid w:val="00DC2C9A"/>
    <w:rsid w:val="00DC5146"/>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20F2"/>
    <w:rsid w:val="00E77E18"/>
    <w:rsid w:val="00E77F89"/>
    <w:rsid w:val="00E80330"/>
    <w:rsid w:val="00E806C5"/>
    <w:rsid w:val="00E80E71"/>
    <w:rsid w:val="00E8298D"/>
    <w:rsid w:val="00E850D3"/>
    <w:rsid w:val="00E853D6"/>
    <w:rsid w:val="00E876B9"/>
    <w:rsid w:val="00EC0DFF"/>
    <w:rsid w:val="00EC237D"/>
    <w:rsid w:val="00EC2918"/>
    <w:rsid w:val="00EC4D0E"/>
    <w:rsid w:val="00EC4E2B"/>
    <w:rsid w:val="00EC5EB7"/>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23ED"/>
    <w:rsid w:val="00F34805"/>
    <w:rsid w:val="00F41A6F"/>
    <w:rsid w:val="00F45A25"/>
    <w:rsid w:val="00F50C6D"/>
    <w:rsid w:val="00F50F86"/>
    <w:rsid w:val="00F53F91"/>
    <w:rsid w:val="00F61569"/>
    <w:rsid w:val="00F61A72"/>
    <w:rsid w:val="00F62B67"/>
    <w:rsid w:val="00F66F13"/>
    <w:rsid w:val="00F74073"/>
    <w:rsid w:val="00F75603"/>
    <w:rsid w:val="00F845B4"/>
    <w:rsid w:val="00F8713B"/>
    <w:rsid w:val="00F93F9E"/>
    <w:rsid w:val="00FA087A"/>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9F30E"/>
  <w15:docId w15:val="{A053158E-1D09-461A-8D88-F06A639F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3068DE"/>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3068DE"/>
    <w:rPr>
      <w:color w:val="605E5C"/>
      <w:shd w:val="clear" w:color="auto" w:fill="E1DFDD"/>
    </w:rPr>
  </w:style>
  <w:style w:type="character" w:styleId="Verwijzingopmerking">
    <w:name w:val="annotation reference"/>
    <w:basedOn w:val="Standaardalinea-lettertype"/>
    <w:semiHidden/>
    <w:unhideWhenUsed/>
    <w:rsid w:val="005B6E6A"/>
    <w:rPr>
      <w:sz w:val="16"/>
      <w:szCs w:val="16"/>
    </w:rPr>
  </w:style>
  <w:style w:type="paragraph" w:styleId="Tekstopmerking">
    <w:name w:val="annotation text"/>
    <w:basedOn w:val="Standaard"/>
    <w:link w:val="TekstopmerkingChar"/>
    <w:unhideWhenUsed/>
    <w:rsid w:val="005B6E6A"/>
    <w:pPr>
      <w:spacing w:line="240" w:lineRule="auto"/>
    </w:pPr>
    <w:rPr>
      <w:sz w:val="20"/>
      <w:szCs w:val="20"/>
    </w:rPr>
  </w:style>
  <w:style w:type="character" w:customStyle="1" w:styleId="TekstopmerkingChar">
    <w:name w:val="Tekst opmerking Char"/>
    <w:basedOn w:val="Standaardalinea-lettertype"/>
    <w:link w:val="Tekstopmerking"/>
    <w:rsid w:val="005B6E6A"/>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5B6E6A"/>
    <w:rPr>
      <w:b/>
      <w:bCs/>
    </w:rPr>
  </w:style>
  <w:style w:type="character" w:customStyle="1" w:styleId="OnderwerpvanopmerkingChar">
    <w:name w:val="Onderwerp van opmerking Char"/>
    <w:basedOn w:val="TekstopmerkingChar"/>
    <w:link w:val="Onderwerpvanopmerking"/>
    <w:semiHidden/>
    <w:rsid w:val="005B6E6A"/>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433258">
      <w:bodyDiv w:val="1"/>
      <w:marLeft w:val="0"/>
      <w:marRight w:val="0"/>
      <w:marTop w:val="0"/>
      <w:marBottom w:val="0"/>
      <w:divBdr>
        <w:top w:val="none" w:sz="0" w:space="0" w:color="auto"/>
        <w:left w:val="none" w:sz="0" w:space="0" w:color="auto"/>
        <w:bottom w:val="none" w:sz="0" w:space="0" w:color="auto"/>
        <w:right w:val="none" w:sz="0" w:space="0" w:color="auto"/>
      </w:divBdr>
    </w:div>
    <w:div w:id="194965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FE04BE">
          <w:r w:rsidRPr="001267EE">
            <w:rPr>
              <w:rStyle w:val="Tekstvantijdelijkeaanduiding"/>
            </w:rPr>
            <w:t>Klik of tik om tekst in te voeren.</w:t>
          </w:r>
        </w:p>
      </w:docPartBody>
    </w:docPart>
    <w:docPart>
      <w:docPartPr>
        <w:name w:val="CFD61419E6AA44D5AC21AC16CEAAA2CA"/>
        <w:category>
          <w:name w:val="Algemeen"/>
          <w:gallery w:val="placeholder"/>
        </w:category>
        <w:types>
          <w:type w:val="bbPlcHdr"/>
        </w:types>
        <w:behaviors>
          <w:behavior w:val="content"/>
        </w:behaviors>
        <w:guid w:val="{C26A586E-1F27-44EF-9497-C6518B66DC10}"/>
      </w:docPartPr>
      <w:docPartBody>
        <w:p w:rsidR="0069266E" w:rsidRDefault="0069266E" w:rsidP="0069266E">
          <w:pPr>
            <w:pStyle w:val="CFD61419E6AA44D5AC21AC16CEAAA2CA"/>
          </w:pPr>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22646"/>
    <w:rsid w:val="00042A5B"/>
    <w:rsid w:val="00083B9E"/>
    <w:rsid w:val="000847F7"/>
    <w:rsid w:val="0016210D"/>
    <w:rsid w:val="002766A8"/>
    <w:rsid w:val="002A474B"/>
    <w:rsid w:val="003A443B"/>
    <w:rsid w:val="00512549"/>
    <w:rsid w:val="00526225"/>
    <w:rsid w:val="0069266E"/>
    <w:rsid w:val="00767733"/>
    <w:rsid w:val="00783331"/>
    <w:rsid w:val="00842F7B"/>
    <w:rsid w:val="00847CE8"/>
    <w:rsid w:val="008A5950"/>
    <w:rsid w:val="0099232C"/>
    <w:rsid w:val="00A22FC5"/>
    <w:rsid w:val="00A472E5"/>
    <w:rsid w:val="00AC5B25"/>
    <w:rsid w:val="00C26E0A"/>
    <w:rsid w:val="00CA2D96"/>
    <w:rsid w:val="00CB2916"/>
    <w:rsid w:val="00CD71DB"/>
    <w:rsid w:val="00D45C94"/>
    <w:rsid w:val="00DC2C9A"/>
    <w:rsid w:val="00E720F2"/>
    <w:rsid w:val="00FE04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9266E"/>
    <w:rPr>
      <w:color w:val="808080"/>
    </w:rPr>
  </w:style>
  <w:style w:type="paragraph" w:customStyle="1" w:styleId="CFD61419E6AA44D5AC21AC16CEAAA2CA">
    <w:name w:val="CFD61419E6AA44D5AC21AC16CEAAA2CA"/>
    <w:rsid w:val="0069266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689</ap:Words>
  <ap:Characters>3791</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4472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2024-10-18T14:09:00.0000000Z</dcterms:created>
  <dcterms:modified xsi:type="dcterms:W3CDTF">2024-10-18T14:09:00.0000000Z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GiulianoA</vt:lpwstr>
  </property>
  <property fmtid="{D5CDD505-2E9C-101B-9397-08002B2CF9AE}" pid="3" name="AUTHOR_ID">
    <vt:lpwstr>GiulianoA</vt:lpwstr>
  </property>
  <property fmtid="{D5CDD505-2E9C-101B-9397-08002B2CF9AE}" pid="4" name="A_ADRES">
    <vt:lpwstr>Aan de voorzitter van de Eerste/Tweede Kamer
PM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Nieuwe arbitrage procedure tegen de Staat onder het Energiehandvestverdrag</vt:lpwstr>
  </property>
  <property fmtid="{D5CDD505-2E9C-101B-9397-08002B2CF9AE}" pid="9" name="documentId">
    <vt:lpwstr>88171396</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GiulianoA</vt:lpwstr>
  </property>
</Properties>
</file>