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2637D" w:rsidR="00E2169C" w:rsidP="0072637D" w:rsidRDefault="00E2169C" w14:paraId="21937A81" w14:textId="77777777">
      <w:pPr>
        <w:pStyle w:val="ListParagraph"/>
        <w:spacing w:after="0" w:line="240" w:lineRule="exact"/>
        <w:ind w:left="0"/>
        <w:rPr>
          <w:rFonts w:ascii="Verdana" w:hAnsi="Verdana" w:cstheme="minorHAnsi"/>
          <w:sz w:val="18"/>
          <w:szCs w:val="18"/>
        </w:rPr>
      </w:pPr>
      <w:bookmarkStart w:name="_GoBack" w:id="0"/>
      <w:bookmarkEnd w:id="0"/>
      <w:r w:rsidRPr="0072637D">
        <w:rPr>
          <w:rFonts w:ascii="Verdana" w:hAnsi="Verdana" w:cstheme="minorHAnsi"/>
          <w:sz w:val="18"/>
          <w:szCs w:val="18"/>
        </w:rPr>
        <w:t>Geachte voorzitter,</w:t>
      </w:r>
    </w:p>
    <w:p w:rsidRPr="0072637D" w:rsidR="00E2169C" w:rsidP="0072637D" w:rsidRDefault="00E2169C" w14:paraId="31CF697A" w14:textId="77777777">
      <w:pPr>
        <w:pStyle w:val="ListParagraph"/>
        <w:spacing w:after="0" w:line="240" w:lineRule="exact"/>
        <w:ind w:left="0"/>
        <w:rPr>
          <w:rFonts w:ascii="Verdana" w:hAnsi="Verdana" w:cstheme="minorHAnsi"/>
          <w:sz w:val="18"/>
          <w:szCs w:val="18"/>
        </w:rPr>
      </w:pPr>
    </w:p>
    <w:p w:rsidRPr="0072637D" w:rsidR="00703ED0" w:rsidP="0072637D" w:rsidRDefault="00E2169C" w14:paraId="79CF0C18" w14:textId="6390431C">
      <w:pPr>
        <w:autoSpaceDN/>
        <w:spacing w:line="240" w:lineRule="exact"/>
        <w:rPr>
          <w:rFonts w:cs="Times New Roman"/>
          <w:color w:val="auto"/>
        </w:rPr>
      </w:pPr>
      <w:r w:rsidRPr="0072637D">
        <w:rPr>
          <w:rFonts w:cstheme="minorHAnsi"/>
        </w:rPr>
        <w:t>Zoals toegezegd in de Kamerbrief van 5 januari jl.</w:t>
      </w:r>
      <w:r w:rsidRPr="0072637D">
        <w:rPr>
          <w:rStyle w:val="FootnoteReference"/>
          <w:rFonts w:cstheme="minorHAnsi"/>
        </w:rPr>
        <w:footnoteReference w:id="1"/>
      </w:r>
      <w:r w:rsidRPr="0072637D">
        <w:rPr>
          <w:rFonts w:cstheme="minorHAnsi"/>
        </w:rPr>
        <w:t xml:space="preserve"> informeer ik u hierbij over de uitkomsten van een tweetal afgeronde onderzoeken die jaarlijks door VeiligheidNL word</w:t>
      </w:r>
      <w:r w:rsidRPr="0072637D" w:rsidR="009C180C">
        <w:rPr>
          <w:rFonts w:cstheme="minorHAnsi"/>
        </w:rPr>
        <w:t>en</w:t>
      </w:r>
      <w:r w:rsidRPr="0072637D">
        <w:rPr>
          <w:rFonts w:cstheme="minorHAnsi"/>
        </w:rPr>
        <w:t xml:space="preserve"> uitgevoerd. Het betreft de rapporten ‘Vuurwerkaankoop en </w:t>
      </w:r>
      <w:r w:rsidRPr="0072637D" w:rsidR="000132E9">
        <w:rPr>
          <w:rFonts w:cstheme="minorHAnsi"/>
        </w:rPr>
        <w:t>-</w:t>
      </w:r>
      <w:r w:rsidRPr="0072637D">
        <w:rPr>
          <w:rFonts w:cstheme="minorHAnsi"/>
        </w:rPr>
        <w:t>gebruik 2023-2024’</w:t>
      </w:r>
      <w:r w:rsidRPr="0072637D" w:rsidR="00C068B0">
        <w:rPr>
          <w:rFonts w:cstheme="minorHAnsi"/>
        </w:rPr>
        <w:t xml:space="preserve"> en </w:t>
      </w:r>
      <w:r w:rsidRPr="0072637D">
        <w:rPr>
          <w:rFonts w:cstheme="minorHAnsi"/>
        </w:rPr>
        <w:t xml:space="preserve">‘Type vuurwerk en letsel jaarwisseling 2023-2024’. Deze rapportages zijn als bijlage bijgevoegd bij deze brief. </w:t>
      </w:r>
      <w:r w:rsidRPr="0072637D" w:rsidR="00C068B0">
        <w:rPr>
          <w:rFonts w:cstheme="minorHAnsi"/>
        </w:rPr>
        <w:t>Tot slot wordt u geïnformeerd over de internationale ontwikkelingen</w:t>
      </w:r>
      <w:r w:rsidRPr="0072637D" w:rsidR="00703ED0">
        <w:rPr>
          <w:rFonts w:cstheme="minorHAnsi"/>
        </w:rPr>
        <w:t xml:space="preserve">, waarmee ik tevens, mede namens de minister van Justitie en Veiligheid, </w:t>
      </w:r>
      <w:r w:rsidR="00D9080A">
        <w:rPr>
          <w:rFonts w:cstheme="minorHAnsi"/>
        </w:rPr>
        <w:t>uitvoering geef aan</w:t>
      </w:r>
      <w:r w:rsidRPr="0072637D" w:rsidR="00703ED0">
        <w:rPr>
          <w:rFonts w:cstheme="minorHAnsi"/>
        </w:rPr>
        <w:t xml:space="preserve"> de motie van de leden Mutluer en Michon-Derkzen om de Kamer te informeren over de inspanningen op EU niveau om te komen tot een verbod op bepaalde typen zwaar professioneel vuurwerk.</w:t>
      </w:r>
      <w:r w:rsidRPr="0072637D" w:rsidR="00703ED0">
        <w:rPr>
          <w:rStyle w:val="FootnoteReference"/>
          <w:rFonts w:cstheme="minorHAnsi"/>
        </w:rPr>
        <w:footnoteReference w:id="2"/>
      </w:r>
      <w:r w:rsidRPr="0072637D" w:rsidR="00703ED0">
        <w:rPr>
          <w:rFonts w:cstheme="minorHAnsi"/>
        </w:rPr>
        <w:t xml:space="preserve"> </w:t>
      </w:r>
    </w:p>
    <w:p w:rsidRPr="0072637D" w:rsidR="00E2169C" w:rsidP="0072637D" w:rsidRDefault="00E2169C" w14:paraId="7D0E3326" w14:textId="170FF84C">
      <w:pPr>
        <w:pStyle w:val="ListParagraph"/>
        <w:spacing w:after="0" w:line="240" w:lineRule="exact"/>
        <w:ind w:left="0"/>
        <w:rPr>
          <w:rFonts w:ascii="Verdana" w:hAnsi="Verdana" w:cstheme="minorHAnsi"/>
          <w:sz w:val="18"/>
          <w:szCs w:val="18"/>
        </w:rPr>
      </w:pPr>
    </w:p>
    <w:p w:rsidRPr="0072637D" w:rsidR="00E2169C" w:rsidP="0072637D" w:rsidRDefault="00E2169C" w14:paraId="71BA4055" w14:textId="77777777">
      <w:pPr>
        <w:spacing w:line="240" w:lineRule="exact"/>
        <w:rPr>
          <w:rFonts w:cstheme="minorHAnsi"/>
          <w:b/>
          <w:bCs/>
        </w:rPr>
      </w:pPr>
      <w:r w:rsidRPr="0072637D">
        <w:rPr>
          <w:rFonts w:cstheme="minorHAnsi"/>
          <w:b/>
          <w:bCs/>
        </w:rPr>
        <w:t>Letselcijfers en type vuurwerk</w:t>
      </w:r>
    </w:p>
    <w:p w:rsidRPr="0072637D" w:rsidR="00E2169C" w:rsidP="0072637D" w:rsidRDefault="00E2169C" w14:paraId="1142E123" w14:textId="15CCE064">
      <w:pPr>
        <w:spacing w:line="240" w:lineRule="exact"/>
        <w:rPr>
          <w:rFonts w:cstheme="minorHAnsi"/>
        </w:rPr>
      </w:pPr>
      <w:r w:rsidRPr="0072637D">
        <w:rPr>
          <w:rFonts w:cstheme="minorHAnsi"/>
        </w:rPr>
        <w:t xml:space="preserve">In de brief van 5 januari jl. over het landelijk beeld van de jaarwisseling 2023-2024, is uw </w:t>
      </w:r>
      <w:r w:rsidR="009617CC">
        <w:rPr>
          <w:rFonts w:cstheme="minorHAnsi"/>
        </w:rPr>
        <w:t>K</w:t>
      </w:r>
      <w:r w:rsidRPr="0072637D">
        <w:rPr>
          <w:rFonts w:cstheme="minorHAnsi"/>
        </w:rPr>
        <w:t xml:space="preserve">amer geïnformeerd over vuurwerkletsels tijdens de afgelopen jaarwisseling. Hierbij werd het onderzoek ‘Ongevallen met vuurwerk jaarwisseling 2023-2024’ van VeiligheidNL aangeboden. Onlangs heeft VeiligheidNL het jaarlijkse </w:t>
      </w:r>
      <w:r w:rsidRPr="0072637D" w:rsidR="00C068B0">
        <w:rPr>
          <w:rFonts w:cstheme="minorHAnsi"/>
        </w:rPr>
        <w:t>vervolg</w:t>
      </w:r>
      <w:r w:rsidRPr="0072637D">
        <w:rPr>
          <w:rFonts w:cstheme="minorHAnsi"/>
        </w:rPr>
        <w:t>onderzoek naar het type vuurwerk en letsel afgerond. In dit rapport geeft VeiligheidNL een nadere analyse op de eerdere letselcijfers. In de bijlage treft u deze onderzoeken aan.</w:t>
      </w:r>
    </w:p>
    <w:p w:rsidRPr="0072637D" w:rsidR="00E2169C" w:rsidP="0072637D" w:rsidRDefault="00E2169C" w14:paraId="4DC3B0B0" w14:textId="77777777">
      <w:pPr>
        <w:spacing w:line="240" w:lineRule="exact"/>
        <w:rPr>
          <w:rFonts w:cstheme="minorHAnsi"/>
        </w:rPr>
      </w:pPr>
    </w:p>
    <w:p w:rsidRPr="0072637D" w:rsidR="00E2169C" w:rsidP="0072637D" w:rsidRDefault="00E2169C" w14:paraId="675E39E2" w14:textId="44B82CD2">
      <w:pPr>
        <w:spacing w:line="240" w:lineRule="exact"/>
        <w:rPr>
          <w:rFonts w:cstheme="minorHAnsi"/>
          <w:u w:val="single"/>
        </w:rPr>
      </w:pPr>
      <w:r w:rsidRPr="0072637D">
        <w:rPr>
          <w:rFonts w:cstheme="minorHAnsi"/>
          <w:u w:val="single"/>
        </w:rPr>
        <w:t>Vuurwerkslachtoffers</w:t>
      </w:r>
    </w:p>
    <w:p w:rsidRPr="0072637D" w:rsidR="005B33A4" w:rsidP="0072637D" w:rsidRDefault="006324FA" w14:paraId="2945CF42" w14:textId="51B14894">
      <w:pPr>
        <w:pStyle w:val="ListParagraph"/>
        <w:spacing w:after="0" w:line="240" w:lineRule="exact"/>
        <w:ind w:left="0"/>
        <w:rPr>
          <w:rFonts w:ascii="Verdana" w:hAnsi="Verdana" w:cstheme="minorHAnsi"/>
          <w:sz w:val="18"/>
          <w:szCs w:val="18"/>
        </w:rPr>
      </w:pPr>
      <w:bookmarkStart w:name="_Hlk173915745" w:id="1"/>
      <w:r w:rsidRPr="0072637D">
        <w:rPr>
          <w:rFonts w:ascii="Verdana" w:hAnsi="Verdana" w:cstheme="minorHAnsi"/>
          <w:sz w:val="18"/>
          <w:szCs w:val="18"/>
        </w:rPr>
        <w:t>Het aantal vuurwerkslachtoffers was tijdens de jaarwisseling 2023-2024 met 1.212 slachtoffers iets lager dan vorig jaar toen er 1.253 slachtoffers werden gemeld, evenals de laatste jaarwisseling voor de coronapandemie (2019-2020</w:t>
      </w:r>
      <w:r w:rsidRPr="0072637D" w:rsidR="005B33A4">
        <w:rPr>
          <w:rFonts w:ascii="Verdana" w:hAnsi="Verdana" w:cstheme="minorHAnsi"/>
          <w:sz w:val="18"/>
          <w:szCs w:val="18"/>
        </w:rPr>
        <w:t>)</w:t>
      </w:r>
      <w:r w:rsidRPr="0072637D">
        <w:rPr>
          <w:rFonts w:ascii="Verdana" w:hAnsi="Verdana" w:cstheme="minorHAnsi"/>
          <w:sz w:val="18"/>
          <w:szCs w:val="18"/>
        </w:rPr>
        <w:t>, destijds 1.285 slachtoffers.</w:t>
      </w:r>
      <w:r w:rsidRPr="0072637D" w:rsidR="005B33A4">
        <w:rPr>
          <w:rFonts w:ascii="Verdana" w:hAnsi="Verdana" w:cstheme="minorHAnsi"/>
          <w:sz w:val="18"/>
          <w:szCs w:val="18"/>
        </w:rPr>
        <w:t xml:space="preserve"> </w:t>
      </w:r>
    </w:p>
    <w:p w:rsidRPr="0072637D" w:rsidR="005B33A4" w:rsidP="0072637D" w:rsidRDefault="005B33A4" w14:paraId="2FF22F38" w14:textId="77777777">
      <w:pPr>
        <w:pStyle w:val="ListParagraph"/>
        <w:spacing w:after="0" w:line="240" w:lineRule="exact"/>
        <w:ind w:left="0"/>
        <w:rPr>
          <w:rFonts w:ascii="Verdana" w:hAnsi="Verdana" w:cstheme="minorHAnsi"/>
          <w:sz w:val="18"/>
          <w:szCs w:val="18"/>
        </w:rPr>
      </w:pPr>
    </w:p>
    <w:p w:rsidRPr="0072637D" w:rsidR="006A14FD" w:rsidP="0072637D" w:rsidRDefault="006A14FD" w14:paraId="348B2DCD" w14:textId="6C0DEE7C">
      <w:pPr>
        <w:pStyle w:val="ListParagraph"/>
        <w:spacing w:after="0" w:line="240" w:lineRule="exact"/>
        <w:ind w:left="0"/>
        <w:rPr>
          <w:rFonts w:ascii="Verdana" w:hAnsi="Verdana" w:cstheme="minorHAnsi"/>
          <w:sz w:val="18"/>
          <w:szCs w:val="18"/>
        </w:rPr>
      </w:pPr>
      <w:r w:rsidRPr="0072637D">
        <w:rPr>
          <w:rFonts w:ascii="Verdana" w:hAnsi="Verdana" w:cstheme="minorHAnsi"/>
          <w:sz w:val="18"/>
          <w:szCs w:val="18"/>
        </w:rPr>
        <w:t xml:space="preserve">Van de 1.212 gemelde vuurwerkslachtoffers (inclusief 4% carbidschieters), kwamen er 365 slachtoffers op de Spoedeisende Hulp (SEH) terecht in een </w:t>
      </w:r>
      <w:r w:rsidRPr="0072637D" w:rsidR="003242F5">
        <w:rPr>
          <w:rFonts w:ascii="Verdana" w:hAnsi="Verdana" w:cstheme="minorHAnsi"/>
          <w:sz w:val="18"/>
          <w:szCs w:val="18"/>
        </w:rPr>
        <w:t>Nederlands</w:t>
      </w:r>
      <w:r w:rsidRPr="0072637D">
        <w:rPr>
          <w:rFonts w:ascii="Verdana" w:hAnsi="Verdana" w:cstheme="minorHAnsi"/>
          <w:sz w:val="18"/>
          <w:szCs w:val="18"/>
        </w:rPr>
        <w:t xml:space="preserve"> ziekenhuis. 847 zijn behandeld bij een huisartsenpost (HAP).  </w:t>
      </w:r>
    </w:p>
    <w:p w:rsidRPr="0072637D" w:rsidR="006A14FD" w:rsidP="0072637D" w:rsidRDefault="006A14FD" w14:paraId="0412C504" w14:textId="2CB3A371">
      <w:pPr>
        <w:pStyle w:val="ListParagraph"/>
        <w:spacing w:after="0" w:line="240" w:lineRule="exact"/>
        <w:ind w:left="0"/>
        <w:rPr>
          <w:rFonts w:ascii="Verdana" w:hAnsi="Verdana" w:cstheme="minorHAnsi"/>
          <w:sz w:val="18"/>
          <w:szCs w:val="18"/>
        </w:rPr>
      </w:pPr>
      <w:r w:rsidRPr="0072637D">
        <w:rPr>
          <w:rFonts w:ascii="Verdana" w:hAnsi="Verdana" w:cstheme="minorHAnsi"/>
          <w:sz w:val="18"/>
          <w:szCs w:val="18"/>
        </w:rPr>
        <w:t>Deze informatie is verzameld door alle SEH-afdelingen in Nederland en op basis van registratie van vuurwerkslachtoffers door ruim 80% van alle huisartsenposten in Nederland.</w:t>
      </w:r>
    </w:p>
    <w:p w:rsidRPr="0072637D" w:rsidR="006A14FD" w:rsidP="0072637D" w:rsidRDefault="006A14FD" w14:paraId="7357EFA9" w14:textId="77777777">
      <w:pPr>
        <w:pStyle w:val="ListParagraph"/>
        <w:spacing w:after="0" w:line="240" w:lineRule="exact"/>
        <w:ind w:left="0"/>
        <w:rPr>
          <w:rFonts w:ascii="Verdana" w:hAnsi="Verdana" w:cstheme="minorHAnsi"/>
          <w:sz w:val="18"/>
          <w:szCs w:val="18"/>
        </w:rPr>
      </w:pPr>
    </w:p>
    <w:p w:rsidRPr="0072637D" w:rsidR="00E2169C" w:rsidP="0072637D" w:rsidRDefault="00E2169C" w14:paraId="705AF744" w14:textId="77777777">
      <w:pPr>
        <w:pStyle w:val="ListParagraph"/>
        <w:spacing w:after="0" w:line="240" w:lineRule="exact"/>
        <w:ind w:left="0"/>
        <w:rPr>
          <w:rFonts w:ascii="Verdana" w:hAnsi="Verdana" w:cstheme="minorHAnsi"/>
          <w:sz w:val="18"/>
          <w:szCs w:val="18"/>
          <w:u w:val="single"/>
        </w:rPr>
      </w:pPr>
      <w:bookmarkStart w:name="_Hlk178667468" w:id="2"/>
      <w:bookmarkEnd w:id="1"/>
      <w:r w:rsidRPr="0072637D">
        <w:rPr>
          <w:rFonts w:ascii="Verdana" w:hAnsi="Verdana" w:cstheme="minorHAnsi"/>
          <w:sz w:val="18"/>
          <w:szCs w:val="18"/>
          <w:u w:val="single"/>
        </w:rPr>
        <w:lastRenderedPageBreak/>
        <w:t xml:space="preserve">Oorzaak vuurwerkletsel </w:t>
      </w:r>
    </w:p>
    <w:p w:rsidRPr="0072637D" w:rsidR="00147C77" w:rsidP="0072637D" w:rsidRDefault="00147C77" w14:paraId="68606561" w14:textId="10C78F3E">
      <w:pPr>
        <w:pStyle w:val="ListParagraph"/>
        <w:spacing w:after="0" w:line="240" w:lineRule="exact"/>
        <w:ind w:left="0"/>
        <w:rPr>
          <w:rFonts w:ascii="Verdana" w:hAnsi="Verdana" w:cstheme="minorHAnsi"/>
          <w:sz w:val="18"/>
          <w:szCs w:val="18"/>
        </w:rPr>
      </w:pPr>
      <w:r w:rsidRPr="0072637D">
        <w:rPr>
          <w:rFonts w:ascii="Verdana" w:hAnsi="Verdana" w:cstheme="minorHAnsi"/>
          <w:sz w:val="18"/>
          <w:szCs w:val="18"/>
        </w:rPr>
        <w:t>De omgang met vuurwerk is in 40% van de gevallen de oorzaak van het letsel. In 12% was er sprake van een mankement aan het product. Van het vuurwerk waar een ongeluk mee gebeurde werd 48% van de letsels veroorzaakt door vuurwerk dat niet in Nederland verkocht mag worden aan consumenten. Dat betreft zowel zwaar illegaal (professioneel) vuurwerk, als knalvuurwerk, vuurpijlen, babypijltjes, romeinse kaarsen, overig knalvuurwerk, en overig illegaal of zelf geknutseld vuurwerk. 27% van de letsels werd veroorzaakt door legaal oudejaarsvuurwerk.</w:t>
      </w:r>
    </w:p>
    <w:p w:rsidRPr="0072637D" w:rsidR="00147C77" w:rsidP="0072637D" w:rsidRDefault="00147C77" w14:paraId="551E3964" w14:textId="77777777">
      <w:pPr>
        <w:pStyle w:val="ListParagraph"/>
        <w:spacing w:after="0" w:line="240" w:lineRule="exact"/>
        <w:ind w:left="0"/>
        <w:rPr>
          <w:rFonts w:ascii="Verdana" w:hAnsi="Verdana" w:cstheme="minorHAnsi"/>
          <w:b/>
          <w:bCs/>
          <w:sz w:val="18"/>
          <w:szCs w:val="18"/>
        </w:rPr>
      </w:pPr>
    </w:p>
    <w:p w:rsidR="00147C77" w:rsidP="0072637D" w:rsidRDefault="00147C77" w14:paraId="038C948A" w14:textId="52CEF3EC">
      <w:pPr>
        <w:pStyle w:val="ListParagraph"/>
        <w:spacing w:after="0" w:line="240" w:lineRule="exact"/>
        <w:ind w:left="0"/>
        <w:rPr>
          <w:rFonts w:ascii="Verdana" w:hAnsi="Verdana"/>
          <w:sz w:val="18"/>
          <w:szCs w:val="18"/>
        </w:rPr>
      </w:pPr>
      <w:r w:rsidRPr="0072637D">
        <w:rPr>
          <w:rFonts w:ascii="Verdana" w:hAnsi="Verdana"/>
          <w:sz w:val="18"/>
          <w:szCs w:val="18"/>
        </w:rPr>
        <w:t>Per leeftijdscategorie verschilt in het algemeen de oorzaak die zorgt voor het letsel. Tijdens de jaarwisseling 2023-2024 werden de meeste vuurwerkletsels bij jonge kinderen</w:t>
      </w:r>
      <w:r w:rsidRPr="0072637D" w:rsidR="00723813">
        <w:rPr>
          <w:rFonts w:ascii="Verdana" w:hAnsi="Verdana"/>
          <w:sz w:val="18"/>
          <w:szCs w:val="18"/>
        </w:rPr>
        <w:t xml:space="preserve"> tot 12 jaar</w:t>
      </w:r>
      <w:r w:rsidRPr="0072637D">
        <w:rPr>
          <w:rFonts w:ascii="Verdana" w:hAnsi="Verdana"/>
          <w:sz w:val="18"/>
          <w:szCs w:val="18"/>
        </w:rPr>
        <w:t xml:space="preserve"> opgelopen door F1 vuurwerk, </w:t>
      </w:r>
      <w:bookmarkStart w:name="_Hlk178682545" w:id="3"/>
      <w:r w:rsidRPr="0072637D">
        <w:rPr>
          <w:rFonts w:ascii="Verdana" w:hAnsi="Verdana"/>
          <w:sz w:val="18"/>
          <w:szCs w:val="18"/>
        </w:rPr>
        <w:t>terwijl afsteken van</w:t>
      </w:r>
      <w:r w:rsidRPr="0072637D" w:rsidR="00C97369">
        <w:rPr>
          <w:rFonts w:ascii="Verdana" w:hAnsi="Verdana"/>
          <w:sz w:val="18"/>
          <w:szCs w:val="18"/>
        </w:rPr>
        <w:t xml:space="preserve"> </w:t>
      </w:r>
      <w:r w:rsidRPr="0072637D">
        <w:rPr>
          <w:rFonts w:ascii="Verdana" w:hAnsi="Verdana"/>
          <w:sz w:val="18"/>
          <w:szCs w:val="18"/>
        </w:rPr>
        <w:t>vuurwerk voor deze jonge leeftijdsgroep niet is toegestaan.</w:t>
      </w:r>
      <w:r w:rsidRPr="0072637D" w:rsidR="00054729">
        <w:rPr>
          <w:rStyle w:val="FootnoteReference"/>
          <w:rFonts w:ascii="Verdana" w:hAnsi="Verdana"/>
          <w:sz w:val="18"/>
          <w:szCs w:val="18"/>
        </w:rPr>
        <w:footnoteReference w:id="3"/>
      </w:r>
      <w:r w:rsidRPr="0072637D">
        <w:rPr>
          <w:rFonts w:ascii="Verdana" w:hAnsi="Verdana"/>
          <w:sz w:val="18"/>
          <w:szCs w:val="18"/>
        </w:rPr>
        <w:t xml:space="preserve"> Onder kinderen/jongeren van 12-15 jaar was zwaar illegaal vuurwerk de meest voorkomende oorzaak van het letsel met 31%.</w:t>
      </w:r>
      <w:r w:rsidRPr="0072637D" w:rsidR="00C97369">
        <w:rPr>
          <w:rStyle w:val="FootnoteReference"/>
          <w:rFonts w:ascii="Verdana" w:hAnsi="Verdana"/>
          <w:sz w:val="18"/>
          <w:szCs w:val="18"/>
        </w:rPr>
        <w:footnoteReference w:id="4"/>
      </w:r>
      <w:r w:rsidRPr="0072637D">
        <w:rPr>
          <w:rFonts w:ascii="Verdana" w:hAnsi="Verdana"/>
          <w:sz w:val="18"/>
          <w:szCs w:val="18"/>
        </w:rPr>
        <w:t xml:space="preserve"> Een sterke toename ten opzichte van 202</w:t>
      </w:r>
      <w:r w:rsidRPr="0072637D" w:rsidR="00605232">
        <w:rPr>
          <w:rFonts w:ascii="Verdana" w:hAnsi="Verdana"/>
          <w:sz w:val="18"/>
          <w:szCs w:val="18"/>
        </w:rPr>
        <w:t>2</w:t>
      </w:r>
      <w:r w:rsidRPr="0072637D">
        <w:rPr>
          <w:rFonts w:ascii="Verdana" w:hAnsi="Verdana"/>
          <w:sz w:val="18"/>
          <w:szCs w:val="18"/>
        </w:rPr>
        <w:t>-202</w:t>
      </w:r>
      <w:r w:rsidRPr="0072637D" w:rsidR="00605232">
        <w:rPr>
          <w:rFonts w:ascii="Verdana" w:hAnsi="Verdana"/>
          <w:sz w:val="18"/>
          <w:szCs w:val="18"/>
        </w:rPr>
        <w:t>3</w:t>
      </w:r>
      <w:r w:rsidRPr="0072637D">
        <w:rPr>
          <w:rFonts w:ascii="Verdana" w:hAnsi="Verdana"/>
          <w:sz w:val="18"/>
          <w:szCs w:val="18"/>
        </w:rPr>
        <w:t xml:space="preserve"> toen dit aantal op 10% lag. Zwaar illegaal vuurwerk was ook i</w:t>
      </w:r>
      <w:r w:rsidRPr="0072637D">
        <w:rPr>
          <w:rFonts w:ascii="Verdana" w:hAnsi="Verdana" w:cstheme="minorHAnsi"/>
          <w:sz w:val="18"/>
          <w:szCs w:val="18"/>
        </w:rPr>
        <w:t>n de leeftijdsgroep van 16 tot 19 de meest voorkome</w:t>
      </w:r>
      <w:r w:rsidR="00047F74">
        <w:rPr>
          <w:rFonts w:ascii="Verdana" w:hAnsi="Verdana" w:cstheme="minorHAnsi"/>
          <w:sz w:val="18"/>
          <w:szCs w:val="18"/>
        </w:rPr>
        <w:t>n</w:t>
      </w:r>
      <w:r w:rsidRPr="0072637D">
        <w:rPr>
          <w:rFonts w:ascii="Verdana" w:hAnsi="Verdana" w:cstheme="minorHAnsi"/>
          <w:sz w:val="18"/>
          <w:szCs w:val="18"/>
        </w:rPr>
        <w:t>de oorzaak van het letsel. In deze groep is een stijging te zien van 17% naar 35% ten opzichte van de jaarwisseling 202</w:t>
      </w:r>
      <w:r w:rsidRPr="0072637D" w:rsidR="005A3842">
        <w:rPr>
          <w:rFonts w:ascii="Verdana" w:hAnsi="Verdana" w:cstheme="minorHAnsi"/>
          <w:sz w:val="18"/>
          <w:szCs w:val="18"/>
        </w:rPr>
        <w:t>2</w:t>
      </w:r>
      <w:r w:rsidRPr="0072637D">
        <w:rPr>
          <w:rFonts w:ascii="Verdana" w:hAnsi="Verdana" w:cstheme="minorHAnsi"/>
          <w:sz w:val="18"/>
          <w:szCs w:val="18"/>
        </w:rPr>
        <w:t>-202</w:t>
      </w:r>
      <w:r w:rsidRPr="0072637D" w:rsidR="005A3842">
        <w:rPr>
          <w:rFonts w:ascii="Verdana" w:hAnsi="Verdana" w:cstheme="minorHAnsi"/>
          <w:sz w:val="18"/>
          <w:szCs w:val="18"/>
        </w:rPr>
        <w:t>3</w:t>
      </w:r>
      <w:r w:rsidRPr="0072637D">
        <w:rPr>
          <w:rFonts w:ascii="Verdana" w:hAnsi="Verdana" w:cstheme="minorHAnsi"/>
          <w:sz w:val="18"/>
          <w:szCs w:val="18"/>
        </w:rPr>
        <w:t xml:space="preserve">. </w:t>
      </w:r>
      <w:r w:rsidRPr="0072637D">
        <w:rPr>
          <w:rFonts w:ascii="Verdana" w:hAnsi="Verdana"/>
          <w:sz w:val="18"/>
          <w:szCs w:val="18"/>
        </w:rPr>
        <w:t>In de oudere leeftijdsgroepen was legaal oudejaarsvuurwerk vaak de oorzaak van het letsel/ongeval.</w:t>
      </w:r>
    </w:p>
    <w:p w:rsidRPr="0072637D" w:rsidR="0072637D" w:rsidP="0072637D" w:rsidRDefault="0072637D" w14:paraId="1E2A56AA" w14:textId="77777777">
      <w:pPr>
        <w:pStyle w:val="ListParagraph"/>
        <w:spacing w:after="0" w:line="240" w:lineRule="exact"/>
        <w:ind w:left="0"/>
        <w:rPr>
          <w:rFonts w:ascii="Verdana" w:hAnsi="Verdana"/>
          <w:sz w:val="18"/>
          <w:szCs w:val="18"/>
        </w:rPr>
      </w:pPr>
    </w:p>
    <w:bookmarkEnd w:id="2"/>
    <w:bookmarkEnd w:id="3"/>
    <w:p w:rsidRPr="0072637D" w:rsidR="00892EDC" w:rsidP="0072637D" w:rsidRDefault="00892EDC" w14:paraId="5F9DA365" w14:textId="1D5E043F">
      <w:pPr>
        <w:spacing w:line="240" w:lineRule="exact"/>
        <w:rPr>
          <w:rFonts w:cstheme="minorHAnsi"/>
          <w:u w:val="single"/>
        </w:rPr>
      </w:pPr>
      <w:r w:rsidRPr="0072637D">
        <w:rPr>
          <w:rFonts w:cstheme="minorHAnsi"/>
          <w:u w:val="single"/>
        </w:rPr>
        <w:t>Vuurwerkaankoop</w:t>
      </w:r>
    </w:p>
    <w:p w:rsidRPr="0072637D" w:rsidR="00E2169C" w:rsidP="0072637D" w:rsidRDefault="005A3842" w14:paraId="2C6D4F6C" w14:textId="0D4E3719">
      <w:pPr>
        <w:pStyle w:val="ListParagraph"/>
        <w:spacing w:after="0" w:line="240" w:lineRule="exact"/>
        <w:ind w:left="0"/>
        <w:rPr>
          <w:rFonts w:ascii="Verdana" w:hAnsi="Verdana" w:cstheme="minorHAnsi"/>
          <w:sz w:val="18"/>
          <w:szCs w:val="18"/>
        </w:rPr>
      </w:pPr>
      <w:r w:rsidRPr="0072637D">
        <w:rPr>
          <w:rFonts w:ascii="Verdana" w:hAnsi="Verdana" w:cstheme="minorHAnsi"/>
          <w:sz w:val="18"/>
          <w:szCs w:val="18"/>
        </w:rPr>
        <w:t xml:space="preserve">In het rapport ‘Vuurwerk aankoop en – -gebruik 2023-2024’ werd dit jaar onderzoek gedaan op basis van 2.021 respondenten in de leeftijd van 20 tot 75 jaar. </w:t>
      </w:r>
      <w:r w:rsidRPr="0072637D" w:rsidR="00745D9B">
        <w:rPr>
          <w:rFonts w:ascii="Verdana" w:hAnsi="Verdana" w:cstheme="minorHAnsi"/>
          <w:sz w:val="18"/>
          <w:szCs w:val="18"/>
        </w:rPr>
        <w:t>Een kwart</w:t>
      </w:r>
      <w:r w:rsidRPr="0072637D" w:rsidR="00E2169C">
        <w:rPr>
          <w:rFonts w:ascii="Verdana" w:hAnsi="Verdana" w:cstheme="minorHAnsi"/>
          <w:sz w:val="18"/>
          <w:szCs w:val="18"/>
        </w:rPr>
        <w:t xml:space="preserve"> van de groep had voor de jaarwisseling 2023-2024 vuurwerk gekocht. Dit is </w:t>
      </w:r>
      <w:r w:rsidRPr="0072637D" w:rsidR="00745D9B">
        <w:rPr>
          <w:rFonts w:ascii="Verdana" w:hAnsi="Verdana" w:cstheme="minorHAnsi"/>
          <w:sz w:val="18"/>
          <w:szCs w:val="18"/>
        </w:rPr>
        <w:t>gelijk a</w:t>
      </w:r>
      <w:r w:rsidRPr="0072637D" w:rsidR="00E2169C">
        <w:rPr>
          <w:rFonts w:ascii="Verdana" w:hAnsi="Verdana" w:cstheme="minorHAnsi"/>
          <w:sz w:val="18"/>
          <w:szCs w:val="18"/>
        </w:rPr>
        <w:t xml:space="preserve">an de jaarwisseling 2022-2023, maar </w:t>
      </w:r>
      <w:r w:rsidRPr="0072637D" w:rsidR="00745D9B">
        <w:rPr>
          <w:rFonts w:ascii="Verdana" w:hAnsi="Verdana" w:cstheme="minorHAnsi"/>
          <w:sz w:val="18"/>
          <w:szCs w:val="18"/>
        </w:rPr>
        <w:t>minder</w:t>
      </w:r>
      <w:r w:rsidRPr="0072637D" w:rsidR="00E2169C">
        <w:rPr>
          <w:rFonts w:ascii="Verdana" w:hAnsi="Verdana" w:cstheme="minorHAnsi"/>
          <w:sz w:val="18"/>
          <w:szCs w:val="18"/>
        </w:rPr>
        <w:t xml:space="preserve"> dan de jaarwisseling voor de coronapandemie 2019-2020 (32%). Van de respondenten die in een gemeente met een afsteekverbod woonden, had 22% vuurwerk gekocht. In de gemeenten zonder verbod had 26% vuurwerk gekocht. </w:t>
      </w:r>
    </w:p>
    <w:p w:rsidRPr="0072637D" w:rsidR="00E2169C" w:rsidP="0072637D" w:rsidRDefault="00E2169C" w14:paraId="788CA238" w14:textId="77777777">
      <w:pPr>
        <w:pStyle w:val="ListParagraph"/>
        <w:spacing w:after="0" w:line="240" w:lineRule="exact"/>
        <w:ind w:left="0"/>
        <w:rPr>
          <w:rFonts w:ascii="Verdana" w:hAnsi="Verdana" w:cstheme="minorHAnsi"/>
          <w:sz w:val="18"/>
          <w:szCs w:val="18"/>
        </w:rPr>
      </w:pPr>
      <w:r w:rsidRPr="0072637D">
        <w:rPr>
          <w:rFonts w:ascii="Verdana" w:hAnsi="Verdana" w:cstheme="minorHAnsi"/>
          <w:sz w:val="18"/>
          <w:szCs w:val="18"/>
        </w:rPr>
        <w:t>Het gemiddelde bedrag dat per persoon werd uitgegeven aan vuurwerk was €108. Onder de vuurwerkkopers werd veelal gekocht bij een officieel verkooppunt van oudejaarsvuurwerk in Nederland (43%). Daarnaast kocht 41% bij Nederlandse winkelketens (warenhuizen en supermarkten) en 24% in het buitenland. In gemeenten zonder verbod had 26% van de respondenten vuurwerk in het buitenland gekocht; veelal in België of Duitsland.</w:t>
      </w:r>
    </w:p>
    <w:p w:rsidRPr="0072637D" w:rsidR="00E2169C" w:rsidP="0072637D" w:rsidRDefault="00E2169C" w14:paraId="46384331" w14:textId="77777777">
      <w:pPr>
        <w:pStyle w:val="ListParagraph"/>
        <w:spacing w:after="0" w:line="240" w:lineRule="exact"/>
        <w:ind w:left="0"/>
        <w:rPr>
          <w:rFonts w:ascii="Verdana" w:hAnsi="Verdana" w:cstheme="minorHAnsi"/>
          <w:sz w:val="18"/>
          <w:szCs w:val="18"/>
        </w:rPr>
      </w:pPr>
    </w:p>
    <w:p w:rsidRPr="0072637D" w:rsidR="00892EDC" w:rsidP="0072637D" w:rsidRDefault="007321C3" w14:paraId="0860844C" w14:textId="28462480">
      <w:pPr>
        <w:spacing w:line="240" w:lineRule="exact"/>
        <w:rPr>
          <w:rFonts w:cstheme="minorHAnsi"/>
          <w:color w:val="auto"/>
          <w:u w:val="single"/>
        </w:rPr>
      </w:pPr>
      <w:r w:rsidRPr="0072637D">
        <w:rPr>
          <w:rFonts w:cstheme="minorHAnsi"/>
          <w:color w:val="auto"/>
          <w:u w:val="single"/>
        </w:rPr>
        <w:t>V</w:t>
      </w:r>
      <w:r w:rsidRPr="0072637D" w:rsidR="00892EDC">
        <w:rPr>
          <w:rFonts w:cstheme="minorHAnsi"/>
          <w:color w:val="auto"/>
          <w:u w:val="single"/>
        </w:rPr>
        <w:t>uurwerkgebruik</w:t>
      </w:r>
    </w:p>
    <w:p w:rsidRPr="0072637D" w:rsidR="00E2169C" w:rsidP="0072637D" w:rsidRDefault="00E2169C" w14:paraId="77768A96" w14:textId="35463238">
      <w:pPr>
        <w:spacing w:line="240" w:lineRule="exact"/>
        <w:rPr>
          <w:rFonts w:cstheme="minorHAnsi"/>
          <w:color w:val="auto"/>
        </w:rPr>
      </w:pPr>
      <w:r w:rsidRPr="0072637D">
        <w:rPr>
          <w:rFonts w:cstheme="minorHAnsi"/>
          <w:color w:val="auto"/>
        </w:rPr>
        <w:t>28</w:t>
      </w:r>
      <w:r w:rsidRPr="0072637D">
        <w:rPr>
          <w:rFonts w:cstheme="minorHAnsi"/>
        </w:rPr>
        <w:t xml:space="preserve">% </w:t>
      </w:r>
      <w:r w:rsidRPr="0072637D">
        <w:rPr>
          <w:rFonts w:cstheme="minorHAnsi"/>
          <w:color w:val="auto"/>
        </w:rPr>
        <w:t>van de respondenten</w:t>
      </w:r>
      <w:r w:rsidRPr="0072637D">
        <w:rPr>
          <w:rFonts w:cstheme="minorHAnsi"/>
        </w:rPr>
        <w:t xml:space="preserve"> </w:t>
      </w:r>
      <w:r w:rsidRPr="0072637D" w:rsidR="00892EDC">
        <w:rPr>
          <w:rFonts w:cstheme="minorHAnsi"/>
        </w:rPr>
        <w:t xml:space="preserve">heeft </w:t>
      </w:r>
      <w:r w:rsidRPr="0072637D">
        <w:rPr>
          <w:rFonts w:cstheme="minorHAnsi"/>
        </w:rPr>
        <w:t>afgelopen jaarwisseling</w:t>
      </w:r>
      <w:r w:rsidRPr="0072637D">
        <w:rPr>
          <w:rFonts w:cstheme="minorHAnsi"/>
          <w:color w:val="auto"/>
        </w:rPr>
        <w:t xml:space="preserve"> vuurwerk afgestoken</w:t>
      </w:r>
      <w:r w:rsidRPr="0072637D" w:rsidR="00745D9B">
        <w:rPr>
          <w:rFonts w:cstheme="minorHAnsi"/>
        </w:rPr>
        <w:t xml:space="preserve">. Dat </w:t>
      </w:r>
      <w:r w:rsidRPr="0072637D">
        <w:rPr>
          <w:rFonts w:cstheme="minorHAnsi"/>
        </w:rPr>
        <w:t>geldt zowel voor gemeenten waar vuurwerk mocht worden afgestoken en gemeenten waar een verbod gold op het afsteken van consumentenvuurwerk.</w:t>
      </w:r>
      <w:r w:rsidRPr="0072637D">
        <w:rPr>
          <w:rFonts w:cstheme="minorHAnsi"/>
          <w:color w:val="auto"/>
        </w:rPr>
        <w:t xml:space="preserve"> Dit is vergelijkbaar met 2022-2023</w:t>
      </w:r>
      <w:r w:rsidRPr="0072637D">
        <w:rPr>
          <w:rFonts w:cstheme="minorHAnsi"/>
        </w:rPr>
        <w:t xml:space="preserve"> (24%)</w:t>
      </w:r>
      <w:r w:rsidRPr="0072637D">
        <w:rPr>
          <w:rFonts w:cstheme="minorHAnsi"/>
          <w:color w:val="auto"/>
        </w:rPr>
        <w:t xml:space="preserve">, maar het is wel </w:t>
      </w:r>
      <w:r w:rsidRPr="0072637D" w:rsidR="00745D9B">
        <w:rPr>
          <w:rFonts w:cstheme="minorHAnsi"/>
          <w:color w:val="auto"/>
        </w:rPr>
        <w:t>minder</w:t>
      </w:r>
      <w:r w:rsidRPr="0072637D">
        <w:rPr>
          <w:rFonts w:cstheme="minorHAnsi"/>
          <w:color w:val="auto"/>
        </w:rPr>
        <w:t xml:space="preserve"> dan in 2019-2020</w:t>
      </w:r>
      <w:r w:rsidRPr="0072637D">
        <w:rPr>
          <w:rFonts w:cstheme="minorHAnsi"/>
        </w:rPr>
        <w:t xml:space="preserve"> (38%). </w:t>
      </w:r>
      <w:r w:rsidRPr="0072637D">
        <w:rPr>
          <w:rFonts w:cstheme="minorHAnsi"/>
          <w:color w:val="auto"/>
        </w:rPr>
        <w:t>Van de respondenten die vuurwerk afstaken had 71</w:t>
      </w:r>
      <w:r w:rsidRPr="0072637D">
        <w:rPr>
          <w:rFonts w:cstheme="minorHAnsi"/>
        </w:rPr>
        <w:t xml:space="preserve">% </w:t>
      </w:r>
      <w:r w:rsidRPr="0072637D">
        <w:rPr>
          <w:rFonts w:cstheme="minorHAnsi"/>
          <w:color w:val="auto"/>
        </w:rPr>
        <w:t>fop- en schertsvuurwerk, 62</w:t>
      </w:r>
      <w:r w:rsidRPr="0072637D">
        <w:rPr>
          <w:rFonts w:cstheme="minorHAnsi"/>
        </w:rPr>
        <w:t xml:space="preserve">% </w:t>
      </w:r>
      <w:r w:rsidRPr="0072637D">
        <w:rPr>
          <w:rFonts w:cstheme="minorHAnsi"/>
          <w:color w:val="auto"/>
        </w:rPr>
        <w:t>oudejaarsvuurwerk en 11</w:t>
      </w:r>
      <w:r w:rsidRPr="0072637D">
        <w:rPr>
          <w:rFonts w:cstheme="minorHAnsi"/>
        </w:rPr>
        <w:t xml:space="preserve">% </w:t>
      </w:r>
      <w:r w:rsidRPr="0072637D">
        <w:rPr>
          <w:rFonts w:cstheme="minorHAnsi"/>
          <w:color w:val="auto"/>
        </w:rPr>
        <w:t>zwaar illegaal vuurwerk</w:t>
      </w:r>
      <w:r w:rsidRPr="0072637D">
        <w:rPr>
          <w:rFonts w:cstheme="minorHAnsi"/>
        </w:rPr>
        <w:t>. Ten slotte had</w:t>
      </w:r>
      <w:r w:rsidRPr="0072637D">
        <w:rPr>
          <w:rFonts w:cstheme="minorHAnsi"/>
          <w:color w:val="auto"/>
        </w:rPr>
        <w:t xml:space="preserve"> </w:t>
      </w:r>
      <w:r w:rsidRPr="0072637D">
        <w:rPr>
          <w:rFonts w:cstheme="minorHAnsi"/>
        </w:rPr>
        <w:t>35% overig illegaal vuurwerk afgestoken.</w:t>
      </w:r>
      <w:r w:rsidRPr="0072637D">
        <w:rPr>
          <w:rStyle w:val="FootnoteReference"/>
          <w:rFonts w:cstheme="minorHAnsi"/>
        </w:rPr>
        <w:footnoteReference w:id="5"/>
      </w:r>
      <w:r w:rsidRPr="0072637D">
        <w:rPr>
          <w:rFonts w:cstheme="minorHAnsi"/>
        </w:rPr>
        <w:t xml:space="preserve"> </w:t>
      </w:r>
      <w:r w:rsidRPr="0072637D">
        <w:rPr>
          <w:rFonts w:cstheme="minorHAnsi"/>
          <w:color w:val="auto"/>
        </w:rPr>
        <w:t>Er werden meer vuurpijlen en knalvuurwerk afgestoken dan in 2022-2023, ondanks dat er een verbod is voor consumenten op het afsteken van deze typen vuurwerk.</w:t>
      </w:r>
    </w:p>
    <w:p w:rsidRPr="0072637D" w:rsidR="00E2169C" w:rsidP="0072637D" w:rsidRDefault="00E2169C" w14:paraId="19AF89E4" w14:textId="77777777">
      <w:pPr>
        <w:spacing w:line="240" w:lineRule="exact"/>
        <w:rPr>
          <w:rFonts w:cstheme="minorHAnsi"/>
        </w:rPr>
      </w:pPr>
    </w:p>
    <w:p w:rsidRPr="0072637D" w:rsidR="00E2169C" w:rsidP="0072637D" w:rsidRDefault="00E2169C" w14:paraId="7E49AACB" w14:textId="77777777">
      <w:pPr>
        <w:spacing w:line="240" w:lineRule="exact"/>
        <w:rPr>
          <w:rFonts w:cstheme="minorHAnsi"/>
        </w:rPr>
      </w:pPr>
      <w:r w:rsidRPr="0072637D">
        <w:rPr>
          <w:rFonts w:cstheme="minorHAnsi"/>
        </w:rPr>
        <w:t xml:space="preserve">Het gebruik van beschermingsmaatregelen door afstekers nam de afgelopen vijf jaarwisselingen af. Tijdens de jaarwisseling van 2019-2020 droeg 58% van de afstekers een veiligheidsbril. Sinds de jaarwisseling van 2021-2022 is dit aantal gestabiliseerd rond de 42%. Een daling van zo’n 16%. Van de afstekers droeg 20% tijdens de jaarwisseling van 2019-2020 gehoorbeschermers. Tijdens de jaarwisseling van 2020-2021 nog grofweg 11% van de afstekers. Dat aantal is de jaarwisselingen daaropvolgend gestegen met tot gevolg dat tijdens de jaarwisseling van 2023-2024 15% van de afstekers gehoorbeschermers droeg. </w:t>
      </w:r>
    </w:p>
    <w:p w:rsidRPr="0072637D" w:rsidR="00E2169C" w:rsidP="0072637D" w:rsidRDefault="00E2169C" w14:paraId="6B2A2C13" w14:textId="77777777">
      <w:pPr>
        <w:spacing w:line="240" w:lineRule="exact"/>
        <w:rPr>
          <w:rFonts w:cstheme="minorHAnsi"/>
        </w:rPr>
      </w:pPr>
    </w:p>
    <w:p w:rsidRPr="0072637D" w:rsidR="00E2169C" w:rsidP="0072637D" w:rsidRDefault="00E2169C" w14:paraId="4BE9B855" w14:textId="77777777">
      <w:pPr>
        <w:spacing w:line="240" w:lineRule="exact"/>
        <w:rPr>
          <w:rFonts w:cstheme="minorHAnsi"/>
        </w:rPr>
      </w:pPr>
      <w:r w:rsidRPr="0072637D">
        <w:rPr>
          <w:rFonts w:cstheme="minorHAnsi"/>
        </w:rPr>
        <w:t xml:space="preserve">Kinderen van afstekers worden daarentegen beter beschermd. </w:t>
      </w:r>
      <w:r w:rsidRPr="0072637D">
        <w:rPr>
          <w:rFonts w:cstheme="minorHAnsi"/>
          <w:color w:val="auto"/>
        </w:rPr>
        <w:t>De afgelopen vier jaarwisselingen is er sprake van een stijgende trend in het dragen van gehoorbeschermers door kinderen.</w:t>
      </w:r>
      <w:r w:rsidRPr="0072637D">
        <w:rPr>
          <w:rFonts w:cstheme="minorHAnsi"/>
          <w:b/>
          <w:bCs/>
        </w:rPr>
        <w:t xml:space="preserve"> </w:t>
      </w:r>
      <w:r w:rsidRPr="0072637D">
        <w:rPr>
          <w:rFonts w:cstheme="minorHAnsi"/>
          <w:color w:val="auto"/>
        </w:rPr>
        <w:t>Er werden in 2023-2024 over het algemeen vaker beschermingsmaatregelen bij kinderen genomen</w:t>
      </w:r>
      <w:r w:rsidRPr="0072637D">
        <w:rPr>
          <w:rFonts w:cstheme="minorHAnsi"/>
        </w:rPr>
        <w:t xml:space="preserve"> (23%),</w:t>
      </w:r>
      <w:r w:rsidRPr="0072637D">
        <w:rPr>
          <w:rFonts w:cstheme="minorHAnsi"/>
          <w:color w:val="auto"/>
        </w:rPr>
        <w:t xml:space="preserve"> dan in </w:t>
      </w:r>
      <w:r w:rsidRPr="0072637D">
        <w:rPr>
          <w:rFonts w:cstheme="minorHAnsi"/>
        </w:rPr>
        <w:t xml:space="preserve">2020-2021 (13%), 2021-2022 (17%), </w:t>
      </w:r>
      <w:r w:rsidRPr="0072637D">
        <w:rPr>
          <w:rFonts w:cstheme="minorHAnsi"/>
          <w:color w:val="auto"/>
        </w:rPr>
        <w:t>2022-2023</w:t>
      </w:r>
      <w:r w:rsidRPr="0072637D">
        <w:rPr>
          <w:rFonts w:cstheme="minorHAnsi"/>
        </w:rPr>
        <w:t xml:space="preserve"> (20%) en is daardoor weer terug op het niveau van de jaarwisseling van 2019-2020 (24%). </w:t>
      </w:r>
    </w:p>
    <w:p w:rsidRPr="0072637D" w:rsidR="00E2169C" w:rsidP="0072637D" w:rsidRDefault="00E2169C" w14:paraId="60517037" w14:textId="77777777">
      <w:pPr>
        <w:spacing w:line="240" w:lineRule="exact"/>
        <w:rPr>
          <w:rFonts w:cstheme="minorHAnsi"/>
        </w:rPr>
      </w:pPr>
    </w:p>
    <w:p w:rsidRPr="0072637D" w:rsidR="00E2169C" w:rsidP="0072637D" w:rsidRDefault="00E2169C" w14:paraId="2F4AD7EE" w14:textId="77777777">
      <w:pPr>
        <w:spacing w:line="240" w:lineRule="exact"/>
        <w:rPr>
          <w:rFonts w:cstheme="minorHAnsi"/>
        </w:rPr>
      </w:pPr>
      <w:r w:rsidRPr="0072637D">
        <w:rPr>
          <w:rFonts w:cstheme="minorHAnsi"/>
        </w:rPr>
        <w:t xml:space="preserve">Tijdens de jaarwisseling van 2019-2020 droeg 74% van de kinderen van afstekers een veiligheidsbril, waarna in opvolgende jaarwisselingen een daling was te zien. Tijdens de jaarwisselingen van 2021-2022 en 2022-2023 droeg zo’n 62% van de kinderen van afstekers een veiligheidsbril. Tijdens de jaarwisseling van 2023-2024 droeg 68% van de kinderen van afstekers een veiligheidsbril. </w:t>
      </w:r>
    </w:p>
    <w:p w:rsidRPr="0072637D" w:rsidR="00E2169C" w:rsidP="0072637D" w:rsidRDefault="00E2169C" w14:paraId="654A9927" w14:textId="77777777">
      <w:pPr>
        <w:spacing w:line="240" w:lineRule="exact"/>
        <w:rPr>
          <w:rFonts w:cstheme="minorHAnsi"/>
        </w:rPr>
      </w:pPr>
    </w:p>
    <w:p w:rsidRPr="0072637D" w:rsidR="00E2169C" w:rsidP="0072637D" w:rsidRDefault="00E2169C" w14:paraId="79E2693F" w14:textId="77777777">
      <w:pPr>
        <w:spacing w:line="240" w:lineRule="exact"/>
        <w:rPr>
          <w:rFonts w:cstheme="minorHAnsi"/>
          <w:color w:val="auto"/>
        </w:rPr>
      </w:pPr>
      <w:r w:rsidRPr="0072637D">
        <w:rPr>
          <w:rFonts w:cstheme="minorHAnsi"/>
        </w:rPr>
        <w:t xml:space="preserve">Door VeiligheidNL wordt de respondenten ook gevraagd om hun mening over vuurwerk. De mening over vuurwerk, op het gebied van de mate van overlast en de tevredenheid over voorlichting is vergelijkbaar met 2022-2023. </w:t>
      </w:r>
      <w:r w:rsidRPr="0072637D">
        <w:rPr>
          <w:rFonts w:cstheme="minorHAnsi"/>
          <w:color w:val="auto"/>
        </w:rPr>
        <w:t>De afgelopen vijf jaarwisselingen was er volgens de respondenten wel een dalende trend in overlast en een stijgende trend in onvoldoende voorlichting.</w:t>
      </w:r>
    </w:p>
    <w:p w:rsidRPr="0072637D" w:rsidR="00E2169C" w:rsidP="0072637D" w:rsidRDefault="00E2169C" w14:paraId="7DEC8E4B" w14:textId="77777777">
      <w:pPr>
        <w:spacing w:line="240" w:lineRule="exact"/>
        <w:rPr>
          <w:rFonts w:cstheme="minorHAnsi"/>
        </w:rPr>
      </w:pPr>
    </w:p>
    <w:p w:rsidRPr="0072637D" w:rsidR="00E2169C" w:rsidP="0072637D" w:rsidRDefault="00E2169C" w14:paraId="771BCF8D" w14:textId="77777777">
      <w:pPr>
        <w:spacing w:line="240" w:lineRule="exact"/>
        <w:rPr>
          <w:rFonts w:cstheme="minorHAnsi"/>
          <w:b/>
          <w:bCs/>
        </w:rPr>
      </w:pPr>
      <w:r w:rsidRPr="0072637D">
        <w:rPr>
          <w:rFonts w:cstheme="minorHAnsi"/>
          <w:b/>
          <w:bCs/>
        </w:rPr>
        <w:t>Internationale ontwikkelingen</w:t>
      </w:r>
    </w:p>
    <w:p w:rsidRPr="0072637D" w:rsidR="00E2169C" w:rsidP="0072637D" w:rsidRDefault="00E2169C" w14:paraId="00F63B41" w14:textId="77777777">
      <w:pPr>
        <w:spacing w:line="240" w:lineRule="exact"/>
        <w:ind w:firstLine="708"/>
        <w:rPr>
          <w:rFonts w:cstheme="minorHAnsi"/>
          <w:b/>
          <w:bCs/>
        </w:rPr>
      </w:pPr>
    </w:p>
    <w:p w:rsidRPr="0072637D" w:rsidR="00E2169C" w:rsidP="0072637D" w:rsidRDefault="00E2169C" w14:paraId="014BD6CD" w14:textId="77777777">
      <w:pPr>
        <w:spacing w:line="240" w:lineRule="exact"/>
        <w:rPr>
          <w:rFonts w:cstheme="minorHAnsi"/>
          <w:i/>
          <w:iCs/>
        </w:rPr>
      </w:pPr>
      <w:r w:rsidRPr="0072637D">
        <w:rPr>
          <w:rFonts w:cstheme="minorHAnsi"/>
          <w:i/>
          <w:iCs/>
        </w:rPr>
        <w:t>Benelux</w:t>
      </w:r>
    </w:p>
    <w:p w:rsidRPr="0072637D" w:rsidR="00E2169C" w:rsidP="0072637D" w:rsidRDefault="00E2169C" w14:paraId="557C3410" w14:textId="77777777">
      <w:pPr>
        <w:spacing w:line="240" w:lineRule="exact"/>
        <w:rPr>
          <w:rFonts w:cstheme="minorBidi"/>
        </w:rPr>
      </w:pPr>
      <w:r w:rsidRPr="0072637D">
        <w:rPr>
          <w:rFonts w:cstheme="minorBidi"/>
        </w:rPr>
        <w:t>Eerder is uw Kamer geïnformeerd over de twee Benelux-beschikkingen die binnen Benelux-verband zijn vastgesteld: de beschikking pyro-pass</w:t>
      </w:r>
      <w:r w:rsidRPr="0072637D">
        <w:rPr>
          <w:rStyle w:val="FootnoteReference"/>
          <w:rFonts w:cstheme="minorBidi"/>
        </w:rPr>
        <w:footnoteReference w:id="6"/>
      </w:r>
      <w:r w:rsidRPr="0072637D">
        <w:rPr>
          <w:rFonts w:cstheme="minorBidi"/>
        </w:rPr>
        <w:t xml:space="preserve"> en de beschikking oneigenlijke aanwending</w:t>
      </w:r>
      <w:r w:rsidRPr="0072637D">
        <w:rPr>
          <w:rStyle w:val="FootnoteReference"/>
          <w:rFonts w:cstheme="minorBidi"/>
        </w:rPr>
        <w:footnoteReference w:id="7"/>
      </w:r>
      <w:r w:rsidRPr="0072637D">
        <w:rPr>
          <w:rFonts w:cstheme="minorBidi"/>
        </w:rPr>
        <w:t xml:space="preserve">. De afgelopen periode is door de drie landen gewerkt aan de implementatie van de pyro-pass. </w:t>
      </w:r>
    </w:p>
    <w:p w:rsidRPr="0072637D" w:rsidR="00E2169C" w:rsidP="0072637D" w:rsidRDefault="00E2169C" w14:paraId="18E63AFE" w14:textId="77777777">
      <w:pPr>
        <w:spacing w:line="240" w:lineRule="exact"/>
        <w:rPr>
          <w:rFonts w:cstheme="minorBidi"/>
        </w:rPr>
      </w:pPr>
    </w:p>
    <w:p w:rsidRPr="0072637D" w:rsidR="00E2169C" w:rsidP="0072637D" w:rsidRDefault="00E2169C" w14:paraId="5371E017" w14:textId="2CE4AFE0">
      <w:pPr>
        <w:spacing w:line="240" w:lineRule="exact"/>
        <w:rPr>
          <w:rFonts w:cstheme="minorBidi"/>
        </w:rPr>
      </w:pPr>
      <w:r w:rsidRPr="0072637D">
        <w:rPr>
          <w:rFonts w:cstheme="minorBidi"/>
        </w:rPr>
        <w:t xml:space="preserve">Op 1 oktober </w:t>
      </w:r>
      <w:r w:rsidRPr="0072637D" w:rsidR="00703ED0">
        <w:rPr>
          <w:rFonts w:cstheme="minorBidi"/>
        </w:rPr>
        <w:t xml:space="preserve">is </w:t>
      </w:r>
      <w:r w:rsidRPr="0072637D">
        <w:rPr>
          <w:rFonts w:cstheme="minorBidi"/>
        </w:rPr>
        <w:t xml:space="preserve">in Nederland de regelgeving in werking </w:t>
      </w:r>
      <w:r w:rsidRPr="0072637D" w:rsidR="00BE49FC">
        <w:rPr>
          <w:rFonts w:cstheme="minorBidi"/>
        </w:rPr>
        <w:t xml:space="preserve">getreden </w:t>
      </w:r>
      <w:r w:rsidRPr="0072637D">
        <w:rPr>
          <w:rFonts w:cstheme="minorBidi"/>
        </w:rPr>
        <w:t xml:space="preserve">waarmee de pyro-pass </w:t>
      </w:r>
      <w:r w:rsidRPr="0072637D" w:rsidR="00703ED0">
        <w:rPr>
          <w:rFonts w:cstheme="minorBidi"/>
        </w:rPr>
        <w:t>is</w:t>
      </w:r>
      <w:r w:rsidRPr="0072637D">
        <w:rPr>
          <w:rFonts w:cstheme="minorBidi"/>
        </w:rPr>
        <w:t xml:space="preserve"> ingevoerd. De pyro-pass kan vanaf dat moment worden aangevraagd. De pyro-pass is een controledocument binnen de Benelux waarmee verkopers van bepaalde typen pyrotechnische artikelen – zoals professioneel vuurwerk – eenvoudiger kunnen controleren of een koper over de juiste papieren beschikt. Hiermee wordt de interne markt vergemakkelijkt. De pyro-pass dient tevens als instrument in de strijd tegen de illegale handel met professioneel vuurwerk. </w:t>
      </w:r>
    </w:p>
    <w:p w:rsidRPr="0072637D" w:rsidR="00E2169C" w:rsidP="0072637D" w:rsidRDefault="00E2169C" w14:paraId="52AEA693" w14:textId="77777777">
      <w:pPr>
        <w:spacing w:line="240" w:lineRule="exact"/>
        <w:rPr>
          <w:rFonts w:cstheme="minorBidi"/>
        </w:rPr>
      </w:pPr>
    </w:p>
    <w:p w:rsidRPr="0072637D" w:rsidR="00E2169C" w:rsidP="0072637D" w:rsidRDefault="00E2169C" w14:paraId="1139358A" w14:textId="294E7D10">
      <w:pPr>
        <w:spacing w:line="240" w:lineRule="exact"/>
        <w:rPr>
          <w:rFonts w:cstheme="minorBidi"/>
        </w:rPr>
      </w:pPr>
      <w:r w:rsidRPr="0072637D">
        <w:rPr>
          <w:rFonts w:cstheme="minorBidi"/>
        </w:rPr>
        <w:t xml:space="preserve">Daarnaast wordt gewerkt aan de implementatie van de Benelux-beschikking oneigenlijke aanwending. Hiertoe wordt de Regeling overige pyrotechnische artikelen gewijzigd. Na wijziging van deze regeling wordt het bezit, gebruik en/of de verkoop van bepaalde pyrotechnische artikelen van categorie P1 verboden, behalve voor personen met gespecialiseerde kennis en personen met een vergunning of een vergelijkbaar document. Het streven is om deze wijziging per 1 </w:t>
      </w:r>
      <w:r w:rsidRPr="0072637D" w:rsidR="008618A9">
        <w:rPr>
          <w:rFonts w:cstheme="minorBidi"/>
        </w:rPr>
        <w:t>april</w:t>
      </w:r>
      <w:r w:rsidRPr="0072637D">
        <w:rPr>
          <w:rFonts w:cstheme="minorBidi"/>
        </w:rPr>
        <w:t xml:space="preserve"> 2025 in werking te laten treden. </w:t>
      </w:r>
    </w:p>
    <w:p w:rsidRPr="0072637D" w:rsidR="00E2169C" w:rsidP="0072637D" w:rsidRDefault="00E2169C" w14:paraId="5AC7A455" w14:textId="77777777">
      <w:pPr>
        <w:spacing w:line="240" w:lineRule="exact"/>
        <w:ind w:firstLine="708"/>
        <w:rPr>
          <w:rFonts w:cstheme="minorHAnsi"/>
          <w:b/>
          <w:bCs/>
        </w:rPr>
      </w:pPr>
    </w:p>
    <w:p w:rsidRPr="00623CE2" w:rsidR="00E2169C" w:rsidP="0072637D" w:rsidRDefault="00E2169C" w14:paraId="37F8295F" w14:textId="713ED0B7">
      <w:pPr>
        <w:spacing w:line="240" w:lineRule="exact"/>
        <w:rPr>
          <w:rFonts w:cstheme="minorHAnsi"/>
          <w:i/>
          <w:iCs/>
        </w:rPr>
      </w:pPr>
      <w:r w:rsidRPr="00623CE2">
        <w:rPr>
          <w:rFonts w:cstheme="minorHAnsi"/>
          <w:i/>
          <w:iCs/>
        </w:rPr>
        <w:t>EU</w:t>
      </w:r>
      <w:r w:rsidRPr="00623CE2" w:rsidR="00C63C47">
        <w:rPr>
          <w:rFonts w:cstheme="minorHAnsi"/>
          <w:i/>
          <w:iCs/>
        </w:rPr>
        <w:t>: non-papers, motie Mutluer – Michon-Derkzen en Pyrorichtlijn</w:t>
      </w:r>
    </w:p>
    <w:p w:rsidRPr="0072637D" w:rsidR="00703ED0" w:rsidP="0072637D" w:rsidRDefault="00E2169C" w14:paraId="2361BFA1" w14:textId="77777777">
      <w:pPr>
        <w:spacing w:line="240" w:lineRule="exact"/>
        <w:rPr>
          <w:rFonts w:cstheme="minorHAnsi"/>
        </w:rPr>
      </w:pPr>
      <w:r w:rsidRPr="0072637D">
        <w:rPr>
          <w:rFonts w:cstheme="minorHAnsi"/>
        </w:rPr>
        <w:t xml:space="preserve">Veel van de Nederlandse wet- en regelgeving over pyrotechnische artikelen, waaronder vuurwerk, is een directe implementatie van de Europese Pyrorichtlijn (Richtlijn 2013/29). Nederland zet zich reeds jarenlang internationaal in voor verbetering van de regels over pyrotechnische artikelen. Eerder dit jaar is uw Kamer geïnformeerd over de Nederlandse inzet binnen de Europese Unie. De Nederlandse ambities zijn beschreven in twee non-papers. Deze non-papers zijn opgesteld met het oog op het aantreden van de nieuwe Europese Commissie, en ten behoeve van een mogelijke herziening van de Pyrorichtlijn wanneer de evaluatie is afgerond. </w:t>
      </w:r>
      <w:r w:rsidRPr="0072637D" w:rsidR="00703ED0">
        <w:rPr>
          <w:rFonts w:cstheme="minorHAnsi"/>
        </w:rPr>
        <w:t>In de papers wordt de problematiek geschetst die Nederland ziet, en worden voorstellen gepresenteerd om deze problemen aan te pakken.</w:t>
      </w:r>
    </w:p>
    <w:p w:rsidRPr="0072637D" w:rsidR="00703ED0" w:rsidP="0072637D" w:rsidRDefault="00703ED0" w14:paraId="65388A46" w14:textId="77777777">
      <w:pPr>
        <w:spacing w:line="240" w:lineRule="exact"/>
        <w:rPr>
          <w:rFonts w:cstheme="minorHAnsi"/>
        </w:rPr>
      </w:pPr>
    </w:p>
    <w:p w:rsidRPr="0072637D" w:rsidR="00703ED0" w:rsidP="0072637D" w:rsidRDefault="00E2169C" w14:paraId="1B84E6E8" w14:textId="77777777">
      <w:pPr>
        <w:spacing w:line="240" w:lineRule="exact"/>
        <w:rPr>
          <w:rFonts w:cstheme="minorHAnsi"/>
        </w:rPr>
      </w:pPr>
      <w:r w:rsidRPr="0072637D">
        <w:rPr>
          <w:rFonts w:cstheme="minorHAnsi"/>
        </w:rPr>
        <w:t>Over het non-paper waarin Nederland voorstellen doet om op EU-niveau de productconformiteit van (consumenten)vuurwerk te verbeteren, bent u geïnformeerd bij Kamerbrief van 14 maart jl.</w:t>
      </w:r>
      <w:r w:rsidRPr="0072637D">
        <w:rPr>
          <w:rStyle w:val="FootnoteReference"/>
          <w:rFonts w:cstheme="minorHAnsi"/>
        </w:rPr>
        <w:footnoteReference w:id="8"/>
      </w:r>
      <w:r w:rsidRPr="0072637D">
        <w:rPr>
          <w:rFonts w:cstheme="minorHAnsi"/>
        </w:rPr>
        <w:t xml:space="preserve"> Dit non-paper is opgesteld onder andere naar aanleiding van een signaalrapportage van de Inspectie Leefomgeving en Transport (ILT),</w:t>
      </w:r>
      <w:r w:rsidRPr="0072637D">
        <w:rPr>
          <w:rStyle w:val="FootnoteReference"/>
          <w:rFonts w:cstheme="minorHAnsi"/>
        </w:rPr>
        <w:footnoteReference w:id="9"/>
      </w:r>
      <w:r w:rsidRPr="0072637D">
        <w:rPr>
          <w:rFonts w:cstheme="minorHAnsi"/>
        </w:rPr>
        <w:t xml:space="preserve"> waarin de ILT concludeerde dat het (op EU-niveau geregelde) systeem van CE-markering voor consumentenvuurwerk niet functioneert. Ook afgelopen jaar waren de afkeurpercentages van het geteste consumentenvuurwerk hoog.</w:t>
      </w:r>
      <w:r w:rsidRPr="0072637D">
        <w:rPr>
          <w:rStyle w:val="FootnoteReference"/>
          <w:rFonts w:cstheme="minorHAnsi"/>
        </w:rPr>
        <w:footnoteReference w:id="10"/>
      </w:r>
      <w:r w:rsidRPr="0072637D">
        <w:rPr>
          <w:rFonts w:cstheme="minorHAnsi"/>
        </w:rPr>
        <w:t xml:space="preserve"> </w:t>
      </w:r>
    </w:p>
    <w:p w:rsidRPr="0072637D" w:rsidR="00703ED0" w:rsidP="0072637D" w:rsidRDefault="00703ED0" w14:paraId="5CC257EB" w14:textId="77777777">
      <w:pPr>
        <w:spacing w:line="240" w:lineRule="exact"/>
        <w:rPr>
          <w:rFonts w:cstheme="minorHAnsi"/>
        </w:rPr>
      </w:pPr>
    </w:p>
    <w:p w:rsidRPr="0072637D" w:rsidR="00703ED0" w:rsidP="0072637D" w:rsidRDefault="00E2169C" w14:paraId="59F8B637" w14:textId="479B43B5">
      <w:pPr>
        <w:spacing w:line="240" w:lineRule="exact"/>
        <w:rPr>
          <w:rFonts w:cstheme="minorHAnsi"/>
        </w:rPr>
      </w:pPr>
      <w:r w:rsidRPr="0072637D">
        <w:rPr>
          <w:rFonts w:cstheme="minorHAnsi"/>
        </w:rPr>
        <w:t>Het non-paper over het tegengaan van de illegale handel met professioneel vuurwerk, is op 23 februari jl. door de minister van Justitie en Veiligheid aan uw Kamer toegestuurd.</w:t>
      </w:r>
      <w:r w:rsidRPr="0072637D">
        <w:rPr>
          <w:rStyle w:val="FootnoteReference"/>
          <w:rFonts w:cstheme="minorHAnsi"/>
        </w:rPr>
        <w:footnoteReference w:id="11"/>
      </w:r>
      <w:r w:rsidRPr="0072637D">
        <w:rPr>
          <w:rFonts w:cstheme="minorHAnsi"/>
        </w:rPr>
        <w:t xml:space="preserve"> </w:t>
      </w:r>
      <w:r w:rsidRPr="0072637D" w:rsidR="00703ED0">
        <w:rPr>
          <w:rFonts w:cstheme="minorHAnsi"/>
        </w:rPr>
        <w:t xml:space="preserve">In dit non-paper wordt onder andere ingezet op een verbod op zogenoemde </w:t>
      </w:r>
      <w:r w:rsidRPr="0072637D" w:rsidR="00703ED0">
        <w:rPr>
          <w:rFonts w:cstheme="minorHAnsi"/>
          <w:i/>
          <w:iCs/>
        </w:rPr>
        <w:t xml:space="preserve">flashbangers </w:t>
      </w:r>
      <w:r w:rsidRPr="0072637D" w:rsidR="00703ED0">
        <w:rPr>
          <w:rFonts w:cstheme="minorHAnsi"/>
        </w:rPr>
        <w:t>(zoals cobra’s), het maximeren van het kruitgewicht en flitspoeder, het verbeteren van de zichtbaarheid van de handelsstromen, en de invoering van de pyro-pass binnen de gehele Europese Unie.</w:t>
      </w:r>
    </w:p>
    <w:p w:rsidRPr="0072637D" w:rsidR="00703ED0" w:rsidP="0072637D" w:rsidRDefault="00703ED0" w14:paraId="1F3DD277" w14:textId="77777777">
      <w:pPr>
        <w:spacing w:line="240" w:lineRule="exact"/>
        <w:rPr>
          <w:rFonts w:cstheme="minorHAnsi"/>
        </w:rPr>
      </w:pPr>
    </w:p>
    <w:p w:rsidRPr="0072637D" w:rsidR="00E2169C" w:rsidP="0072637D" w:rsidRDefault="00C63C47" w14:paraId="4657E8D8" w14:textId="257D46ED">
      <w:pPr>
        <w:autoSpaceDN/>
        <w:spacing w:line="240" w:lineRule="exact"/>
        <w:rPr>
          <w:rFonts w:cstheme="minorHAnsi"/>
        </w:rPr>
      </w:pPr>
      <w:r w:rsidRPr="00C63C47">
        <w:rPr>
          <w:rFonts w:cstheme="minorHAnsi"/>
        </w:rPr>
        <w:t>Zoals gevraagd in de motie van de leden Mutluer en Michon-Derkzen, zet ik, samen met de minister van Justitie en Veiligheid, met kracht in om deze voorstellen in de werkagenda van de nieuwe Europese Commissie te krijgen.</w:t>
      </w:r>
      <w:r>
        <w:rPr>
          <w:rFonts w:cstheme="minorHAnsi"/>
        </w:rPr>
        <w:t xml:space="preserve"> </w:t>
      </w:r>
      <w:r w:rsidRPr="0072637D" w:rsidR="00E2169C">
        <w:rPr>
          <w:rFonts w:cstheme="minorHAnsi"/>
        </w:rPr>
        <w:t xml:space="preserve">De non-papers worden </w:t>
      </w:r>
      <w:r>
        <w:rPr>
          <w:rFonts w:cstheme="minorHAnsi"/>
        </w:rPr>
        <w:t xml:space="preserve">daarvoor </w:t>
      </w:r>
      <w:r w:rsidRPr="0072637D" w:rsidR="00E2169C">
        <w:rPr>
          <w:rFonts w:cstheme="minorHAnsi"/>
        </w:rPr>
        <w:t>op verschillende manieren onder de aandacht gebracht binnen de EU. Zo heeft in april 2024 een verkennend gesprek plaatsgevonden met de Europese Commissie. Bilaterale gesprekken met Frankrijk hebben</w:t>
      </w:r>
      <w:r>
        <w:rPr>
          <w:rFonts w:cstheme="minorHAnsi"/>
        </w:rPr>
        <w:t xml:space="preserve"> meteen</w:t>
      </w:r>
      <w:r w:rsidRPr="0072637D" w:rsidR="00E2169C">
        <w:rPr>
          <w:rFonts w:cstheme="minorHAnsi"/>
        </w:rPr>
        <w:t xml:space="preserve"> geresulteerd in een gezamenlijk non-paper. In juni heeft een werksessie, georganiseerd door Nederland en Frankrijk, met verschillende lidstaten plaatsgevonden. </w:t>
      </w:r>
      <w:r w:rsidRPr="0072637D" w:rsidR="00703ED0">
        <w:rPr>
          <w:rFonts w:cstheme="minorHAnsi"/>
        </w:rPr>
        <w:t>De afgelopen periode hebben er vervolggesprekken plaatsgevonden met lidstaten, en worden aanvullende bilaterale gesprekken ingepland</w:t>
      </w:r>
      <w:r w:rsidRPr="0072637D" w:rsidR="00E2169C">
        <w:rPr>
          <w:rFonts w:cstheme="minorHAnsi"/>
        </w:rPr>
        <w:t xml:space="preserve">. Doel is om zo veel mogelijk steun te vinden bij andere lidstaten voor de ambities die zijn opgenomen in het non-paper. Diverse lidstaten hebben interesse in het non-paper getoond en de voorstellen die daarin worden gedaan. Maar er zijn ook lidstaten die niet dezelfde problematiek ervaren. Dit maakt dat het tijd kost om resultaten te boeken. Ik </w:t>
      </w:r>
      <w:r w:rsidRPr="0072637D" w:rsidR="00703ED0">
        <w:rPr>
          <w:rFonts w:cstheme="minorHAnsi"/>
        </w:rPr>
        <w:t xml:space="preserve">of de minister van Justitie en Veiligheid </w:t>
      </w:r>
      <w:r w:rsidRPr="0072637D" w:rsidR="00E2169C">
        <w:rPr>
          <w:rFonts w:cstheme="minorHAnsi"/>
        </w:rPr>
        <w:t>zal uw Kamer informeren zodra er relevante ontwikkelingen zijn.</w:t>
      </w:r>
    </w:p>
    <w:p w:rsidRPr="0072637D" w:rsidR="007C34EE" w:rsidP="0072637D" w:rsidRDefault="00E2169C" w14:paraId="69B02D8B" w14:textId="7FB7BE52">
      <w:pPr>
        <w:spacing w:line="240" w:lineRule="exact"/>
        <w:rPr>
          <w:rFonts w:cstheme="minorHAnsi"/>
        </w:rPr>
      </w:pPr>
      <w:r w:rsidRPr="0072637D">
        <w:rPr>
          <w:rFonts w:cstheme="minorHAnsi"/>
        </w:rPr>
        <w:t xml:space="preserve">Dit jaar wordt de Pyrorichtlijn geëvalueerd door de Europese Commissie. Dit kan leiden tot een herziening van de richtlijn. Hier zet Nederland op in. Vanuit Nederland wordt dan ook actief een bijdrage geleverd aan de evaluatie. In 2023 is door Nederland input geleverd op de zogenoemde ‘call for evidence’, en is een overzicht van relevante data aangeleverd bij de Europese Commissie. Er is tevens actief bijgedragen aan </w:t>
      </w:r>
      <w:r w:rsidR="000B5C47">
        <w:rPr>
          <w:rFonts w:cstheme="minorHAnsi"/>
        </w:rPr>
        <w:t xml:space="preserve">onder andere </w:t>
      </w:r>
      <w:r w:rsidRPr="0072637D">
        <w:rPr>
          <w:rFonts w:cstheme="minorHAnsi"/>
        </w:rPr>
        <w:t>de interviews die zijn gehouden in het kader van de evaluatie. Bijdrages zijn onder andere geleverd door de politie, het Openbaar Ministerie, de Inspectie Leefomgeving en Transport, het ministerie van Justitie en Veiligheid, en het ministerie van Infrastructuur en Waterstaat. In juni van dit jaar is door het ministerie van IenW, met input van het ministerie van JenV en de ILT, bovendien input gegeven op de publieke consultatie. De input die is gegeven is in lijn met de non-papers die naar uw Kamer zijn gestuurd.</w:t>
      </w:r>
    </w:p>
    <w:p w:rsidRPr="0072637D" w:rsidR="00703ED0" w:rsidP="0072637D" w:rsidRDefault="00703ED0" w14:paraId="7AD21A1C" w14:textId="77777777">
      <w:pPr>
        <w:spacing w:line="240" w:lineRule="exact"/>
        <w:rPr>
          <w:rFonts w:cstheme="minorHAnsi"/>
        </w:rPr>
      </w:pPr>
    </w:p>
    <w:p w:rsidRPr="0072637D" w:rsidR="0049176C" w:rsidP="0072637D" w:rsidRDefault="0049176C" w14:paraId="52F37D0A" w14:textId="36AE5FA3">
      <w:pPr>
        <w:spacing w:line="240" w:lineRule="exact"/>
        <w:rPr>
          <w:rFonts w:cstheme="minorHAnsi"/>
          <w:b/>
          <w:bCs/>
        </w:rPr>
      </w:pPr>
      <w:r w:rsidRPr="0072637D">
        <w:rPr>
          <w:rFonts w:cstheme="minorHAnsi"/>
          <w:b/>
          <w:bCs/>
        </w:rPr>
        <w:t>Tot slot</w:t>
      </w:r>
    </w:p>
    <w:p w:rsidRPr="0072637D" w:rsidR="00D9080A" w:rsidP="00D9080A" w:rsidRDefault="00D9080A" w14:paraId="27378CEB" w14:textId="308B2DB1">
      <w:pPr>
        <w:spacing w:line="240" w:lineRule="exact"/>
      </w:pPr>
      <w:r w:rsidRPr="0072637D">
        <w:rPr>
          <w:rFonts w:cstheme="minorHAnsi"/>
        </w:rPr>
        <w:t xml:space="preserve">Op basis van de jaarlijkse onderzoeken naar vuurwerkslachtoffers en vuurwerkaankoop en -gebruikscijfers, uitgevoerd door VeiligheidNL, blijkt dat het aantal vuurwerkslachtoffers en vuurwerkaankopen nagenoeg gelijk zijn gebleven. </w:t>
      </w:r>
      <w:r>
        <w:rPr>
          <w:rFonts w:cstheme="minorHAnsi"/>
        </w:rPr>
        <w:t>De g</w:t>
      </w:r>
      <w:r w:rsidRPr="0072637D">
        <w:rPr>
          <w:rFonts w:cstheme="minorHAnsi"/>
        </w:rPr>
        <w:t xml:space="preserve">enomen maatregelen </w:t>
      </w:r>
      <w:r w:rsidR="00D650AA">
        <w:rPr>
          <w:rFonts w:cstheme="minorHAnsi"/>
        </w:rPr>
        <w:t>hebben</w:t>
      </w:r>
      <w:r w:rsidRPr="0072637D">
        <w:rPr>
          <w:rFonts w:cstheme="minorHAnsi"/>
        </w:rPr>
        <w:t xml:space="preserve"> nog niet of in </w:t>
      </w:r>
      <w:r w:rsidRPr="0072637D">
        <w:t xml:space="preserve">beperkte mate geleid tot een afname van het totaal aantal vuurwerkletsels. </w:t>
      </w:r>
      <w:r>
        <w:t xml:space="preserve">De stijging van </w:t>
      </w:r>
      <w:r w:rsidRPr="0072637D">
        <w:t>het aantal letsels door zwaar illegaal vuurwerk</w:t>
      </w:r>
      <w:r>
        <w:t xml:space="preserve"> onder jongeren is zorgelijk. </w:t>
      </w:r>
      <w:bookmarkStart w:name="_Hlk179381731" w:id="4"/>
      <w:r w:rsidRPr="0071613B" w:rsidR="007E2727">
        <w:t xml:space="preserve">Daarom is en blijft de aanpak </w:t>
      </w:r>
      <w:r w:rsidRPr="0071613B" w:rsidR="004B2C96">
        <w:t>het tegengaan van</w:t>
      </w:r>
      <w:r w:rsidRPr="0071613B" w:rsidR="007E2727">
        <w:t xml:space="preserve"> </w:t>
      </w:r>
      <w:r w:rsidRPr="0071613B" w:rsidR="007B5CF3">
        <w:t xml:space="preserve">illegale handel en misbruik van professioneel vuurwerk </w:t>
      </w:r>
      <w:r w:rsidRPr="0071613B" w:rsidR="007E2727">
        <w:t>een</w:t>
      </w:r>
      <w:r w:rsidRPr="0071613B">
        <w:t xml:space="preserve"> belangrijk speerpunt. Daarvoor wordt inzet gepleegd op Europees en nationaal niveau.</w:t>
      </w:r>
      <w:r w:rsidR="007E2727">
        <w:t xml:space="preserve"> </w:t>
      </w:r>
      <w:bookmarkEnd w:id="4"/>
      <w:r>
        <w:rPr>
          <w:rFonts w:cstheme="minorHAnsi"/>
        </w:rPr>
        <w:t xml:space="preserve">Ook zal ik de uitkomsten van de onderzoeken meenemen in de communicatie activiteiten gericht op consumenten om een veilig gebruik van legaal vuurwerk te bevorderen. De inzet blijft gericht op een </w:t>
      </w:r>
      <w:r w:rsidRPr="0072637D">
        <w:t>veilig en handhaafbaar vuurwerkbeleid met een veilige jaarwisseling als doel.</w:t>
      </w:r>
    </w:p>
    <w:p w:rsidRPr="0072637D" w:rsidR="00330058" w:rsidP="0072637D" w:rsidRDefault="00330058" w14:paraId="5C9642E2" w14:textId="77777777">
      <w:pPr>
        <w:spacing w:line="240" w:lineRule="exact"/>
      </w:pPr>
    </w:p>
    <w:p w:rsidRPr="0072637D" w:rsidR="00E2169C" w:rsidP="0072637D" w:rsidRDefault="00E2169C" w14:paraId="26D01247" w14:textId="5B93F81A">
      <w:pPr>
        <w:pStyle w:val="Slotzin"/>
        <w:spacing w:before="0"/>
      </w:pPr>
      <w:r w:rsidRPr="0072637D">
        <w:t>Hoogachtend,</w:t>
      </w:r>
    </w:p>
    <w:p w:rsidRPr="0072637D" w:rsidR="00E2169C" w:rsidP="0072637D" w:rsidRDefault="00E2169C" w14:paraId="1759ED09" w14:textId="77777777">
      <w:pPr>
        <w:spacing w:line="240" w:lineRule="exact"/>
        <w:ind w:left="708"/>
      </w:pPr>
    </w:p>
    <w:p w:rsidRPr="0072637D" w:rsidR="00E2169C" w:rsidP="0072637D" w:rsidRDefault="00E2169C" w14:paraId="6FE7316E" w14:textId="393AADF2">
      <w:pPr>
        <w:spacing w:line="240" w:lineRule="exact"/>
      </w:pPr>
      <w:r w:rsidRPr="0072637D">
        <w:t>DE STAATSSECRETARIS VAN INFRASTRUCTUUR EN WATERSTAAT</w:t>
      </w:r>
      <w:r w:rsidR="009617CC">
        <w:t xml:space="preserve"> – OPENBAAR VERVOER EN MILIEU</w:t>
      </w:r>
    </w:p>
    <w:p w:rsidRPr="0072637D" w:rsidR="00E2169C" w:rsidP="0072637D" w:rsidRDefault="00E2169C" w14:paraId="13604DE3" w14:textId="77777777">
      <w:pPr>
        <w:spacing w:line="240" w:lineRule="exact"/>
        <w:ind w:left="708"/>
      </w:pPr>
    </w:p>
    <w:p w:rsidRPr="0072637D" w:rsidR="00E2169C" w:rsidP="0072637D" w:rsidRDefault="00E2169C" w14:paraId="7098B9EE" w14:textId="77777777">
      <w:pPr>
        <w:spacing w:line="240" w:lineRule="exact"/>
        <w:ind w:left="708"/>
      </w:pPr>
    </w:p>
    <w:p w:rsidRPr="0072637D" w:rsidR="00E2169C" w:rsidP="0072637D" w:rsidRDefault="00E2169C" w14:paraId="2E21CFB4" w14:textId="77777777">
      <w:pPr>
        <w:spacing w:line="240" w:lineRule="exact"/>
        <w:ind w:left="708"/>
      </w:pPr>
    </w:p>
    <w:p w:rsidRPr="0072637D" w:rsidR="007A69D7" w:rsidP="0072637D" w:rsidRDefault="00E2169C" w14:paraId="0A031E25" w14:textId="4E36A3AE">
      <w:pPr>
        <w:spacing w:line="240" w:lineRule="exact"/>
      </w:pPr>
      <w:r w:rsidRPr="0072637D">
        <w:t>C.A. Jansen</w:t>
      </w:r>
    </w:p>
    <w:sectPr w:rsidRPr="0072637D" w:rsidR="007A69D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198B" w14:textId="77777777" w:rsidR="00F6677D" w:rsidRDefault="00F6677D">
      <w:pPr>
        <w:spacing w:line="240" w:lineRule="auto"/>
      </w:pPr>
      <w:r>
        <w:separator/>
      </w:r>
    </w:p>
  </w:endnote>
  <w:endnote w:type="continuationSeparator" w:id="0">
    <w:p w14:paraId="09B08192" w14:textId="77777777" w:rsidR="00F6677D" w:rsidRDefault="00F66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A4E2" w14:textId="77777777" w:rsidR="008E56A2" w:rsidRDefault="008E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79DD" w14:textId="77777777" w:rsidR="008E56A2" w:rsidRDefault="008E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CD0F" w14:textId="77777777" w:rsidR="008E56A2" w:rsidRDefault="008E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BD92" w14:textId="77777777" w:rsidR="00F6677D" w:rsidRDefault="00F6677D">
      <w:pPr>
        <w:spacing w:line="240" w:lineRule="auto"/>
      </w:pPr>
      <w:r>
        <w:separator/>
      </w:r>
    </w:p>
  </w:footnote>
  <w:footnote w:type="continuationSeparator" w:id="0">
    <w:p w14:paraId="74E48D07" w14:textId="77777777" w:rsidR="00F6677D" w:rsidRDefault="00F6677D">
      <w:pPr>
        <w:spacing w:line="240" w:lineRule="auto"/>
      </w:pPr>
      <w:r>
        <w:continuationSeparator/>
      </w:r>
    </w:p>
  </w:footnote>
  <w:footnote w:id="1">
    <w:p w14:paraId="01D35062" w14:textId="28DCF49D" w:rsidR="00E2169C" w:rsidRPr="00E101EB" w:rsidRDefault="00E2169C" w:rsidP="00E2169C">
      <w:pPr>
        <w:pStyle w:val="FootnoteText"/>
        <w:rPr>
          <w:rFonts w:ascii="Verdana" w:hAnsi="Verdana"/>
          <w:szCs w:val="16"/>
        </w:rPr>
      </w:pPr>
      <w:r w:rsidRPr="00E101EB">
        <w:rPr>
          <w:rStyle w:val="FootnoteReference"/>
          <w:rFonts w:ascii="Verdana" w:hAnsi="Verdana"/>
          <w:color w:val="auto"/>
          <w:szCs w:val="16"/>
        </w:rPr>
        <w:footnoteRef/>
      </w:r>
      <w:r w:rsidRPr="00E101EB">
        <w:rPr>
          <w:rFonts w:ascii="Verdana" w:hAnsi="Verdana"/>
          <w:color w:val="auto"/>
          <w:szCs w:val="16"/>
        </w:rPr>
        <w:t xml:space="preserve"> </w:t>
      </w:r>
      <w:hyperlink r:id="rId1" w:history="1">
        <w:r w:rsidR="00E101EB">
          <w:rPr>
            <w:rStyle w:val="Hyperlink"/>
            <w:rFonts w:ascii="Verdana" w:hAnsi="Verdana"/>
            <w:color w:val="auto"/>
            <w:szCs w:val="16"/>
            <w:u w:val="none"/>
          </w:rPr>
          <w:t>Kamerstukken</w:t>
        </w:r>
      </w:hyperlink>
      <w:r w:rsidR="00E101EB" w:rsidRPr="00E101EB">
        <w:rPr>
          <w:rStyle w:val="Hyperlink"/>
          <w:rFonts w:ascii="Verdana" w:hAnsi="Verdana"/>
          <w:color w:val="auto"/>
          <w:szCs w:val="16"/>
          <w:u w:val="none"/>
        </w:rPr>
        <w:t xml:space="preserve"> II,2023-2024, 28684 nr. 735</w:t>
      </w:r>
    </w:p>
  </w:footnote>
  <w:footnote w:id="2">
    <w:p w14:paraId="5AB52D96" w14:textId="2FAB948B" w:rsidR="00703ED0" w:rsidRDefault="00703ED0" w:rsidP="00703ED0">
      <w:pPr>
        <w:pStyle w:val="FootnoteText"/>
      </w:pPr>
      <w:r w:rsidRPr="00E101EB">
        <w:rPr>
          <w:rStyle w:val="FootnoteReference"/>
          <w:rFonts w:ascii="Verdana" w:hAnsi="Verdana"/>
          <w:color w:val="auto"/>
          <w:szCs w:val="16"/>
        </w:rPr>
        <w:footnoteRef/>
      </w:r>
      <w:r w:rsidRPr="00E101EB">
        <w:rPr>
          <w:rFonts w:ascii="Verdana" w:hAnsi="Verdana"/>
          <w:color w:val="auto"/>
          <w:szCs w:val="16"/>
        </w:rPr>
        <w:t xml:space="preserve"> Handelingen II, 2024/2</w:t>
      </w:r>
      <w:r w:rsidR="00E101EB" w:rsidRPr="00E101EB">
        <w:rPr>
          <w:rFonts w:ascii="Verdana" w:hAnsi="Verdana"/>
          <w:color w:val="auto"/>
          <w:szCs w:val="16"/>
        </w:rPr>
        <w:t>5</w:t>
      </w:r>
      <w:r w:rsidRPr="00E101EB">
        <w:rPr>
          <w:rFonts w:ascii="Verdana" w:hAnsi="Verdana"/>
          <w:color w:val="auto"/>
          <w:szCs w:val="16"/>
        </w:rPr>
        <w:t>,  29 911, nr. 445</w:t>
      </w:r>
    </w:p>
  </w:footnote>
  <w:footnote w:id="3">
    <w:p w14:paraId="77939B02" w14:textId="5E553CE0" w:rsidR="00054729" w:rsidRPr="0072637D" w:rsidRDefault="00054729">
      <w:pPr>
        <w:pStyle w:val="FootnoteText"/>
        <w:rPr>
          <w:rFonts w:ascii="Verdana" w:hAnsi="Verdana"/>
        </w:rPr>
      </w:pPr>
      <w:r w:rsidRPr="0072637D">
        <w:rPr>
          <w:rStyle w:val="FootnoteReference"/>
          <w:rFonts w:ascii="Verdana" w:hAnsi="Verdana"/>
        </w:rPr>
        <w:footnoteRef/>
      </w:r>
      <w:r w:rsidRPr="0072637D">
        <w:rPr>
          <w:rFonts w:ascii="Verdana" w:hAnsi="Verdana"/>
        </w:rPr>
        <w:t xml:space="preserve"> </w:t>
      </w:r>
      <w:r w:rsidRPr="0072637D">
        <w:rPr>
          <w:rFonts w:ascii="Verdana" w:hAnsi="Verdana"/>
          <w:color w:val="auto"/>
        </w:rPr>
        <w:t>F1 vuurwerk is de minst zware categorie consumentenvuurwerk. Voorbeelden hiervan zijn knalerwten en sterretjes.</w:t>
      </w:r>
    </w:p>
  </w:footnote>
  <w:footnote w:id="4">
    <w:p w14:paraId="7439F3CC" w14:textId="05869F01" w:rsidR="00C97369" w:rsidRPr="0072637D" w:rsidRDefault="00C97369">
      <w:pPr>
        <w:pStyle w:val="FootnoteText"/>
        <w:rPr>
          <w:rFonts w:ascii="Verdana" w:hAnsi="Verdana"/>
        </w:rPr>
      </w:pPr>
      <w:r w:rsidRPr="0072637D">
        <w:rPr>
          <w:rStyle w:val="FootnoteReference"/>
          <w:rFonts w:ascii="Verdana" w:hAnsi="Verdana"/>
        </w:rPr>
        <w:footnoteRef/>
      </w:r>
      <w:r w:rsidRPr="0072637D">
        <w:rPr>
          <w:rFonts w:ascii="Verdana" w:hAnsi="Verdana"/>
        </w:rPr>
        <w:t xml:space="preserve"> </w:t>
      </w:r>
      <w:r w:rsidRPr="0072637D">
        <w:rPr>
          <w:rFonts w:ascii="Verdana" w:hAnsi="Verdana"/>
          <w:color w:val="auto"/>
        </w:rPr>
        <w:t>Onder zwaar illegaal vuurwerk wordt in het rapport verstaan: cobra, lawinepijl, nitraten, mortierbom/shell, vlinderbom/toffee, flowerbed en strijker.</w:t>
      </w:r>
    </w:p>
  </w:footnote>
  <w:footnote w:id="5">
    <w:p w14:paraId="27FEBD4D" w14:textId="77777777" w:rsidR="00E2169C" w:rsidRPr="001E0D9E" w:rsidRDefault="00E2169C" w:rsidP="00E2169C">
      <w:pPr>
        <w:pStyle w:val="FootnoteText"/>
        <w:rPr>
          <w:color w:val="auto"/>
        </w:rPr>
      </w:pPr>
      <w:r w:rsidRPr="0072637D">
        <w:rPr>
          <w:rStyle w:val="FootnoteReference"/>
          <w:rFonts w:ascii="Verdana" w:hAnsi="Verdana"/>
          <w:color w:val="auto"/>
        </w:rPr>
        <w:footnoteRef/>
      </w:r>
      <w:r w:rsidRPr="0072637D">
        <w:rPr>
          <w:rFonts w:ascii="Verdana" w:hAnsi="Verdana"/>
          <w:color w:val="auto"/>
        </w:rPr>
        <w:t xml:space="preserve"> Onder overig illegaal vuurwerk wordt in het rapport verstaan:  single shot/Thunder King, rotje/Kanonslag/Astronaut, ratelband/Chinese rol, vuurpijl, romeinse kaars, babypijltje(s) en overig illegaal vuurwerk.</w:t>
      </w:r>
    </w:p>
  </w:footnote>
  <w:footnote w:id="6">
    <w:p w14:paraId="72B0F80E" w14:textId="77777777" w:rsidR="00E2169C" w:rsidRPr="0072637D" w:rsidRDefault="00E2169C" w:rsidP="00E2169C">
      <w:pPr>
        <w:pStyle w:val="FootnoteText"/>
        <w:rPr>
          <w:rFonts w:ascii="Verdana" w:hAnsi="Verdana"/>
          <w:color w:val="auto"/>
        </w:rPr>
      </w:pPr>
      <w:r w:rsidRPr="0072637D">
        <w:rPr>
          <w:rStyle w:val="FootnoteReference"/>
          <w:rFonts w:ascii="Verdana" w:hAnsi="Verdana"/>
          <w:color w:val="auto"/>
        </w:rPr>
        <w:footnoteRef/>
      </w:r>
      <w:r w:rsidRPr="0072637D">
        <w:rPr>
          <w:rFonts w:ascii="Verdana" w:hAnsi="Verdana"/>
          <w:color w:val="auto"/>
        </w:rPr>
        <w:t xml:space="preserve"> Beschikking van het Benelux Comité van Ministers betreffende de invoering van een pyro-pass – M (2020) 14 (Benelux Publicatieblad 2021, nr 1), gewijzigd bij M (2022) 9.</w:t>
      </w:r>
    </w:p>
  </w:footnote>
  <w:footnote w:id="7">
    <w:p w14:paraId="0A291D10" w14:textId="77777777" w:rsidR="00E2169C" w:rsidRPr="001E0D9E" w:rsidRDefault="00E2169C" w:rsidP="00E2169C">
      <w:pPr>
        <w:pStyle w:val="FootnoteText"/>
        <w:rPr>
          <w:color w:val="auto"/>
        </w:rPr>
      </w:pPr>
      <w:r w:rsidRPr="0072637D">
        <w:rPr>
          <w:rStyle w:val="FootnoteReference"/>
          <w:rFonts w:ascii="Verdana" w:hAnsi="Verdana"/>
          <w:color w:val="auto"/>
        </w:rPr>
        <w:footnoteRef/>
      </w:r>
      <w:r w:rsidRPr="0072637D">
        <w:rPr>
          <w:rFonts w:ascii="Verdana" w:hAnsi="Verdana"/>
          <w:color w:val="auto"/>
        </w:rPr>
        <w:t xml:space="preserve"> </w:t>
      </w:r>
      <w:r w:rsidRPr="0072637D">
        <w:rPr>
          <w:rFonts w:ascii="Verdana" w:hAnsi="Verdana"/>
          <w:color w:val="auto"/>
          <w:szCs w:val="16"/>
        </w:rPr>
        <w:t>Beschikking van het Benelux Comité van Ministers betreffende het tegengaan van de oneigenlijke aanwending van pyrotechnische artikelen bedoeld voor het grote publiek – M (2022) 7 (Benelux Publicatieblad 2022, nr. 2).</w:t>
      </w:r>
    </w:p>
  </w:footnote>
  <w:footnote w:id="8">
    <w:p w14:paraId="664C988C" w14:textId="77777777" w:rsidR="00E2169C" w:rsidRPr="0072637D" w:rsidRDefault="00E2169C" w:rsidP="00E2169C">
      <w:pPr>
        <w:pStyle w:val="FootnoteText"/>
        <w:rPr>
          <w:rFonts w:ascii="Verdana" w:hAnsi="Verdana"/>
          <w:color w:val="auto"/>
        </w:rPr>
      </w:pPr>
      <w:r w:rsidRPr="0072637D">
        <w:rPr>
          <w:rStyle w:val="FootnoteReference"/>
          <w:rFonts w:ascii="Verdana" w:hAnsi="Verdana"/>
          <w:color w:val="auto"/>
        </w:rPr>
        <w:footnoteRef/>
      </w:r>
      <w:r w:rsidRPr="0072637D">
        <w:rPr>
          <w:rFonts w:ascii="Verdana" w:hAnsi="Verdana"/>
          <w:color w:val="auto"/>
        </w:rPr>
        <w:t xml:space="preserve"> </w:t>
      </w:r>
      <w:r w:rsidRPr="0072637D">
        <w:rPr>
          <w:rFonts w:ascii="Verdana" w:hAnsi="Verdana" w:cstheme="minorHAnsi"/>
          <w:color w:val="auto"/>
        </w:rPr>
        <w:t>Bijlage bij Kamerstuk 21 501-08, nr. 936.</w:t>
      </w:r>
    </w:p>
  </w:footnote>
  <w:footnote w:id="9">
    <w:p w14:paraId="2385135E" w14:textId="77777777" w:rsidR="00E2169C" w:rsidRPr="0072637D" w:rsidRDefault="00E2169C" w:rsidP="00E2169C">
      <w:pPr>
        <w:pStyle w:val="FootnoteText"/>
        <w:rPr>
          <w:rFonts w:ascii="Verdana" w:hAnsi="Verdana"/>
          <w:color w:val="auto"/>
        </w:rPr>
      </w:pPr>
      <w:r w:rsidRPr="0072637D">
        <w:rPr>
          <w:rStyle w:val="FootnoteReference"/>
          <w:rFonts w:ascii="Verdana" w:hAnsi="Verdana"/>
          <w:color w:val="auto"/>
        </w:rPr>
        <w:footnoteRef/>
      </w:r>
      <w:r w:rsidRPr="0072637D">
        <w:rPr>
          <w:rFonts w:ascii="Verdana" w:hAnsi="Verdana"/>
          <w:color w:val="auto"/>
        </w:rPr>
        <w:t xml:space="preserve"> Bijlage bij Kamerstuk  28648, nr. 668.</w:t>
      </w:r>
    </w:p>
  </w:footnote>
  <w:footnote w:id="10">
    <w:p w14:paraId="4344D530" w14:textId="77777777" w:rsidR="00E2169C" w:rsidRPr="0072637D" w:rsidRDefault="00E2169C" w:rsidP="00E2169C">
      <w:pPr>
        <w:pStyle w:val="FootnoteText"/>
        <w:rPr>
          <w:rFonts w:ascii="Verdana" w:hAnsi="Verdana"/>
          <w:color w:val="auto"/>
        </w:rPr>
      </w:pPr>
      <w:r w:rsidRPr="0072637D">
        <w:rPr>
          <w:rStyle w:val="FootnoteReference"/>
          <w:rFonts w:ascii="Verdana" w:hAnsi="Verdana"/>
          <w:color w:val="auto"/>
        </w:rPr>
        <w:footnoteRef/>
      </w:r>
      <w:r w:rsidRPr="0072637D">
        <w:rPr>
          <w:rFonts w:ascii="Verdana" w:hAnsi="Verdana"/>
          <w:color w:val="auto"/>
        </w:rPr>
        <w:t xml:space="preserve"> Zie https://www.ilent.nl/actueel/nieuws/2023/12/27/ilt-keurt-opnieuw-een-vijfde-van-f2-vuurwerk-af en </w:t>
      </w:r>
      <w:hyperlink r:id="rId2" w:history="1">
        <w:r w:rsidRPr="0072637D">
          <w:rPr>
            <w:rStyle w:val="Hyperlink"/>
            <w:rFonts w:ascii="Verdana" w:hAnsi="Verdana"/>
            <w:color w:val="auto"/>
          </w:rPr>
          <w:t>https://www.ilent.nl/actueel/nieuws/2023/11/02/inspectie-verdubbeling-van-afgekeurd-f1-vuurwerk</w:t>
        </w:r>
      </w:hyperlink>
      <w:r w:rsidRPr="0072637D">
        <w:rPr>
          <w:rFonts w:ascii="Verdana" w:hAnsi="Verdana"/>
          <w:color w:val="auto"/>
        </w:rPr>
        <w:t xml:space="preserve">. </w:t>
      </w:r>
    </w:p>
  </w:footnote>
  <w:footnote w:id="11">
    <w:p w14:paraId="42B37CB0" w14:textId="77777777" w:rsidR="00E2169C" w:rsidRPr="001E0D9E" w:rsidRDefault="00E2169C" w:rsidP="00E2169C">
      <w:pPr>
        <w:pStyle w:val="FootnoteText"/>
        <w:rPr>
          <w:color w:val="auto"/>
        </w:rPr>
      </w:pPr>
      <w:r w:rsidRPr="0072637D">
        <w:rPr>
          <w:rStyle w:val="FootnoteReference"/>
          <w:rFonts w:ascii="Verdana" w:hAnsi="Verdana"/>
          <w:color w:val="auto"/>
        </w:rPr>
        <w:footnoteRef/>
      </w:r>
      <w:r w:rsidRPr="0072637D">
        <w:rPr>
          <w:rFonts w:ascii="Verdana" w:hAnsi="Verdana"/>
          <w:color w:val="auto"/>
        </w:rPr>
        <w:t xml:space="preserve"> </w:t>
      </w:r>
      <w:r w:rsidRPr="0072637D">
        <w:rPr>
          <w:rFonts w:ascii="Verdana" w:hAnsi="Verdana" w:cstheme="minorHAnsi"/>
          <w:color w:val="auto"/>
        </w:rPr>
        <w:t>Bijlage bij Kamerstuk 32 317, nr. 872.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1BF7" w14:textId="77777777" w:rsidR="008E56A2" w:rsidRDefault="008E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BF17" w14:textId="77777777" w:rsidR="007A69D7" w:rsidRDefault="004B4651">
    <w:pPr>
      <w:pStyle w:val="MarginlessContainer"/>
    </w:pPr>
    <w:r>
      <w:rPr>
        <w:noProof/>
        <w:lang w:val="en-GB" w:eastAsia="en-GB"/>
      </w:rPr>
      <mc:AlternateContent>
        <mc:Choice Requires="wps">
          <w:drawing>
            <wp:anchor distT="0" distB="0" distL="0" distR="0" simplePos="0" relativeHeight="251651584" behindDoc="0" locked="1" layoutInCell="1" allowOverlap="1" wp14:anchorId="5244A852" wp14:editId="2EFA28A2">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9E181B" w14:textId="77777777" w:rsidR="007A69D7" w:rsidRDefault="004B4651">
                          <w:pPr>
                            <w:pStyle w:val="AfzendgegevensKop0"/>
                          </w:pPr>
                          <w:r>
                            <w:t>Ministerie van Infrastructuur en Waterstaat</w:t>
                          </w:r>
                        </w:p>
                        <w:p w14:paraId="7B0FB64C" w14:textId="77777777" w:rsidR="007A69D7" w:rsidRDefault="007A69D7">
                          <w:pPr>
                            <w:pStyle w:val="WitregelW2"/>
                          </w:pPr>
                        </w:p>
                        <w:p w14:paraId="6B3CFF82" w14:textId="77777777" w:rsidR="007A69D7" w:rsidRDefault="004B4651">
                          <w:pPr>
                            <w:pStyle w:val="Referentiegegevenskop"/>
                          </w:pPr>
                          <w:r>
                            <w:t>Ons kenmerk</w:t>
                          </w:r>
                        </w:p>
                        <w:p w14:paraId="1E231C1C" w14:textId="63B4BB50" w:rsidR="007A69D7" w:rsidRDefault="004B4651">
                          <w:pPr>
                            <w:pStyle w:val="Referentiegegevens"/>
                          </w:pPr>
                          <w:r w:rsidRPr="004B4651">
                            <w:t>IENW/BSK-2024/274152</w:t>
                          </w:r>
                        </w:p>
                      </w:txbxContent>
                    </wps:txbx>
                    <wps:bodyPr vert="horz" wrap="square" lIns="0" tIns="0" rIns="0" bIns="0" anchor="t" anchorCtr="0"/>
                  </wps:wsp>
                </a:graphicData>
              </a:graphic>
            </wp:anchor>
          </w:drawing>
        </mc:Choice>
        <mc:Fallback>
          <w:pict>
            <v:shapetype w14:anchorId="5244A852"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7B9E181B" w14:textId="77777777" w:rsidR="007A69D7" w:rsidRDefault="004B4651">
                    <w:pPr>
                      <w:pStyle w:val="AfzendgegevensKop0"/>
                    </w:pPr>
                    <w:r>
                      <w:t>Ministerie van Infrastructuur en Waterstaat</w:t>
                    </w:r>
                  </w:p>
                  <w:p w14:paraId="7B0FB64C" w14:textId="77777777" w:rsidR="007A69D7" w:rsidRDefault="007A69D7">
                    <w:pPr>
                      <w:pStyle w:val="WitregelW2"/>
                    </w:pPr>
                  </w:p>
                  <w:p w14:paraId="6B3CFF82" w14:textId="77777777" w:rsidR="007A69D7" w:rsidRDefault="004B4651">
                    <w:pPr>
                      <w:pStyle w:val="Referentiegegevenskop"/>
                    </w:pPr>
                    <w:r>
                      <w:t>Ons kenmerk</w:t>
                    </w:r>
                  </w:p>
                  <w:p w14:paraId="1E231C1C" w14:textId="63B4BB50" w:rsidR="007A69D7" w:rsidRDefault="004B4651">
                    <w:pPr>
                      <w:pStyle w:val="Referentiegegevens"/>
                    </w:pPr>
                    <w:r w:rsidRPr="004B4651">
                      <w:t>IENW/BSK-2024/274152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DF59655" wp14:editId="61951FA8">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69D4A1" w14:textId="79F12F54" w:rsidR="007A69D7" w:rsidRDefault="004B4651">
                          <w:pPr>
                            <w:pStyle w:val="Referentiegegevens"/>
                          </w:pPr>
                          <w:r>
                            <w:t xml:space="preserve">Pagina </w:t>
                          </w:r>
                          <w:r>
                            <w:fldChar w:fldCharType="begin"/>
                          </w:r>
                          <w:r>
                            <w:instrText>PAGE</w:instrText>
                          </w:r>
                          <w:r>
                            <w:fldChar w:fldCharType="separate"/>
                          </w:r>
                          <w:r w:rsidR="00E2169C">
                            <w:rPr>
                              <w:noProof/>
                            </w:rPr>
                            <w:t>2</w:t>
                          </w:r>
                          <w:r>
                            <w:fldChar w:fldCharType="end"/>
                          </w:r>
                          <w:r>
                            <w:t xml:space="preserve"> van </w:t>
                          </w:r>
                          <w:r>
                            <w:fldChar w:fldCharType="begin"/>
                          </w:r>
                          <w:r>
                            <w:instrText>NUMPAGES</w:instrText>
                          </w:r>
                          <w:r>
                            <w:fldChar w:fldCharType="separate"/>
                          </w:r>
                          <w:r w:rsidR="00E2169C">
                            <w:rPr>
                              <w:noProof/>
                            </w:rPr>
                            <w:t>1</w:t>
                          </w:r>
                          <w:r>
                            <w:fldChar w:fldCharType="end"/>
                          </w:r>
                        </w:p>
                      </w:txbxContent>
                    </wps:txbx>
                    <wps:bodyPr vert="horz" wrap="square" lIns="0" tIns="0" rIns="0" bIns="0" anchor="t" anchorCtr="0"/>
                  </wps:wsp>
                </a:graphicData>
              </a:graphic>
            </wp:anchor>
          </w:drawing>
        </mc:Choice>
        <mc:Fallback>
          <w:pict>
            <v:shape w14:anchorId="4DF5965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6C69D4A1" w14:textId="79F12F54" w:rsidR="007A69D7" w:rsidRDefault="004B4651">
                    <w:pPr>
                      <w:pStyle w:val="Referentiegegevens"/>
                    </w:pPr>
                    <w:r>
                      <w:t xml:space="preserve">Pagina </w:t>
                    </w:r>
                    <w:r>
                      <w:fldChar w:fldCharType="begin"/>
                    </w:r>
                    <w:r>
                      <w:instrText>PAGE</w:instrText>
                    </w:r>
                    <w:r>
                      <w:fldChar w:fldCharType="separate"/>
                    </w:r>
                    <w:r w:rsidR="00E2169C">
                      <w:rPr>
                        <w:noProof/>
                      </w:rPr>
                      <w:t>2</w:t>
                    </w:r>
                    <w:r>
                      <w:fldChar w:fldCharType="end"/>
                    </w:r>
                    <w:r>
                      <w:t xml:space="preserve"> van </w:t>
                    </w:r>
                    <w:r>
                      <w:fldChar w:fldCharType="begin"/>
                    </w:r>
                    <w:r>
                      <w:instrText>NUMPAGES</w:instrText>
                    </w:r>
                    <w:r>
                      <w:fldChar w:fldCharType="separate"/>
                    </w:r>
                    <w:r w:rsidR="00E2169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0EC55A3" wp14:editId="759E0D60">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845423" w14:textId="77777777" w:rsidR="009F0EA4" w:rsidRDefault="009F0EA4"/>
                      </w:txbxContent>
                    </wps:txbx>
                    <wps:bodyPr vert="horz" wrap="square" lIns="0" tIns="0" rIns="0" bIns="0" anchor="t" anchorCtr="0"/>
                  </wps:wsp>
                </a:graphicData>
              </a:graphic>
            </wp:anchor>
          </w:drawing>
        </mc:Choice>
        <mc:Fallback>
          <w:pict>
            <v:shape w14:anchorId="30EC55A3"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63845423" w14:textId="77777777" w:rsidR="009F0EA4" w:rsidRDefault="009F0EA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B7420CC" wp14:editId="411B14F1">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E38618" w14:textId="77777777" w:rsidR="009F0EA4" w:rsidRDefault="009F0EA4"/>
                      </w:txbxContent>
                    </wps:txbx>
                    <wps:bodyPr vert="horz" wrap="square" lIns="0" tIns="0" rIns="0" bIns="0" anchor="t" anchorCtr="0"/>
                  </wps:wsp>
                </a:graphicData>
              </a:graphic>
            </wp:anchor>
          </w:drawing>
        </mc:Choice>
        <mc:Fallback>
          <w:pict>
            <v:shape w14:anchorId="4B7420C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23E38618" w14:textId="77777777" w:rsidR="009F0EA4" w:rsidRDefault="009F0EA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283A" w14:textId="77777777" w:rsidR="007A69D7" w:rsidRDefault="004B4651">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6FF2B6E" wp14:editId="4631F88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D6CBB3D" w14:textId="77777777" w:rsidR="009F0EA4" w:rsidRDefault="009F0EA4"/>
                      </w:txbxContent>
                    </wps:txbx>
                    <wps:bodyPr vert="horz" wrap="square" lIns="0" tIns="0" rIns="0" bIns="0" anchor="t" anchorCtr="0"/>
                  </wps:wsp>
                </a:graphicData>
              </a:graphic>
            </wp:anchor>
          </w:drawing>
        </mc:Choice>
        <mc:Fallback>
          <w:pict>
            <v:shapetype w14:anchorId="46FF2B6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D6CBB3D" w14:textId="77777777" w:rsidR="009F0EA4" w:rsidRDefault="009F0EA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618E7AF" wp14:editId="047CC95E">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1A28EA" w14:textId="741F231E" w:rsidR="007A69D7" w:rsidRDefault="004B4651">
                          <w:pPr>
                            <w:pStyle w:val="Referentiegegevens"/>
                          </w:pPr>
                          <w:r>
                            <w:t xml:space="preserve">Pagina </w:t>
                          </w:r>
                          <w:r>
                            <w:fldChar w:fldCharType="begin"/>
                          </w:r>
                          <w:r>
                            <w:instrText>PAGE</w:instrText>
                          </w:r>
                          <w:r>
                            <w:fldChar w:fldCharType="separate"/>
                          </w:r>
                          <w:r w:rsidR="001138BB">
                            <w:rPr>
                              <w:noProof/>
                            </w:rPr>
                            <w:t>1</w:t>
                          </w:r>
                          <w:r>
                            <w:fldChar w:fldCharType="end"/>
                          </w:r>
                          <w:r>
                            <w:t xml:space="preserve"> van </w:t>
                          </w:r>
                          <w:r>
                            <w:fldChar w:fldCharType="begin"/>
                          </w:r>
                          <w:r>
                            <w:instrText>NUMPAGES</w:instrText>
                          </w:r>
                          <w:r>
                            <w:fldChar w:fldCharType="separate"/>
                          </w:r>
                          <w:r w:rsidR="001138BB">
                            <w:rPr>
                              <w:noProof/>
                            </w:rPr>
                            <w:t>1</w:t>
                          </w:r>
                          <w:r>
                            <w:fldChar w:fldCharType="end"/>
                          </w:r>
                        </w:p>
                      </w:txbxContent>
                    </wps:txbx>
                    <wps:bodyPr vert="horz" wrap="square" lIns="0" tIns="0" rIns="0" bIns="0" anchor="t" anchorCtr="0"/>
                  </wps:wsp>
                </a:graphicData>
              </a:graphic>
            </wp:anchor>
          </w:drawing>
        </mc:Choice>
        <mc:Fallback>
          <w:pict>
            <v:shape w14:anchorId="0618E7A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E1A28EA" w14:textId="741F231E" w:rsidR="007A69D7" w:rsidRDefault="004B4651">
                    <w:pPr>
                      <w:pStyle w:val="Referentiegegevens"/>
                    </w:pPr>
                    <w:r>
                      <w:t xml:space="preserve">Pagina </w:t>
                    </w:r>
                    <w:r>
                      <w:fldChar w:fldCharType="begin"/>
                    </w:r>
                    <w:r>
                      <w:instrText>PAGE</w:instrText>
                    </w:r>
                    <w:r>
                      <w:fldChar w:fldCharType="separate"/>
                    </w:r>
                    <w:r w:rsidR="001138BB">
                      <w:rPr>
                        <w:noProof/>
                      </w:rPr>
                      <w:t>1</w:t>
                    </w:r>
                    <w:r>
                      <w:fldChar w:fldCharType="end"/>
                    </w:r>
                    <w:r>
                      <w:t xml:space="preserve"> van </w:t>
                    </w:r>
                    <w:r>
                      <w:fldChar w:fldCharType="begin"/>
                    </w:r>
                    <w:r>
                      <w:instrText>NUMPAGES</w:instrText>
                    </w:r>
                    <w:r>
                      <w:fldChar w:fldCharType="separate"/>
                    </w:r>
                    <w:r w:rsidR="001138B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245D5BE" wp14:editId="0C25B58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DAA1AC" w14:textId="77777777" w:rsidR="007A69D7" w:rsidRDefault="004B4651">
                          <w:pPr>
                            <w:pStyle w:val="AfzendgegevensKop0"/>
                          </w:pPr>
                          <w:r>
                            <w:t>Ministerie van Infrastructuur en Waterstaat</w:t>
                          </w:r>
                        </w:p>
                        <w:p w14:paraId="29791EC0" w14:textId="77777777" w:rsidR="007A69D7" w:rsidRDefault="007A69D7">
                          <w:pPr>
                            <w:pStyle w:val="WitregelW1"/>
                          </w:pPr>
                        </w:p>
                        <w:p w14:paraId="269D685E" w14:textId="77777777" w:rsidR="007A69D7" w:rsidRDefault="004B4651">
                          <w:pPr>
                            <w:pStyle w:val="Afzendgegevens"/>
                          </w:pPr>
                          <w:r>
                            <w:t>Rijnstraat 8</w:t>
                          </w:r>
                        </w:p>
                        <w:p w14:paraId="7FB9B5F6" w14:textId="77777777" w:rsidR="007A69D7" w:rsidRPr="00E2169C" w:rsidRDefault="004B4651">
                          <w:pPr>
                            <w:pStyle w:val="Afzendgegevens"/>
                            <w:rPr>
                              <w:lang w:val="de-DE"/>
                            </w:rPr>
                          </w:pPr>
                          <w:r w:rsidRPr="00E2169C">
                            <w:rPr>
                              <w:lang w:val="de-DE"/>
                            </w:rPr>
                            <w:t>Den Haag</w:t>
                          </w:r>
                        </w:p>
                        <w:p w14:paraId="12869A14" w14:textId="77777777" w:rsidR="007A69D7" w:rsidRPr="00E2169C" w:rsidRDefault="004B4651">
                          <w:pPr>
                            <w:pStyle w:val="Afzendgegevens"/>
                            <w:rPr>
                              <w:lang w:val="de-DE"/>
                            </w:rPr>
                          </w:pPr>
                          <w:r w:rsidRPr="00E2169C">
                            <w:rPr>
                              <w:lang w:val="de-DE"/>
                            </w:rPr>
                            <w:t>Postbus 20901</w:t>
                          </w:r>
                        </w:p>
                        <w:p w14:paraId="50D1A08B" w14:textId="77777777" w:rsidR="007A69D7" w:rsidRPr="008E56A2" w:rsidRDefault="004B4651" w:rsidP="008E56A2">
                          <w:pPr>
                            <w:pStyle w:val="Afzendgegevens"/>
                            <w:spacing w:line="276" w:lineRule="auto"/>
                            <w:rPr>
                              <w:lang w:val="de-DE"/>
                            </w:rPr>
                          </w:pPr>
                          <w:r w:rsidRPr="00E2169C">
                            <w:rPr>
                              <w:lang w:val="de-DE"/>
                            </w:rPr>
                            <w:t xml:space="preserve">2500 EX  </w:t>
                          </w:r>
                          <w:r w:rsidRPr="008E56A2">
                            <w:rPr>
                              <w:lang w:val="de-DE"/>
                            </w:rPr>
                            <w:t>Den Haag</w:t>
                          </w:r>
                        </w:p>
                        <w:p w14:paraId="1508E5F1" w14:textId="77777777" w:rsidR="007A69D7" w:rsidRPr="008E56A2" w:rsidRDefault="007A69D7" w:rsidP="008E56A2">
                          <w:pPr>
                            <w:pStyle w:val="WitregelW1"/>
                            <w:spacing w:line="276" w:lineRule="auto"/>
                            <w:rPr>
                              <w:sz w:val="13"/>
                              <w:szCs w:val="13"/>
                              <w:lang w:val="de-DE"/>
                            </w:rPr>
                          </w:pPr>
                        </w:p>
                        <w:p w14:paraId="48552327" w14:textId="77777777" w:rsidR="007A69D7" w:rsidRPr="008E56A2" w:rsidRDefault="004B4651" w:rsidP="008E56A2">
                          <w:pPr>
                            <w:pStyle w:val="Referentiegegevenskop"/>
                            <w:spacing w:line="276" w:lineRule="auto"/>
                          </w:pPr>
                          <w:r w:rsidRPr="008E56A2">
                            <w:t>Ons kenmerk</w:t>
                          </w:r>
                        </w:p>
                        <w:p w14:paraId="12F26A4E" w14:textId="13AB3BAB" w:rsidR="004B4651" w:rsidRPr="008E56A2" w:rsidRDefault="004B4651" w:rsidP="008E56A2">
                          <w:pPr>
                            <w:spacing w:line="276" w:lineRule="auto"/>
                            <w:rPr>
                              <w:sz w:val="13"/>
                              <w:szCs w:val="13"/>
                            </w:rPr>
                          </w:pPr>
                          <w:r w:rsidRPr="008E56A2">
                            <w:rPr>
                              <w:sz w:val="13"/>
                              <w:szCs w:val="13"/>
                            </w:rPr>
                            <w:t>IENW/BSK-2024/274152</w:t>
                          </w:r>
                        </w:p>
                        <w:p w14:paraId="2095FDD0" w14:textId="77777777" w:rsidR="004B4651" w:rsidRPr="008E56A2" w:rsidRDefault="004B4651" w:rsidP="008E56A2">
                          <w:pPr>
                            <w:pStyle w:val="Referentiegegevenskop"/>
                            <w:spacing w:line="276" w:lineRule="auto"/>
                          </w:pPr>
                        </w:p>
                        <w:p w14:paraId="0E8B7F4D" w14:textId="1D214663" w:rsidR="007A69D7" w:rsidRPr="008E56A2" w:rsidRDefault="004B4651" w:rsidP="008E56A2">
                          <w:pPr>
                            <w:pStyle w:val="Referentiegegevenskop"/>
                            <w:spacing w:line="276" w:lineRule="auto"/>
                          </w:pPr>
                          <w:r w:rsidRPr="008E56A2">
                            <w:t>Bijlage(n)</w:t>
                          </w:r>
                        </w:p>
                        <w:p w14:paraId="189F6B3E" w14:textId="2C7EB87D" w:rsidR="007A69D7" w:rsidRPr="008E56A2" w:rsidRDefault="0072637D" w:rsidP="008E56A2">
                          <w:pPr>
                            <w:pStyle w:val="Referentiegegevens"/>
                            <w:spacing w:line="276" w:lineRule="auto"/>
                          </w:pPr>
                          <w:r w:rsidRPr="008E56A2">
                            <w:t>3</w:t>
                          </w:r>
                        </w:p>
                      </w:txbxContent>
                    </wps:txbx>
                    <wps:bodyPr vert="horz" wrap="square" lIns="0" tIns="0" rIns="0" bIns="0" anchor="t" anchorCtr="0"/>
                  </wps:wsp>
                </a:graphicData>
              </a:graphic>
            </wp:anchor>
          </w:drawing>
        </mc:Choice>
        <mc:Fallback>
          <w:pict>
            <v:shape w14:anchorId="4245D5B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7DAA1AC" w14:textId="77777777" w:rsidR="007A69D7" w:rsidRDefault="004B4651">
                    <w:pPr>
                      <w:pStyle w:val="AfzendgegevensKop0"/>
                    </w:pPr>
                    <w:r>
                      <w:t>Ministerie van Infrastructuur en Waterstaat</w:t>
                    </w:r>
                  </w:p>
                  <w:p w14:paraId="29791EC0" w14:textId="77777777" w:rsidR="007A69D7" w:rsidRDefault="007A69D7">
                    <w:pPr>
                      <w:pStyle w:val="WitregelW1"/>
                    </w:pPr>
                  </w:p>
                  <w:p w14:paraId="269D685E" w14:textId="77777777" w:rsidR="007A69D7" w:rsidRDefault="004B4651">
                    <w:pPr>
                      <w:pStyle w:val="Afzendgegevens"/>
                    </w:pPr>
                    <w:r>
                      <w:t>Rijnstraat 8</w:t>
                    </w:r>
                  </w:p>
                  <w:p w14:paraId="7FB9B5F6" w14:textId="77777777" w:rsidR="007A69D7" w:rsidRPr="00E2169C" w:rsidRDefault="004B4651">
                    <w:pPr>
                      <w:pStyle w:val="Afzendgegevens"/>
                      <w:rPr>
                        <w:lang w:val="de-DE"/>
                      </w:rPr>
                    </w:pPr>
                    <w:r w:rsidRPr="00E2169C">
                      <w:rPr>
                        <w:lang w:val="de-DE"/>
                      </w:rPr>
                      <w:t>Den Haag</w:t>
                    </w:r>
                  </w:p>
                  <w:p w14:paraId="12869A14" w14:textId="77777777" w:rsidR="007A69D7" w:rsidRPr="00E2169C" w:rsidRDefault="004B4651">
                    <w:pPr>
                      <w:pStyle w:val="Afzendgegevens"/>
                      <w:rPr>
                        <w:lang w:val="de-DE"/>
                      </w:rPr>
                    </w:pPr>
                    <w:r w:rsidRPr="00E2169C">
                      <w:rPr>
                        <w:lang w:val="de-DE"/>
                      </w:rPr>
                      <w:t>Postbus 20901</w:t>
                    </w:r>
                  </w:p>
                  <w:p w14:paraId="50D1A08B" w14:textId="77777777" w:rsidR="007A69D7" w:rsidRPr="008E56A2" w:rsidRDefault="004B4651" w:rsidP="008E56A2">
                    <w:pPr>
                      <w:pStyle w:val="Afzendgegevens"/>
                      <w:spacing w:line="276" w:lineRule="auto"/>
                      <w:rPr>
                        <w:lang w:val="de-DE"/>
                      </w:rPr>
                    </w:pPr>
                    <w:r w:rsidRPr="00E2169C">
                      <w:rPr>
                        <w:lang w:val="de-DE"/>
                      </w:rPr>
                      <w:t xml:space="preserve">2500 EX  </w:t>
                    </w:r>
                    <w:r w:rsidRPr="008E56A2">
                      <w:rPr>
                        <w:lang w:val="de-DE"/>
                      </w:rPr>
                      <w:t>Den Haag</w:t>
                    </w:r>
                  </w:p>
                  <w:p w14:paraId="1508E5F1" w14:textId="77777777" w:rsidR="007A69D7" w:rsidRPr="008E56A2" w:rsidRDefault="007A69D7" w:rsidP="008E56A2">
                    <w:pPr>
                      <w:pStyle w:val="WitregelW1"/>
                      <w:spacing w:line="276" w:lineRule="auto"/>
                      <w:rPr>
                        <w:sz w:val="13"/>
                        <w:szCs w:val="13"/>
                        <w:lang w:val="de-DE"/>
                      </w:rPr>
                    </w:pPr>
                  </w:p>
                  <w:p w14:paraId="48552327" w14:textId="77777777" w:rsidR="007A69D7" w:rsidRPr="008E56A2" w:rsidRDefault="004B4651" w:rsidP="008E56A2">
                    <w:pPr>
                      <w:pStyle w:val="Referentiegegevenskop"/>
                      <w:spacing w:line="276" w:lineRule="auto"/>
                    </w:pPr>
                    <w:r w:rsidRPr="008E56A2">
                      <w:t>Ons kenmerk</w:t>
                    </w:r>
                  </w:p>
                  <w:p w14:paraId="12F26A4E" w14:textId="13AB3BAB" w:rsidR="004B4651" w:rsidRPr="008E56A2" w:rsidRDefault="004B4651" w:rsidP="008E56A2">
                    <w:pPr>
                      <w:spacing w:line="276" w:lineRule="auto"/>
                      <w:rPr>
                        <w:sz w:val="13"/>
                        <w:szCs w:val="13"/>
                      </w:rPr>
                    </w:pPr>
                    <w:r w:rsidRPr="008E56A2">
                      <w:rPr>
                        <w:sz w:val="13"/>
                        <w:szCs w:val="13"/>
                      </w:rPr>
                      <w:t>IENW/BSK-2024/274152</w:t>
                    </w:r>
                  </w:p>
                  <w:p w14:paraId="2095FDD0" w14:textId="77777777" w:rsidR="004B4651" w:rsidRPr="008E56A2" w:rsidRDefault="004B4651" w:rsidP="008E56A2">
                    <w:pPr>
                      <w:pStyle w:val="Referentiegegevenskop"/>
                      <w:spacing w:line="276" w:lineRule="auto"/>
                    </w:pPr>
                  </w:p>
                  <w:p w14:paraId="0E8B7F4D" w14:textId="1D214663" w:rsidR="007A69D7" w:rsidRPr="008E56A2" w:rsidRDefault="004B4651" w:rsidP="008E56A2">
                    <w:pPr>
                      <w:pStyle w:val="Referentiegegevenskop"/>
                      <w:spacing w:line="276" w:lineRule="auto"/>
                    </w:pPr>
                    <w:r w:rsidRPr="008E56A2">
                      <w:t>Bijlage(n)</w:t>
                    </w:r>
                  </w:p>
                  <w:p w14:paraId="189F6B3E" w14:textId="2C7EB87D" w:rsidR="007A69D7" w:rsidRPr="008E56A2" w:rsidRDefault="0072637D" w:rsidP="008E56A2">
                    <w:pPr>
                      <w:pStyle w:val="Referentiegegevens"/>
                      <w:spacing w:line="276" w:lineRule="auto"/>
                    </w:pPr>
                    <w:r w:rsidRPr="008E56A2">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DB1341D" wp14:editId="322907FD">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94BE6D" w14:textId="7B5FC51C" w:rsidR="009F0EA4" w:rsidRDefault="00BF056B">
                          <w:r>
                            <w:rPr>
                              <w:noProof/>
                              <w:lang w:val="en-GB" w:eastAsia="en-GB"/>
                            </w:rPr>
                            <w:drawing>
                              <wp:inline distT="0" distB="0" distL="0" distR="0" wp14:anchorId="2419C373" wp14:editId="5325C030">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B1341D"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194BE6D" w14:textId="7B5FC51C" w:rsidR="009F0EA4" w:rsidRDefault="00BF056B">
                    <w:r>
                      <w:rPr>
                        <w:noProof/>
                        <w:lang w:val="en-GB" w:eastAsia="en-GB"/>
                      </w:rPr>
                      <w:drawing>
                        <wp:inline distT="0" distB="0" distL="0" distR="0" wp14:anchorId="2419C373" wp14:editId="5325C030">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B244B60" wp14:editId="6A6C933D">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9976B9" w14:textId="77777777" w:rsidR="007A69D7" w:rsidRDefault="004B4651">
                          <w:pPr>
                            <w:pStyle w:val="MarginlessContainer"/>
                          </w:pPr>
                          <w:r>
                            <w:rPr>
                              <w:noProof/>
                              <w:lang w:val="en-GB" w:eastAsia="en-GB"/>
                            </w:rPr>
                            <w:drawing>
                              <wp:inline distT="0" distB="0" distL="0" distR="0" wp14:anchorId="75078A6E" wp14:editId="3D56854A">
                                <wp:extent cx="2339975" cy="1582834"/>
                                <wp:effectExtent l="0" t="0" r="0" b="0"/>
                                <wp:docPr id="6"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244B60"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249976B9" w14:textId="77777777" w:rsidR="007A69D7" w:rsidRDefault="004B4651">
                    <w:pPr>
                      <w:pStyle w:val="MarginlessContainer"/>
                    </w:pPr>
                    <w:r>
                      <w:rPr>
                        <w:noProof/>
                        <w:lang w:val="en-GB" w:eastAsia="en-GB"/>
                      </w:rPr>
                      <w:drawing>
                        <wp:inline distT="0" distB="0" distL="0" distR="0" wp14:anchorId="75078A6E" wp14:editId="3D56854A">
                          <wp:extent cx="2339975" cy="1582834"/>
                          <wp:effectExtent l="0" t="0" r="0" b="0"/>
                          <wp:docPr id="6"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259849E" wp14:editId="1F418C19">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D2BF9B9" w14:textId="77777777" w:rsidR="007A69D7" w:rsidRDefault="004B465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259849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0D2BF9B9" w14:textId="77777777" w:rsidR="007A69D7" w:rsidRDefault="004B465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0A867BC" wp14:editId="47A06A2B">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61EDAA" w14:textId="77777777" w:rsidR="0072637D" w:rsidRDefault="004B4651">
                          <w:r>
                            <w:t xml:space="preserve">De voorzitter van de Tweede Kamer </w:t>
                          </w:r>
                        </w:p>
                        <w:p w14:paraId="0CE3B7A4" w14:textId="1EA24C9D" w:rsidR="007A69D7" w:rsidRDefault="004B4651">
                          <w:r>
                            <w:t>der Staten-Generaal</w:t>
                          </w:r>
                        </w:p>
                        <w:p w14:paraId="1708B95D" w14:textId="77777777" w:rsidR="007A69D7" w:rsidRDefault="004B4651">
                          <w:r>
                            <w:t>Postbus 20018</w:t>
                          </w:r>
                        </w:p>
                        <w:p w14:paraId="44BBF3C2" w14:textId="77777777" w:rsidR="007A69D7" w:rsidRDefault="004B4651">
                          <w:r>
                            <w:t>2500 EA  DEN HAAG</w:t>
                          </w:r>
                        </w:p>
                      </w:txbxContent>
                    </wps:txbx>
                    <wps:bodyPr vert="horz" wrap="square" lIns="0" tIns="0" rIns="0" bIns="0" anchor="t" anchorCtr="0"/>
                  </wps:wsp>
                </a:graphicData>
              </a:graphic>
            </wp:anchor>
          </w:drawing>
        </mc:Choice>
        <mc:Fallback>
          <w:pict>
            <v:shape w14:anchorId="30A867BC"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5361EDAA" w14:textId="77777777" w:rsidR="0072637D" w:rsidRDefault="004B4651">
                    <w:r>
                      <w:t xml:space="preserve">De voorzitter van de Tweede Kamer </w:t>
                    </w:r>
                  </w:p>
                  <w:p w14:paraId="0CE3B7A4" w14:textId="1EA24C9D" w:rsidR="007A69D7" w:rsidRDefault="004B4651">
                    <w:r>
                      <w:t>der Staten-Generaal</w:t>
                    </w:r>
                  </w:p>
                  <w:p w14:paraId="1708B95D" w14:textId="77777777" w:rsidR="007A69D7" w:rsidRDefault="004B4651">
                    <w:r>
                      <w:t>Postbus 20018</w:t>
                    </w:r>
                  </w:p>
                  <w:p w14:paraId="44BBF3C2" w14:textId="77777777" w:rsidR="007A69D7" w:rsidRDefault="004B4651">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015C969" wp14:editId="0EDCC087">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A69D7" w14:paraId="442792D2" w14:textId="77777777">
                            <w:trPr>
                              <w:trHeight w:val="200"/>
                            </w:trPr>
                            <w:tc>
                              <w:tcPr>
                                <w:tcW w:w="1140" w:type="dxa"/>
                              </w:tcPr>
                              <w:p w14:paraId="3BE99E5A" w14:textId="77777777" w:rsidR="007A69D7" w:rsidRDefault="007A69D7"/>
                            </w:tc>
                            <w:tc>
                              <w:tcPr>
                                <w:tcW w:w="5400" w:type="dxa"/>
                              </w:tcPr>
                              <w:p w14:paraId="0C6CC754" w14:textId="77777777" w:rsidR="007A69D7" w:rsidRDefault="007A69D7"/>
                            </w:tc>
                          </w:tr>
                          <w:tr w:rsidR="007A69D7" w14:paraId="6D0E7EAE" w14:textId="77777777">
                            <w:trPr>
                              <w:trHeight w:val="240"/>
                            </w:trPr>
                            <w:tc>
                              <w:tcPr>
                                <w:tcW w:w="1140" w:type="dxa"/>
                              </w:tcPr>
                              <w:p w14:paraId="3D3849B2" w14:textId="20E0903A" w:rsidR="007A69D7" w:rsidRDefault="00623CE2">
                                <w:r>
                                  <w:t>Datum</w:t>
                                </w:r>
                              </w:p>
                            </w:tc>
                            <w:tc>
                              <w:tcPr>
                                <w:tcW w:w="5400" w:type="dxa"/>
                              </w:tcPr>
                              <w:p w14:paraId="33700F7A" w14:textId="6CB7C924" w:rsidR="007A69D7" w:rsidRDefault="00623CE2">
                                <w:r>
                                  <w:t>17 oktober 2024</w:t>
                                </w:r>
                              </w:p>
                            </w:tc>
                          </w:tr>
                          <w:tr w:rsidR="007A69D7" w14:paraId="5B60F050" w14:textId="77777777">
                            <w:trPr>
                              <w:trHeight w:val="240"/>
                            </w:trPr>
                            <w:tc>
                              <w:tcPr>
                                <w:tcW w:w="1140" w:type="dxa"/>
                              </w:tcPr>
                              <w:p w14:paraId="601EBE5D" w14:textId="77777777" w:rsidR="007A69D7" w:rsidRDefault="004B4651">
                                <w:r>
                                  <w:t>Betreft</w:t>
                                </w:r>
                              </w:p>
                            </w:tc>
                            <w:tc>
                              <w:tcPr>
                                <w:tcW w:w="5400" w:type="dxa"/>
                              </w:tcPr>
                              <w:p w14:paraId="1679D805" w14:textId="77777777" w:rsidR="007A69D7" w:rsidRDefault="004B4651">
                                <w:r>
                                  <w:t>Verzamelbrief vuurwerk</w:t>
                                </w:r>
                              </w:p>
                            </w:tc>
                          </w:tr>
                          <w:tr w:rsidR="007A69D7" w14:paraId="26AE69A7" w14:textId="77777777">
                            <w:trPr>
                              <w:trHeight w:val="200"/>
                            </w:trPr>
                            <w:tc>
                              <w:tcPr>
                                <w:tcW w:w="1140" w:type="dxa"/>
                              </w:tcPr>
                              <w:p w14:paraId="30F00541" w14:textId="77777777" w:rsidR="007A69D7" w:rsidRDefault="007A69D7"/>
                            </w:tc>
                            <w:tc>
                              <w:tcPr>
                                <w:tcW w:w="5400" w:type="dxa"/>
                              </w:tcPr>
                              <w:p w14:paraId="03066070" w14:textId="77777777" w:rsidR="007A69D7" w:rsidRDefault="007A69D7"/>
                            </w:tc>
                          </w:tr>
                        </w:tbl>
                        <w:p w14:paraId="0C17F1A8" w14:textId="77777777" w:rsidR="009F0EA4" w:rsidRDefault="009F0EA4"/>
                      </w:txbxContent>
                    </wps:txbx>
                    <wps:bodyPr vert="horz" wrap="square" lIns="0" tIns="0" rIns="0" bIns="0" anchor="t" anchorCtr="0"/>
                  </wps:wsp>
                </a:graphicData>
              </a:graphic>
            </wp:anchor>
          </w:drawing>
        </mc:Choice>
        <mc:Fallback>
          <w:pict>
            <v:shape w14:anchorId="7015C969"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7A69D7" w14:paraId="442792D2" w14:textId="77777777">
                      <w:trPr>
                        <w:trHeight w:val="200"/>
                      </w:trPr>
                      <w:tc>
                        <w:tcPr>
                          <w:tcW w:w="1140" w:type="dxa"/>
                        </w:tcPr>
                        <w:p w14:paraId="3BE99E5A" w14:textId="77777777" w:rsidR="007A69D7" w:rsidRDefault="007A69D7"/>
                      </w:tc>
                      <w:tc>
                        <w:tcPr>
                          <w:tcW w:w="5400" w:type="dxa"/>
                        </w:tcPr>
                        <w:p w14:paraId="0C6CC754" w14:textId="77777777" w:rsidR="007A69D7" w:rsidRDefault="007A69D7"/>
                      </w:tc>
                    </w:tr>
                    <w:tr w:rsidR="007A69D7" w14:paraId="6D0E7EAE" w14:textId="77777777">
                      <w:trPr>
                        <w:trHeight w:val="240"/>
                      </w:trPr>
                      <w:tc>
                        <w:tcPr>
                          <w:tcW w:w="1140" w:type="dxa"/>
                        </w:tcPr>
                        <w:p w14:paraId="3D3849B2" w14:textId="20E0903A" w:rsidR="007A69D7" w:rsidRDefault="00623CE2">
                          <w:r>
                            <w:t>Datum</w:t>
                          </w:r>
                        </w:p>
                      </w:tc>
                      <w:tc>
                        <w:tcPr>
                          <w:tcW w:w="5400" w:type="dxa"/>
                        </w:tcPr>
                        <w:p w14:paraId="33700F7A" w14:textId="6CB7C924" w:rsidR="007A69D7" w:rsidRDefault="00623CE2">
                          <w:r>
                            <w:t>17 oktober 2024</w:t>
                          </w:r>
                        </w:p>
                      </w:tc>
                    </w:tr>
                    <w:tr w:rsidR="007A69D7" w14:paraId="5B60F050" w14:textId="77777777">
                      <w:trPr>
                        <w:trHeight w:val="240"/>
                      </w:trPr>
                      <w:tc>
                        <w:tcPr>
                          <w:tcW w:w="1140" w:type="dxa"/>
                        </w:tcPr>
                        <w:p w14:paraId="601EBE5D" w14:textId="77777777" w:rsidR="007A69D7" w:rsidRDefault="004B4651">
                          <w:r>
                            <w:t>Betreft</w:t>
                          </w:r>
                        </w:p>
                      </w:tc>
                      <w:tc>
                        <w:tcPr>
                          <w:tcW w:w="5400" w:type="dxa"/>
                        </w:tcPr>
                        <w:p w14:paraId="1679D805" w14:textId="77777777" w:rsidR="007A69D7" w:rsidRDefault="004B4651">
                          <w:r>
                            <w:t>Verzamelbrief vuurwerk</w:t>
                          </w:r>
                        </w:p>
                      </w:tc>
                    </w:tr>
                    <w:tr w:rsidR="007A69D7" w14:paraId="26AE69A7" w14:textId="77777777">
                      <w:trPr>
                        <w:trHeight w:val="200"/>
                      </w:trPr>
                      <w:tc>
                        <w:tcPr>
                          <w:tcW w:w="1140" w:type="dxa"/>
                        </w:tcPr>
                        <w:p w14:paraId="30F00541" w14:textId="77777777" w:rsidR="007A69D7" w:rsidRDefault="007A69D7"/>
                      </w:tc>
                      <w:tc>
                        <w:tcPr>
                          <w:tcW w:w="5400" w:type="dxa"/>
                        </w:tcPr>
                        <w:p w14:paraId="03066070" w14:textId="77777777" w:rsidR="007A69D7" w:rsidRDefault="007A69D7"/>
                      </w:tc>
                    </w:tr>
                  </w:tbl>
                  <w:p w14:paraId="0C17F1A8" w14:textId="77777777" w:rsidR="009F0EA4" w:rsidRDefault="009F0EA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5D2A66D" wp14:editId="3D4783F5">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4EB538" w14:textId="77777777" w:rsidR="009F0EA4" w:rsidRDefault="009F0EA4"/>
                      </w:txbxContent>
                    </wps:txbx>
                    <wps:bodyPr vert="horz" wrap="square" lIns="0" tIns="0" rIns="0" bIns="0" anchor="t" anchorCtr="0"/>
                  </wps:wsp>
                </a:graphicData>
              </a:graphic>
            </wp:anchor>
          </w:drawing>
        </mc:Choice>
        <mc:Fallback>
          <w:pict>
            <v:shape w14:anchorId="45D2A66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134EB538" w14:textId="77777777" w:rsidR="009F0EA4" w:rsidRDefault="009F0EA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2FEF1"/>
    <w:multiLevelType w:val="multilevel"/>
    <w:tmpl w:val="91AD1ED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6E0141"/>
    <w:multiLevelType w:val="multilevel"/>
    <w:tmpl w:val="7688F52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381492"/>
    <w:multiLevelType w:val="multilevel"/>
    <w:tmpl w:val="D2E5CD4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6E3FF1"/>
    <w:multiLevelType w:val="multilevel"/>
    <w:tmpl w:val="0C87D93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51C55C"/>
    <w:multiLevelType w:val="multilevel"/>
    <w:tmpl w:val="CD26D47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B4DFFF"/>
    <w:multiLevelType w:val="multilevel"/>
    <w:tmpl w:val="F9E026A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03E0B0"/>
    <w:multiLevelType w:val="multilevel"/>
    <w:tmpl w:val="573484F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6AD551"/>
    <w:multiLevelType w:val="multilevel"/>
    <w:tmpl w:val="3B544F2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F107C8D"/>
    <w:multiLevelType w:val="multilevel"/>
    <w:tmpl w:val="D08963A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E1010BF"/>
    <w:multiLevelType w:val="multilevel"/>
    <w:tmpl w:val="98B378F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BA7A84"/>
    <w:multiLevelType w:val="multilevel"/>
    <w:tmpl w:val="3B3827C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36B65D"/>
    <w:multiLevelType w:val="multilevel"/>
    <w:tmpl w:val="BCC7E12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9EF5A1"/>
    <w:multiLevelType w:val="multilevel"/>
    <w:tmpl w:val="DCB5B43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D18F2"/>
    <w:multiLevelType w:val="multilevel"/>
    <w:tmpl w:val="0818A86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AB90A"/>
    <w:multiLevelType w:val="multilevel"/>
    <w:tmpl w:val="6F812B8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878D0"/>
    <w:multiLevelType w:val="multilevel"/>
    <w:tmpl w:val="FB3C71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BD229"/>
    <w:multiLevelType w:val="multilevel"/>
    <w:tmpl w:val="24884E4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ED83A"/>
    <w:multiLevelType w:val="multilevel"/>
    <w:tmpl w:val="DBDB1C3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EC925"/>
    <w:multiLevelType w:val="multilevel"/>
    <w:tmpl w:val="4D5C85D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555908"/>
    <w:multiLevelType w:val="multilevel"/>
    <w:tmpl w:val="E4A2F4D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AD95ED"/>
    <w:multiLevelType w:val="multilevel"/>
    <w:tmpl w:val="13C5D99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8"/>
  </w:num>
  <w:num w:numId="4">
    <w:abstractNumId w:val="9"/>
  </w:num>
  <w:num w:numId="5">
    <w:abstractNumId w:val="14"/>
  </w:num>
  <w:num w:numId="6">
    <w:abstractNumId w:val="3"/>
  </w:num>
  <w:num w:numId="7">
    <w:abstractNumId w:val="7"/>
  </w:num>
  <w:num w:numId="8">
    <w:abstractNumId w:val="16"/>
  </w:num>
  <w:num w:numId="9">
    <w:abstractNumId w:val="10"/>
  </w:num>
  <w:num w:numId="10">
    <w:abstractNumId w:val="13"/>
  </w:num>
  <w:num w:numId="11">
    <w:abstractNumId w:val="4"/>
  </w:num>
  <w:num w:numId="12">
    <w:abstractNumId w:val="20"/>
  </w:num>
  <w:num w:numId="13">
    <w:abstractNumId w:val="12"/>
  </w:num>
  <w:num w:numId="14">
    <w:abstractNumId w:val="19"/>
  </w:num>
  <w:num w:numId="15">
    <w:abstractNumId w:val="0"/>
  </w:num>
  <w:num w:numId="16">
    <w:abstractNumId w:val="6"/>
  </w:num>
  <w:num w:numId="17">
    <w:abstractNumId w:val="17"/>
  </w:num>
  <w:num w:numId="18">
    <w:abstractNumId w:val="1"/>
  </w:num>
  <w:num w:numId="19">
    <w:abstractNumId w:val="15"/>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9C"/>
    <w:rsid w:val="000132E9"/>
    <w:rsid w:val="000232BC"/>
    <w:rsid w:val="00047F74"/>
    <w:rsid w:val="00054729"/>
    <w:rsid w:val="00084637"/>
    <w:rsid w:val="000909C2"/>
    <w:rsid w:val="000B5C47"/>
    <w:rsid w:val="000D148F"/>
    <w:rsid w:val="0010511E"/>
    <w:rsid w:val="001138BB"/>
    <w:rsid w:val="00147C77"/>
    <w:rsid w:val="00177D0F"/>
    <w:rsid w:val="001E0D9E"/>
    <w:rsid w:val="001F34BB"/>
    <w:rsid w:val="001F51D5"/>
    <w:rsid w:val="00254F9C"/>
    <w:rsid w:val="003242F5"/>
    <w:rsid w:val="00330058"/>
    <w:rsid w:val="003E418D"/>
    <w:rsid w:val="004157BE"/>
    <w:rsid w:val="004263F8"/>
    <w:rsid w:val="004653D8"/>
    <w:rsid w:val="0049176C"/>
    <w:rsid w:val="004B2C96"/>
    <w:rsid w:val="004B4651"/>
    <w:rsid w:val="004C58A2"/>
    <w:rsid w:val="005A3842"/>
    <w:rsid w:val="005B33A4"/>
    <w:rsid w:val="005F4C50"/>
    <w:rsid w:val="00600BB0"/>
    <w:rsid w:val="00605232"/>
    <w:rsid w:val="00623CE2"/>
    <w:rsid w:val="006324FA"/>
    <w:rsid w:val="00641525"/>
    <w:rsid w:val="006A14FD"/>
    <w:rsid w:val="0070213D"/>
    <w:rsid w:val="00703ED0"/>
    <w:rsid w:val="0071613B"/>
    <w:rsid w:val="00723813"/>
    <w:rsid w:val="0072637D"/>
    <w:rsid w:val="007321C3"/>
    <w:rsid w:val="00745D9B"/>
    <w:rsid w:val="007667CD"/>
    <w:rsid w:val="00770BDF"/>
    <w:rsid w:val="007711F0"/>
    <w:rsid w:val="007A4205"/>
    <w:rsid w:val="007A69D7"/>
    <w:rsid w:val="007B5CF3"/>
    <w:rsid w:val="007C34EE"/>
    <w:rsid w:val="007E2727"/>
    <w:rsid w:val="007F4999"/>
    <w:rsid w:val="008618A9"/>
    <w:rsid w:val="008738D6"/>
    <w:rsid w:val="00892EDC"/>
    <w:rsid w:val="008E2F10"/>
    <w:rsid w:val="008E56A2"/>
    <w:rsid w:val="009617CC"/>
    <w:rsid w:val="00993D12"/>
    <w:rsid w:val="009B2899"/>
    <w:rsid w:val="009B6D40"/>
    <w:rsid w:val="009C180C"/>
    <w:rsid w:val="009C5648"/>
    <w:rsid w:val="009F0EA4"/>
    <w:rsid w:val="00AA7746"/>
    <w:rsid w:val="00B43CFE"/>
    <w:rsid w:val="00BC0235"/>
    <w:rsid w:val="00BD5A5B"/>
    <w:rsid w:val="00BE49FC"/>
    <w:rsid w:val="00BF056B"/>
    <w:rsid w:val="00C068B0"/>
    <w:rsid w:val="00C21382"/>
    <w:rsid w:val="00C31A40"/>
    <w:rsid w:val="00C63C47"/>
    <w:rsid w:val="00C76D92"/>
    <w:rsid w:val="00C97369"/>
    <w:rsid w:val="00C97E1D"/>
    <w:rsid w:val="00D650AA"/>
    <w:rsid w:val="00D81828"/>
    <w:rsid w:val="00D9080A"/>
    <w:rsid w:val="00DE6EAC"/>
    <w:rsid w:val="00E101EB"/>
    <w:rsid w:val="00E2169C"/>
    <w:rsid w:val="00E41AF7"/>
    <w:rsid w:val="00EE678A"/>
    <w:rsid w:val="00F6677D"/>
    <w:rsid w:val="00F85632"/>
    <w:rsid w:val="00F94939"/>
    <w:rsid w:val="00FD3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3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9C"/>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2169C"/>
    <w:pPr>
      <w:tabs>
        <w:tab w:val="center" w:pos="4536"/>
        <w:tab w:val="right" w:pos="9072"/>
      </w:tabs>
      <w:spacing w:line="240" w:lineRule="auto"/>
    </w:pPr>
  </w:style>
  <w:style w:type="character" w:customStyle="1" w:styleId="HeaderChar">
    <w:name w:val="Header Char"/>
    <w:basedOn w:val="DefaultParagraphFont"/>
    <w:link w:val="Header"/>
    <w:uiPriority w:val="99"/>
    <w:rsid w:val="00E2169C"/>
    <w:rPr>
      <w:rFonts w:ascii="Verdana" w:hAnsi="Verdana"/>
      <w:color w:val="000000"/>
      <w:sz w:val="18"/>
      <w:szCs w:val="18"/>
    </w:rPr>
  </w:style>
  <w:style w:type="paragraph" w:styleId="Footer">
    <w:name w:val="footer"/>
    <w:basedOn w:val="Normal"/>
    <w:link w:val="FooterChar"/>
    <w:uiPriority w:val="99"/>
    <w:unhideWhenUsed/>
    <w:rsid w:val="00E2169C"/>
    <w:pPr>
      <w:tabs>
        <w:tab w:val="center" w:pos="4536"/>
        <w:tab w:val="right" w:pos="9072"/>
      </w:tabs>
      <w:spacing w:line="240" w:lineRule="auto"/>
    </w:pPr>
  </w:style>
  <w:style w:type="character" w:customStyle="1" w:styleId="FooterChar">
    <w:name w:val="Footer Char"/>
    <w:basedOn w:val="DefaultParagraphFont"/>
    <w:link w:val="Footer"/>
    <w:uiPriority w:val="99"/>
    <w:rsid w:val="00E2169C"/>
    <w:rPr>
      <w:rFonts w:ascii="Verdana" w:hAnsi="Verdana"/>
      <w:color w:val="000000"/>
      <w:sz w:val="18"/>
      <w:szCs w:val="18"/>
    </w:rPr>
  </w:style>
  <w:style w:type="paragraph" w:styleId="ListParagraph">
    <w:name w:val="List Paragraph"/>
    <w:basedOn w:val="Normal"/>
    <w:uiPriority w:val="34"/>
    <w:qFormat/>
    <w:rsid w:val="00E2169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FootnoteReference">
    <w:name w:val="footnote reference"/>
    <w:basedOn w:val="DefaultParagraphFont"/>
    <w:uiPriority w:val="99"/>
    <w:semiHidden/>
    <w:unhideWhenUsed/>
    <w:rsid w:val="00E2169C"/>
    <w:rPr>
      <w:vertAlign w:val="superscript"/>
    </w:rPr>
  </w:style>
  <w:style w:type="paragraph" w:styleId="FootnoteText">
    <w:name w:val="footnote text"/>
    <w:basedOn w:val="Normal"/>
    <w:link w:val="FootnoteTextChar"/>
    <w:uiPriority w:val="99"/>
    <w:unhideWhenUsed/>
    <w:rsid w:val="00E2169C"/>
    <w:pPr>
      <w:autoSpaceDN/>
      <w:spacing w:line="240" w:lineRule="auto"/>
      <w:textAlignment w:val="auto"/>
    </w:pPr>
    <w:rPr>
      <w:rFonts w:asciiTheme="minorHAnsi" w:eastAsiaTheme="minorHAnsi" w:hAnsiTheme="minorHAnsi" w:cstheme="minorBidi"/>
      <w:color w:val="44546A" w:themeColor="text2"/>
      <w:sz w:val="16"/>
      <w:szCs w:val="20"/>
      <w:lang w:eastAsia="en-US"/>
      <w14:ligatures w14:val="standardContextual"/>
    </w:rPr>
  </w:style>
  <w:style w:type="character" w:customStyle="1" w:styleId="FootnoteTextChar">
    <w:name w:val="Footnote Text Char"/>
    <w:basedOn w:val="DefaultParagraphFont"/>
    <w:link w:val="FootnoteText"/>
    <w:uiPriority w:val="99"/>
    <w:rsid w:val="00E2169C"/>
    <w:rPr>
      <w:rFonts w:asciiTheme="minorHAnsi" w:eastAsiaTheme="minorHAnsi" w:hAnsiTheme="minorHAnsi" w:cstheme="minorBidi"/>
      <w:color w:val="44546A" w:themeColor="text2"/>
      <w:sz w:val="16"/>
      <w:lang w:eastAsia="en-US"/>
      <w14:ligatures w14:val="standardContextual"/>
    </w:rPr>
  </w:style>
  <w:style w:type="character" w:styleId="Hyperlink">
    <w:name w:val="Hyperlink"/>
    <w:basedOn w:val="DefaultParagraphFont"/>
    <w:uiPriority w:val="99"/>
    <w:semiHidden/>
    <w:unhideWhenUsed/>
    <w:rsid w:val="00E2169C"/>
    <w:rPr>
      <w:color w:val="0000FF"/>
      <w:u w:val="single"/>
    </w:rPr>
  </w:style>
  <w:style w:type="paragraph" w:customStyle="1" w:styleId="Default">
    <w:name w:val="Default"/>
    <w:rsid w:val="004263F8"/>
    <w:pPr>
      <w:autoSpaceDE w:val="0"/>
      <w:adjustRightInd w:val="0"/>
      <w:textAlignment w:val="auto"/>
    </w:pPr>
    <w:rPr>
      <w:rFonts w:ascii="Verdana" w:hAnsi="Verdana" w:cs="Verdana"/>
      <w:color w:val="000000"/>
      <w:sz w:val="24"/>
      <w:szCs w:val="24"/>
    </w:rPr>
  </w:style>
  <w:style w:type="paragraph" w:styleId="Revision">
    <w:name w:val="Revision"/>
    <w:hidden/>
    <w:uiPriority w:val="99"/>
    <w:semiHidden/>
    <w:rsid w:val="009C180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C180C"/>
    <w:rPr>
      <w:sz w:val="16"/>
      <w:szCs w:val="16"/>
    </w:rPr>
  </w:style>
  <w:style w:type="paragraph" w:styleId="CommentText">
    <w:name w:val="annotation text"/>
    <w:basedOn w:val="Normal"/>
    <w:link w:val="CommentTextChar"/>
    <w:uiPriority w:val="99"/>
    <w:unhideWhenUsed/>
    <w:rsid w:val="009C180C"/>
    <w:pPr>
      <w:spacing w:line="240" w:lineRule="auto"/>
    </w:pPr>
    <w:rPr>
      <w:sz w:val="20"/>
      <w:szCs w:val="20"/>
    </w:rPr>
  </w:style>
  <w:style w:type="character" w:customStyle="1" w:styleId="CommentTextChar">
    <w:name w:val="Comment Text Char"/>
    <w:basedOn w:val="DefaultParagraphFont"/>
    <w:link w:val="CommentText"/>
    <w:uiPriority w:val="99"/>
    <w:rsid w:val="009C180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C180C"/>
    <w:rPr>
      <w:b/>
      <w:bCs/>
    </w:rPr>
  </w:style>
  <w:style w:type="character" w:customStyle="1" w:styleId="CommentSubjectChar">
    <w:name w:val="Comment Subject Char"/>
    <w:basedOn w:val="CommentTextChar"/>
    <w:link w:val="CommentSubject"/>
    <w:uiPriority w:val="99"/>
    <w:semiHidden/>
    <w:rsid w:val="009C180C"/>
    <w:rPr>
      <w:rFonts w:ascii="Verdana" w:hAnsi="Verdana"/>
      <w:b/>
      <w:bCs/>
      <w:color w:val="000000"/>
    </w:rPr>
  </w:style>
  <w:style w:type="character" w:styleId="FollowedHyperlink">
    <w:name w:val="FollowedHyperlink"/>
    <w:basedOn w:val="DefaultParagraphFont"/>
    <w:uiPriority w:val="99"/>
    <w:semiHidden/>
    <w:unhideWhenUsed/>
    <w:rsid w:val="00E10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22615">
      <w:bodyDiv w:val="1"/>
      <w:marLeft w:val="0"/>
      <w:marRight w:val="0"/>
      <w:marTop w:val="0"/>
      <w:marBottom w:val="0"/>
      <w:divBdr>
        <w:top w:val="none" w:sz="0" w:space="0" w:color="auto"/>
        <w:left w:val="none" w:sz="0" w:space="0" w:color="auto"/>
        <w:bottom w:val="none" w:sz="0" w:space="0" w:color="auto"/>
        <w:right w:val="none" w:sz="0" w:space="0" w:color="auto"/>
      </w:divBdr>
    </w:div>
    <w:div w:id="159308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lent.nl/actueel/nieuws/2023/11/02/inspectie-verdubbeling-van-afgekeurd-f1-vuurwerk" TargetMode="External"/><Relationship Id="rId1" Type="http://schemas.openxmlformats.org/officeDocument/2006/relationships/hyperlink" Target="https://www.rijksoverheid.nl/documenten/kamerstukken/2024/01/05/tk-beslisnota-bij-landelijk-beeld-jaarwisseling-2023-202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1950</ap:Words>
  <ap:Characters>11118</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2024-10-17T14:52:00.0000000Z</dcterms:created>
  <dcterms:modified xsi:type="dcterms:W3CDTF">2024-10-17T14:52:00.0000000Z</dcterms:modified>
  <dc:description>------------------------</dc:description>
  <dc:subject/>
  <dc:title/>
  <keywords/>
  <version/>
  <category/>
</coreProperties>
</file>