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F4" w:rsidP="00E16AF4" w:rsidRDefault="00E16AF4" w14:paraId="7E1520DD" w14:textId="322483DC">
      <w:bookmarkStart w:name="_Hlk144716215" w:id="0"/>
      <w:bookmarkStart w:name="_GoBack" w:id="1"/>
      <w:bookmarkEnd w:id="1"/>
      <w:r>
        <w:t xml:space="preserve">Met deze brief bied ik uw Kamer het rapport </w:t>
      </w:r>
      <w:r>
        <w:rPr>
          <w:i/>
          <w:iCs/>
        </w:rPr>
        <w:t>De gedragsbëinvloedende en vrijheidsbeperkende maatregel in 2022</w:t>
      </w:r>
      <w:r>
        <w:t xml:space="preserve"> aan. Het rapport </w:t>
      </w:r>
      <w:bookmarkEnd w:id="0"/>
      <w:r>
        <w:t xml:space="preserve">is opgesteld door het </w:t>
      </w:r>
      <w:bookmarkStart w:name="_Hlk144716233" w:id="2"/>
      <w:r>
        <w:t>Wetenschappelijk Onderzoek- en Datacentrum</w:t>
      </w:r>
      <w:bookmarkEnd w:id="2"/>
      <w:r>
        <w:t xml:space="preserve"> (WODC) en is onderdeel van het onderzoeksprogramma van de Wet langdurig toezicht (Wlt).</w:t>
      </w:r>
      <w:r>
        <w:rPr>
          <w:rStyle w:val="Voetnootmarkering"/>
        </w:rPr>
        <w:footnoteReference w:id="1"/>
      </w:r>
      <w:r>
        <w:t xml:space="preserve"> </w:t>
      </w:r>
      <w:r w:rsidR="003F4B6B">
        <w:t xml:space="preserve">Dit rapport blikt terug op de cijfers over </w:t>
      </w:r>
      <w:r w:rsidR="00247813">
        <w:t xml:space="preserve">de gedragsbeïnvloedende en vrijheidsbeperkende maatregel (GVM) uit </w:t>
      </w:r>
      <w:r w:rsidR="003F4B6B">
        <w:t xml:space="preserve">2018 tot en met 2021, laat de resultaten van de nieuwe opleggingen van de GVM in 2022 zien en bespreekt de eerste 10 tenuitvoerleggingen van de maatregel. </w:t>
      </w:r>
      <w:r>
        <w:t>Hieronder vat ik het rapport eerst samen en geef ik vervolgens mijn beleidsreactie.</w:t>
      </w:r>
    </w:p>
    <w:p w:rsidR="003F4B6B" w:rsidP="00D9141B" w:rsidRDefault="003F4B6B" w14:paraId="1DBDB5B6" w14:textId="77777777">
      <w:pPr>
        <w:pStyle w:val="broodtekst"/>
      </w:pPr>
    </w:p>
    <w:p w:rsidRPr="00D818D3" w:rsidR="00D9141B" w:rsidP="00E870B6" w:rsidRDefault="00D9141B" w14:paraId="4162697E" w14:textId="77777777">
      <w:pPr>
        <w:pStyle w:val="broodtekst"/>
        <w:rPr>
          <w:b/>
          <w:bCs/>
        </w:rPr>
      </w:pPr>
      <w:r>
        <w:rPr>
          <w:b/>
          <w:bCs/>
        </w:rPr>
        <w:t>Doel van de Wet langdurig toezicht</w:t>
      </w:r>
    </w:p>
    <w:p w:rsidR="00910135" w:rsidRDefault="00E16AF4" w14:paraId="4A2CA9A6" w14:textId="14658404">
      <w:r>
        <w:t xml:space="preserve">In 2018 is de Wlt in werking getreden. Met de Wlt is het mogelijk geworden langer en in sommige gevallen levenslang toezicht te houden op ernstige gewelds- en </w:t>
      </w:r>
      <w:r w:rsidRPr="00910135">
        <w:t>zedendelinquenten. Het doel van de Wlt is het voorkomen van herhaling van deze misdrijven. De Wlt biedt hiervoor drie aanvullende mogelijkheden</w:t>
      </w:r>
      <w:r w:rsidRPr="00910135" w:rsidR="00910135">
        <w:t xml:space="preserve">: </w:t>
      </w:r>
      <w:r w:rsidR="00910135">
        <w:t xml:space="preserve">de </w:t>
      </w:r>
      <w:r w:rsidRPr="00910135" w:rsidR="00910135">
        <w:rPr>
          <w:rFonts w:cs="Calibri"/>
        </w:rPr>
        <w:t xml:space="preserve">ongemaximeerde verlenging van de voorwaardelijke </w:t>
      </w:r>
      <w:r w:rsidRPr="00910135" w:rsidR="000E1A3B">
        <w:rPr>
          <w:rFonts w:cs="Calibri"/>
        </w:rPr>
        <w:t>beëindiging</w:t>
      </w:r>
      <w:r w:rsidRPr="00910135" w:rsidR="00910135">
        <w:rPr>
          <w:rFonts w:cs="Calibri"/>
        </w:rPr>
        <w:t xml:space="preserve"> van de maatregel terbeschikkingstelling (tbs) met dwangverpleging, de verlenging van de proeftijd bij de voorwaardelijke invrijheidstelling (v.i.) en </w:t>
      </w:r>
      <w:r w:rsidRPr="00910135">
        <w:t xml:space="preserve">de gedragsbeïnvloedende en vrijheidsbeperkende maatregel (GVM). </w:t>
      </w:r>
    </w:p>
    <w:p w:rsidR="00910135" w:rsidRDefault="00910135" w14:paraId="5DBD05AC" w14:textId="77777777"/>
    <w:p w:rsidR="00910135" w:rsidP="00910135" w:rsidRDefault="00910135" w14:paraId="7F967209" w14:textId="7195BE1D">
      <w:r>
        <w:t xml:space="preserve">De GVM is een zelfstandige toezichtmaatregel, die alleen kan worden gecombineerd met een gevangenisstraf, een </w:t>
      </w:r>
      <w:r w:rsidR="003B359A">
        <w:t>tbs-maatregel</w:t>
      </w:r>
      <w:r>
        <w:t xml:space="preserve"> of beide. De GVM kan bij eindvonnis of eindarrest op vordering van het Openbaar Ministerie </w:t>
      </w:r>
      <w:r w:rsidR="003B359A">
        <w:t xml:space="preserve">(OM) </w:t>
      </w:r>
      <w:r>
        <w:t>worden opgelegd of ambtshalve door de rechter. Wanneer de tbs</w:t>
      </w:r>
      <w:r w:rsidR="003B359A">
        <w:t>-maatregel</w:t>
      </w:r>
      <w:r>
        <w:t xml:space="preserve"> of gevangenisstraf eindigt, moet de GVM </w:t>
      </w:r>
      <w:r w:rsidR="003B359A">
        <w:t>opnieuw</w:t>
      </w:r>
      <w:r>
        <w:t xml:space="preserve"> door het </w:t>
      </w:r>
      <w:r w:rsidR="003B359A">
        <w:t>OM</w:t>
      </w:r>
      <w:r>
        <w:t xml:space="preserve"> worden gevorderd en beslist de rechter of de GVM ten uitvoer </w:t>
      </w:r>
      <w:r w:rsidR="003B359A">
        <w:t>moet worden</w:t>
      </w:r>
      <w:r>
        <w:t xml:space="preserve"> gelegd. </w:t>
      </w:r>
    </w:p>
    <w:p w:rsidR="00E16AF4" w:rsidP="00FD4D65" w:rsidRDefault="00E16AF4" w14:paraId="703CC6A8" w14:textId="77777777">
      <w:pPr>
        <w:autoSpaceDN/>
        <w:textAlignment w:val="auto"/>
        <w:rPr>
          <w:b/>
          <w:bCs/>
        </w:rPr>
      </w:pPr>
    </w:p>
    <w:p w:rsidRPr="00FD4D65" w:rsidR="00FD4D65" w:rsidP="00FD4D65" w:rsidRDefault="00DB66DB" w14:paraId="4E638CCE" w14:textId="2D7157A9">
      <w:pPr>
        <w:autoSpaceDN/>
        <w:textAlignment w:val="auto"/>
        <w:rPr>
          <w:b/>
          <w:bCs/>
        </w:rPr>
      </w:pPr>
      <w:r>
        <w:rPr>
          <w:b/>
          <w:bCs/>
        </w:rPr>
        <w:t>Rapport</w:t>
      </w:r>
    </w:p>
    <w:p w:rsidR="00534F41" w:rsidP="00534F41" w:rsidRDefault="00534F41" w14:paraId="31421AD4" w14:textId="57BD02FA">
      <w:r>
        <w:t>De onderzoekers hebben het aantal opleggingen, tenuitvoerleggingen en kenmerken van de GVM van 2018 tot en met 2022 gemonitord. Het doel van het rapport is het beschrijven van de kenmerken van de GVM in die vijf jaren. Hieronder zijn de belangrijkste resultaten van 2022 in vergelijking met de voorgaande jaren kort samengevat.</w:t>
      </w:r>
    </w:p>
    <w:p w:rsidR="00534F41" w:rsidP="00534F41" w:rsidRDefault="00534F41" w14:paraId="1A8B8F58" w14:textId="500C00F8"/>
    <w:p w:rsidR="00C91A26" w:rsidP="00C91A26" w:rsidRDefault="00534F41" w14:paraId="72DDC117" w14:textId="466C4A65">
      <w:r>
        <w:t xml:space="preserve">In de eerste vijf jaar van de Wlt is de GVM in totaal </w:t>
      </w:r>
      <w:r w:rsidR="00D973B8">
        <w:t>302</w:t>
      </w:r>
      <w:r>
        <w:t xml:space="preserve"> keer opgelegd: </w:t>
      </w:r>
      <w:r w:rsidR="00D973B8">
        <w:t>1</w:t>
      </w:r>
      <w:r w:rsidR="007F35E3">
        <w:t xml:space="preserve"> keer</w:t>
      </w:r>
      <w:r w:rsidR="00D973B8">
        <w:t xml:space="preserve"> in 2018, 21</w:t>
      </w:r>
      <w:r w:rsidR="007F35E3">
        <w:t xml:space="preserve"> keer</w:t>
      </w:r>
      <w:r w:rsidR="00D973B8">
        <w:t xml:space="preserve"> in 2019, 51</w:t>
      </w:r>
      <w:r w:rsidR="007F35E3">
        <w:t xml:space="preserve"> keer</w:t>
      </w:r>
      <w:r w:rsidR="00D973B8">
        <w:t xml:space="preserve"> in 2020, 96 </w:t>
      </w:r>
      <w:r w:rsidR="007F35E3">
        <w:t xml:space="preserve">keer </w:t>
      </w:r>
      <w:r w:rsidR="00D973B8">
        <w:t xml:space="preserve">in 2021 en 133 </w:t>
      </w:r>
      <w:r w:rsidR="007F35E3">
        <w:t xml:space="preserve">keer </w:t>
      </w:r>
      <w:r w:rsidR="00D973B8">
        <w:t>in 2022.</w:t>
      </w:r>
    </w:p>
    <w:p w:rsidR="00E870B6" w:rsidP="00C91A26" w:rsidRDefault="00C91A26" w14:paraId="73493F75" w14:textId="3D13A841">
      <w:r>
        <w:lastRenderedPageBreak/>
        <w:t xml:space="preserve">In 2022 is de GVM het meest gecombineerd met de tbs-maatregel (74 keer). </w:t>
      </w:r>
      <w:r w:rsidR="00E761AE">
        <w:t>Dit was het vaakst met een tbs met voorwaarden (</w:t>
      </w:r>
      <w:r w:rsidR="00023660">
        <w:t>56 keer</w:t>
      </w:r>
      <w:r w:rsidR="00E761AE">
        <w:t>)</w:t>
      </w:r>
      <w:r w:rsidR="00D30232">
        <w:t>, een aantal keer met een ongemaximeerde tbs</w:t>
      </w:r>
      <w:r w:rsidR="00E21820">
        <w:t xml:space="preserve"> met dwangverpleging</w:t>
      </w:r>
      <w:r w:rsidR="00D30232">
        <w:t xml:space="preserve"> (</w:t>
      </w:r>
      <w:r w:rsidR="00023660">
        <w:t>12 keer</w:t>
      </w:r>
      <w:r w:rsidR="00D30232">
        <w:t xml:space="preserve">) en soms </w:t>
      </w:r>
      <w:r w:rsidR="007F35E3">
        <w:t xml:space="preserve">met </w:t>
      </w:r>
      <w:r w:rsidR="00D30232">
        <w:t>een gemaximeerde tbs</w:t>
      </w:r>
      <w:r w:rsidR="00E21820">
        <w:t xml:space="preserve"> met dwangverpleging</w:t>
      </w:r>
      <w:r w:rsidR="00D30232">
        <w:t xml:space="preserve"> (</w:t>
      </w:r>
      <w:r w:rsidR="00023660">
        <w:t>6 keer</w:t>
      </w:r>
      <w:r w:rsidR="00D30232">
        <w:t>).</w:t>
      </w:r>
      <w:r w:rsidR="00E21820">
        <w:rPr>
          <w:rStyle w:val="Voetnootmarkering"/>
        </w:rPr>
        <w:footnoteReference w:id="2"/>
      </w:r>
      <w:r w:rsidR="00E761AE">
        <w:t xml:space="preserve"> </w:t>
      </w:r>
      <w:r>
        <w:t xml:space="preserve">In de 59 resterende zaken is de GVM gecombineerd met een onvoorwaardelijke gevangenisstraf.  </w:t>
      </w:r>
    </w:p>
    <w:p w:rsidR="00C91A26" w:rsidP="00C91A26" w:rsidRDefault="00C91A26" w14:paraId="753C24BF" w14:textId="77777777"/>
    <w:p w:rsidR="003C5382" w:rsidP="00C91A26" w:rsidRDefault="009A1B4A" w14:paraId="14C9EA5B" w14:textId="77777777">
      <w:pPr>
        <w:pStyle w:val="Inhopg1"/>
        <w:spacing w:line="240" w:lineRule="atLeast"/>
      </w:pPr>
      <w:r>
        <w:t xml:space="preserve">De GVM werd in 2022 aan 3 personen opgelegd die veroordeeld werden voor een terroristisch misdrijf. </w:t>
      </w:r>
      <w:r w:rsidR="005626BB">
        <w:t xml:space="preserve">Zowel het absolute als het relatieve aantal is hiermee gedaald ten opzichte van 2021 (8 personen) en 2020 (6 personen). </w:t>
      </w:r>
    </w:p>
    <w:p w:rsidR="00DE7926" w:rsidP="00253429" w:rsidRDefault="00DE7926" w14:paraId="00F5AF01" w14:textId="77777777"/>
    <w:p w:rsidR="00DE7926" w:rsidP="00253429" w:rsidRDefault="00DE7926" w14:paraId="09B75656" w14:textId="6BB24D07">
      <w:r>
        <w:t xml:space="preserve">In 2022 werd de GVM aan 33 personen </w:t>
      </w:r>
      <w:r w:rsidR="00FE7B7E">
        <w:t xml:space="preserve">opgelegd </w:t>
      </w:r>
      <w:r>
        <w:t xml:space="preserve">die </w:t>
      </w:r>
      <w:r w:rsidR="00FE7B7E">
        <w:t xml:space="preserve">werden </w:t>
      </w:r>
      <w:r>
        <w:t>veroordeeld</w:t>
      </w:r>
      <w:r w:rsidR="00192C58">
        <w:t xml:space="preserve"> </w:t>
      </w:r>
      <w:r>
        <w:t>voor zedendelict</w:t>
      </w:r>
      <w:r w:rsidR="00192C58">
        <w:t xml:space="preserve"> </w:t>
      </w:r>
      <w:r>
        <w:t>(25%),</w:t>
      </w:r>
      <w:r w:rsidR="00192C58">
        <w:t xml:space="preserve"> aan 40 personen die werden veroordeeld voor een levensdelict (30%) en aan 48 personen die werden veroordeeld voor een geweldsdelict (44%).</w:t>
      </w:r>
    </w:p>
    <w:p w:rsidR="00AF6070" w:rsidP="00253429" w:rsidRDefault="00AF6070" w14:paraId="3C1F7C01" w14:textId="77777777"/>
    <w:p w:rsidR="009E1F9D" w:rsidP="00253429" w:rsidRDefault="009E1F9D" w14:paraId="6859AF78" w14:textId="23E8469F">
      <w:r>
        <w:t>In het rapport word</w:t>
      </w:r>
      <w:r w:rsidR="00C34286">
        <w:t>en</w:t>
      </w:r>
      <w:r>
        <w:t xml:space="preserve"> geen verklaring</w:t>
      </w:r>
      <w:r w:rsidR="00C34286">
        <w:t>en</w:t>
      </w:r>
      <w:r>
        <w:t xml:space="preserve"> gegeven voor de verschillen in aantallen ten opzichte van de voorgaande jaren.</w:t>
      </w:r>
    </w:p>
    <w:p w:rsidR="009E1F9D" w:rsidP="00253429" w:rsidRDefault="009E1F9D" w14:paraId="3CC9B7E7" w14:textId="77777777"/>
    <w:p w:rsidR="00023660" w:rsidP="00E16AF4" w:rsidRDefault="00E16AF4" w14:paraId="603971D7" w14:textId="4FB85F7C">
      <w:r>
        <w:t>Tot en met 202</w:t>
      </w:r>
      <w:r w:rsidR="00D86F92">
        <w:t>3</w:t>
      </w:r>
      <w:r w:rsidR="00EC1BBA">
        <w:rPr>
          <w:rStyle w:val="Voetnootmarkering"/>
        </w:rPr>
        <w:footnoteReference w:id="3"/>
      </w:r>
      <w:r>
        <w:t xml:space="preserve"> zijn </w:t>
      </w:r>
      <w:r w:rsidR="00D86F92">
        <w:t>10</w:t>
      </w:r>
      <w:r w:rsidR="00023660">
        <w:t xml:space="preserve"> tenuitvoerleggingen van een GVM gevorderd. Hiervan zijn </w:t>
      </w:r>
      <w:r w:rsidR="00D86F92">
        <w:t>9</w:t>
      </w:r>
      <w:r w:rsidR="00023660">
        <w:t xml:space="preserve"> vorderingen tot tenuitvoerlegging toegewezen en 1 afgewezen. De rechter beargumenteert in deze zaken dat de tenuitvoerlegging van de GVM in het belang is van de algemene veiligheid, ter voorkoming van recidive en omdat toezicht na de gevangenisstraf nog nodig is.</w:t>
      </w:r>
      <w:r w:rsidR="00BA3D2B">
        <w:t xml:space="preserve"> </w:t>
      </w:r>
      <w:r w:rsidR="00D86F92">
        <w:t xml:space="preserve">Bij 7 zaken is de eerste termijn van de GVM vastgesteld op 2 jaar, bij de andere 2 zaken op 3 </w:t>
      </w:r>
      <w:r w:rsidR="003F4B6B">
        <w:t>respectievelijk</w:t>
      </w:r>
      <w:r w:rsidR="00D86F92">
        <w:t xml:space="preserve"> 5 jaar. Bij 1 van de 9 zaken is de termijn één keer met 2 jaar verlengd. </w:t>
      </w:r>
    </w:p>
    <w:p w:rsidR="00DB66DB" w:rsidP="00DB66DB" w:rsidRDefault="00DB66DB" w14:paraId="46BDF52D" w14:textId="77777777">
      <w:pPr>
        <w:pStyle w:val="Kop1"/>
        <w:tabs>
          <w:tab w:val="clear" w:pos="0"/>
        </w:tabs>
        <w:spacing w:before="0"/>
        <w:rPr>
          <w:bCs/>
        </w:rPr>
      </w:pPr>
    </w:p>
    <w:p w:rsidRPr="00DB66DB" w:rsidR="00DB66DB" w:rsidP="00DB66DB" w:rsidRDefault="00DB66DB" w14:paraId="3E116664" w14:textId="1689FD0F">
      <w:pPr>
        <w:pStyle w:val="Kop1"/>
        <w:tabs>
          <w:tab w:val="clear" w:pos="0"/>
        </w:tabs>
        <w:spacing w:before="0"/>
        <w:rPr>
          <w:bCs/>
        </w:rPr>
      </w:pPr>
      <w:r w:rsidRPr="00DB66DB">
        <w:rPr>
          <w:bCs/>
        </w:rPr>
        <w:t>Beleidsreactie</w:t>
      </w:r>
    </w:p>
    <w:p w:rsidR="00AB7BFF" w:rsidP="0055054C" w:rsidRDefault="00AB1902" w14:paraId="43937A35" w14:textId="6E1A9F89">
      <w:r>
        <w:t xml:space="preserve">Ernstige gewelds- en zedenmisdrijven </w:t>
      </w:r>
      <w:r w:rsidR="00815095">
        <w:t xml:space="preserve">kunnen diepe sporen achterlaten bij slachtoffers en gevoelens van onveiligheid teweeg brengen in </w:t>
      </w:r>
      <w:r w:rsidR="00875586">
        <w:t xml:space="preserve">de samenleving. Om die reden is het van belang dat onrecht wordt vergolden en herhaling wordt voorkomen. Langdurig toezicht kan hieraan bijdragen. De GVM biedt de mogelijkheid om </w:t>
      </w:r>
      <w:r w:rsidR="00AB7BFF">
        <w:t xml:space="preserve">door middel van </w:t>
      </w:r>
      <w:r w:rsidR="00875586">
        <w:t xml:space="preserve">langdurig toezicht </w:t>
      </w:r>
      <w:r w:rsidR="00AB7BFF">
        <w:t>meer grip te krijgen op</w:t>
      </w:r>
      <w:r w:rsidR="00D8439B">
        <w:t xml:space="preserve"> </w:t>
      </w:r>
      <w:r w:rsidR="00875586">
        <w:t>plegers van ernstige gewelds- en zedendelinquenten</w:t>
      </w:r>
      <w:r w:rsidR="001A55E4">
        <w:t xml:space="preserve">. </w:t>
      </w:r>
      <w:r w:rsidR="00295A73">
        <w:t>Daarom vind ik het van belang dat</w:t>
      </w:r>
      <w:r w:rsidR="00505BA5">
        <w:t xml:space="preserve">, indien het recidiverisico daartoe aanleiding geeft, </w:t>
      </w:r>
      <w:r w:rsidR="004A5628">
        <w:t xml:space="preserve">toepassing wordt gegeven aan </w:t>
      </w:r>
      <w:r w:rsidR="00295A73">
        <w:t>de GVM</w:t>
      </w:r>
      <w:r w:rsidR="004A5628">
        <w:t>.</w:t>
      </w:r>
      <w:r w:rsidR="003D20B4">
        <w:t xml:space="preserve"> </w:t>
      </w:r>
      <w:r w:rsidR="00F17204">
        <w:t>De beslissing om een GVM in een individueel geval op te leggen is aan de rechter.</w:t>
      </w:r>
    </w:p>
    <w:p w:rsidR="00AB7BFF" w:rsidP="00AB7BFF" w:rsidRDefault="00AB7BFF" w14:paraId="7D077A1D" w14:textId="77777777">
      <w:pPr>
        <w:pStyle w:val="Inhopg1"/>
        <w:spacing w:line="240" w:lineRule="atLeast"/>
      </w:pPr>
    </w:p>
    <w:p w:rsidR="00E16AF4" w:rsidP="00C943F1" w:rsidRDefault="00295A73" w14:paraId="2E94F2C6" w14:textId="563B4EC9">
      <w:r>
        <w:t xml:space="preserve">In een </w:t>
      </w:r>
      <w:r w:rsidR="00F26DB1">
        <w:t xml:space="preserve">eerdere </w:t>
      </w:r>
      <w:r>
        <w:t>beleidsreactie op de Wlt</w:t>
      </w:r>
      <w:r w:rsidRPr="002431F0">
        <w:rPr>
          <w:rStyle w:val="Voetnootmarkering"/>
        </w:rPr>
        <w:footnoteReference w:id="4"/>
      </w:r>
      <w:r>
        <w:t xml:space="preserve"> </w:t>
      </w:r>
      <w:r w:rsidR="00D33831">
        <w:t>was de</w:t>
      </w:r>
      <w:r>
        <w:t xml:space="preserve"> verwachting</w:t>
      </w:r>
      <w:r w:rsidR="00C943F1">
        <w:t xml:space="preserve"> dat</w:t>
      </w:r>
      <w:r>
        <w:t xml:space="preserve"> ieder jaar </w:t>
      </w:r>
      <w:r w:rsidR="003D13E8">
        <w:t>ongeveer</w:t>
      </w:r>
      <w:r>
        <w:t xml:space="preserve"> twintig GVM’s zouden </w:t>
      </w:r>
      <w:r w:rsidR="00443DCC">
        <w:t>worden opgelegd</w:t>
      </w:r>
      <w:r>
        <w:t>.</w:t>
      </w:r>
      <w:r w:rsidRPr="002431F0">
        <w:rPr>
          <w:rStyle w:val="Voetnootmarkering"/>
        </w:rPr>
        <w:footnoteReference w:id="5"/>
      </w:r>
      <w:r>
        <w:t xml:space="preserve"> </w:t>
      </w:r>
      <w:r w:rsidR="00443DCC">
        <w:t xml:space="preserve">Hoewel de cijfers in 2018 en 2019 nog wat achterbleven, is inmiddels een stijgende lijn te zien. </w:t>
      </w:r>
      <w:r w:rsidR="003D20B4">
        <w:t xml:space="preserve">Bovendien laten de cijfers in het rapport zien dat het aantal opleggingen van de GVM in 2022 </w:t>
      </w:r>
      <w:r w:rsidRPr="00B672DB" w:rsidR="003D20B4">
        <w:t xml:space="preserve">in vergelijking met eerdere jaren </w:t>
      </w:r>
      <w:r w:rsidR="0095620D">
        <w:t xml:space="preserve">opnieuw </w:t>
      </w:r>
      <w:r w:rsidR="00247ACB">
        <w:t>aanzienlijk</w:t>
      </w:r>
      <w:r w:rsidRPr="00B672DB" w:rsidR="003D20B4">
        <w:t xml:space="preserve"> is gestegen</w:t>
      </w:r>
      <w:r w:rsidR="003D20B4">
        <w:t>.</w:t>
      </w:r>
      <w:r w:rsidRPr="003D20B4" w:rsidR="003D20B4">
        <w:t xml:space="preserve"> </w:t>
      </w:r>
      <w:r w:rsidR="00E16AF4">
        <w:t xml:space="preserve">In het rapport is ook te lezen dat er inmiddels 9 GVM’s ten uitvoer </w:t>
      </w:r>
      <w:r w:rsidR="002275AF">
        <w:t>worden</w:t>
      </w:r>
      <w:r w:rsidR="00E16AF4">
        <w:t xml:space="preserve"> gelegd. Dit veronderstelt dat ketenpartners meer bekend zijn met de mogelijkheid om een GVM op te leggen en het opnieuw vorderen van de GVM na een terbeschikkingstelling of gevangenisstraf. Dit is in lijn met een wens van uw Kamer in 2019 om de GVM bekender te maken in de strafrechtketen.</w:t>
      </w:r>
      <w:r w:rsidRPr="002431F0" w:rsidR="00E16AF4">
        <w:rPr>
          <w:rStyle w:val="Voetnootmarkering"/>
        </w:rPr>
        <w:footnoteReference w:id="6"/>
      </w:r>
      <w:r w:rsidR="00E16AF4">
        <w:t xml:space="preserve"> Op basis van de uitkomsten van het onderzoek zie ik op dit moment geen aanleiding voor aanvullende maatregelen</w:t>
      </w:r>
      <w:r w:rsidR="00A219C9">
        <w:t>.</w:t>
      </w:r>
    </w:p>
    <w:p w:rsidR="00CC58C8" w:rsidP="00D33831" w:rsidRDefault="00CC58C8" w14:paraId="59665D3E" w14:textId="77777777">
      <w:pPr>
        <w:pStyle w:val="Kop1"/>
        <w:tabs>
          <w:tab w:val="clear" w:pos="0"/>
        </w:tabs>
        <w:spacing w:before="0"/>
        <w:rPr>
          <w:bCs/>
        </w:rPr>
      </w:pPr>
    </w:p>
    <w:p w:rsidRPr="00D33831" w:rsidR="00D33831" w:rsidP="00D33831" w:rsidRDefault="00D33831" w14:paraId="61BE5D2B" w14:textId="669E13B1">
      <w:pPr>
        <w:pStyle w:val="Kop1"/>
        <w:tabs>
          <w:tab w:val="clear" w:pos="0"/>
        </w:tabs>
        <w:spacing w:before="0"/>
        <w:rPr>
          <w:bCs/>
        </w:rPr>
      </w:pPr>
      <w:r w:rsidRPr="00D33831">
        <w:rPr>
          <w:bCs/>
        </w:rPr>
        <w:t>Tot slot</w:t>
      </w:r>
    </w:p>
    <w:p w:rsidR="00DB66DB" w:rsidP="00FB2ED0" w:rsidRDefault="00423181" w14:paraId="698EB31F" w14:textId="5CD14D35">
      <w:r>
        <w:t>Dit</w:t>
      </w:r>
      <w:r w:rsidR="00A9111F">
        <w:t xml:space="preserve"> </w:t>
      </w:r>
      <w:r w:rsidR="00444906">
        <w:t>betreft</w:t>
      </w:r>
      <w:r w:rsidR="00A9111F">
        <w:t xml:space="preserve"> het laatste rapport van </w:t>
      </w:r>
      <w:r w:rsidR="00D33831">
        <w:t>de</w:t>
      </w:r>
      <w:r w:rsidR="00444906">
        <w:t xml:space="preserve"> </w:t>
      </w:r>
      <w:r w:rsidR="00A9111F">
        <w:t xml:space="preserve">monitoring van de GVM </w:t>
      </w:r>
      <w:r w:rsidR="007F35E3">
        <w:t>als onderdeel van het onderzoeksprogramma van de Wlt. De belangrijkste bevindingen van de eerste vijf jaar van</w:t>
      </w:r>
      <w:r w:rsidR="00106266">
        <w:t xml:space="preserve"> de</w:t>
      </w:r>
      <w:r w:rsidR="007F35E3">
        <w:t xml:space="preserve"> toepassing</w:t>
      </w:r>
      <w:r w:rsidR="00106266">
        <w:t>en</w:t>
      </w:r>
      <w:r w:rsidR="007F35E3">
        <w:t xml:space="preserve"> van de Wlt zullen</w:t>
      </w:r>
      <w:r w:rsidR="00A9111F">
        <w:t xml:space="preserve"> nog</w:t>
      </w:r>
      <w:r w:rsidR="007F35E3">
        <w:t xml:space="preserve"> in een overzichtsrapportage van het onderzoeksprogramma worden </w:t>
      </w:r>
      <w:r w:rsidR="00106266">
        <w:t>samengevat</w:t>
      </w:r>
      <w:r w:rsidR="007F35E3">
        <w:t>.</w:t>
      </w:r>
      <w:r w:rsidR="000061EE">
        <w:t xml:space="preserve"> </w:t>
      </w:r>
      <w:r w:rsidR="00106266">
        <w:t>Uw Kamer zal hierover worden geïnformeerd.</w:t>
      </w:r>
    </w:p>
    <w:p w:rsidR="00B672DB" w:rsidP="00B10D32" w:rsidRDefault="00B672DB" w14:paraId="2D01BE8F" w14:textId="77777777"/>
    <w:p w:rsidRPr="00B10D32" w:rsidR="00A9111F" w:rsidP="00B10D32" w:rsidRDefault="00A9111F" w14:paraId="624918E2" w14:textId="77777777"/>
    <w:p w:rsidR="0068771B" w:rsidRDefault="005772A6" w14:paraId="21AA125B" w14:textId="77777777">
      <w:r>
        <w:t>De Staatssecretaris van Justitie en Veiligheid,</w:t>
      </w:r>
    </w:p>
    <w:p w:rsidR="0068771B" w:rsidP="00106266" w:rsidRDefault="0068771B" w14:paraId="148EE7F5" w14:textId="77777777">
      <w:pPr>
        <w:pStyle w:val="Inhopg1"/>
        <w:spacing w:line="240" w:lineRule="atLeast"/>
      </w:pPr>
    </w:p>
    <w:p w:rsidR="0068771B" w:rsidRDefault="0068771B" w14:paraId="49654CA3" w14:textId="77777777"/>
    <w:p w:rsidR="002E294A" w:rsidRDefault="002E294A" w14:paraId="585CA3DA" w14:textId="77777777"/>
    <w:p w:rsidR="002E294A" w:rsidRDefault="002E294A" w14:paraId="21A451B3" w14:textId="77777777"/>
    <w:p w:rsidR="0068771B" w:rsidP="00BB67EA" w:rsidRDefault="005772A6" w14:paraId="4E39F09E" w14:textId="77777777">
      <w:pPr>
        <w:pStyle w:val="Inhopg1"/>
        <w:spacing w:line="240" w:lineRule="atLeast"/>
      </w:pPr>
      <w:r>
        <w:t>I. Coenradie</w:t>
      </w:r>
    </w:p>
    <w:p w:rsidR="0068771B" w:rsidRDefault="0068771B" w14:paraId="1FD0AA5A" w14:textId="77777777"/>
    <w:p w:rsidR="0068771B" w:rsidRDefault="0068771B" w14:paraId="23240714" w14:textId="77777777"/>
    <w:sectPr w:rsidR="0068771B">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8CA2" w14:textId="77777777" w:rsidR="003A7D04" w:rsidRDefault="003A7D04">
      <w:pPr>
        <w:spacing w:line="240" w:lineRule="auto"/>
      </w:pPr>
      <w:r>
        <w:separator/>
      </w:r>
    </w:p>
  </w:endnote>
  <w:endnote w:type="continuationSeparator" w:id="0">
    <w:p w14:paraId="137E9A4B" w14:textId="77777777" w:rsidR="003A7D04" w:rsidRDefault="003A7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73FB" w14:textId="77777777" w:rsidR="003A7D04" w:rsidRDefault="003A7D04">
      <w:pPr>
        <w:spacing w:line="240" w:lineRule="auto"/>
      </w:pPr>
      <w:r>
        <w:separator/>
      </w:r>
    </w:p>
  </w:footnote>
  <w:footnote w:type="continuationSeparator" w:id="0">
    <w:p w14:paraId="32C14B4D" w14:textId="77777777" w:rsidR="003A7D04" w:rsidRDefault="003A7D04">
      <w:pPr>
        <w:spacing w:line="240" w:lineRule="auto"/>
      </w:pPr>
      <w:r>
        <w:continuationSeparator/>
      </w:r>
    </w:p>
  </w:footnote>
  <w:footnote w:id="1">
    <w:p w14:paraId="0B9AC0D0" w14:textId="77777777" w:rsidR="00E16AF4" w:rsidRPr="006218AB" w:rsidRDefault="00E16AF4" w:rsidP="00E16AF4">
      <w:pPr>
        <w:pStyle w:val="Voetnoottekst"/>
        <w:rPr>
          <w:szCs w:val="16"/>
        </w:rPr>
      </w:pPr>
      <w:r w:rsidRPr="00EE4C07">
        <w:rPr>
          <w:rStyle w:val="Voetnootmarkering"/>
          <w:szCs w:val="16"/>
        </w:rPr>
        <w:footnoteRef/>
      </w:r>
      <w:r w:rsidRPr="00EE4C07">
        <w:rPr>
          <w:szCs w:val="16"/>
        </w:rPr>
        <w:t xml:space="preserve"> Nagtegaal, M.H. (2020a)</w:t>
      </w:r>
      <w:r>
        <w:rPr>
          <w:szCs w:val="16"/>
        </w:rPr>
        <w:t>,</w:t>
      </w:r>
      <w:r w:rsidRPr="00EE4C07">
        <w:rPr>
          <w:szCs w:val="16"/>
        </w:rPr>
        <w:t xml:space="preserve"> </w:t>
      </w:r>
      <w:r w:rsidRPr="00EE4C07">
        <w:rPr>
          <w:i/>
          <w:iCs/>
          <w:szCs w:val="16"/>
        </w:rPr>
        <w:t>Wet langdurig toezicht; Onderzoeksprogramma naar de toepassingen van de Wet langdurig toezicht in 2017-2022</w:t>
      </w:r>
      <w:r>
        <w:rPr>
          <w:szCs w:val="16"/>
        </w:rPr>
        <w:t>,</w:t>
      </w:r>
      <w:r w:rsidRPr="00EE4C07">
        <w:rPr>
          <w:i/>
          <w:iCs/>
          <w:szCs w:val="16"/>
        </w:rPr>
        <w:t xml:space="preserve"> </w:t>
      </w:r>
      <w:r w:rsidRPr="00EE4C07">
        <w:rPr>
          <w:szCs w:val="16"/>
        </w:rPr>
        <w:t>WODC</w:t>
      </w:r>
      <w:r>
        <w:rPr>
          <w:szCs w:val="16"/>
        </w:rPr>
        <w:t>,</w:t>
      </w:r>
      <w:r w:rsidRPr="00EE4C07">
        <w:rPr>
          <w:szCs w:val="16"/>
        </w:rPr>
        <w:t xml:space="preserve"> Cahier 2020-4</w:t>
      </w:r>
      <w:r>
        <w:rPr>
          <w:szCs w:val="16"/>
        </w:rPr>
        <w:t>.</w:t>
      </w:r>
    </w:p>
  </w:footnote>
  <w:footnote w:id="2">
    <w:p w14:paraId="1AEDE04D" w14:textId="792D141D" w:rsidR="00E21820" w:rsidRPr="00E21820" w:rsidRDefault="00E21820">
      <w:pPr>
        <w:pStyle w:val="Voetnoottekst"/>
        <w:rPr>
          <w:szCs w:val="16"/>
        </w:rPr>
      </w:pPr>
      <w:r w:rsidRPr="00E21820">
        <w:rPr>
          <w:rStyle w:val="Voetnootmarkering"/>
          <w:szCs w:val="16"/>
        </w:rPr>
        <w:footnoteRef/>
      </w:r>
      <w:r w:rsidRPr="00E21820">
        <w:rPr>
          <w:szCs w:val="16"/>
        </w:rPr>
        <w:t xml:space="preserve"> </w:t>
      </w:r>
      <w:r w:rsidRPr="00E21820">
        <w:rPr>
          <w:rFonts w:eastAsia="DejaVu Sans" w:cs="Arial"/>
          <w:szCs w:val="16"/>
          <w:shd w:val="clear" w:color="auto" w:fill="FFFFFF"/>
        </w:rPr>
        <w:t xml:space="preserve">De tbs met </w:t>
      </w:r>
      <w:r>
        <w:rPr>
          <w:rFonts w:eastAsia="DejaVu Sans" w:cs="Arial"/>
          <w:szCs w:val="16"/>
          <w:shd w:val="clear" w:color="auto" w:fill="FFFFFF"/>
        </w:rPr>
        <w:t>dwang</w:t>
      </w:r>
      <w:r w:rsidRPr="00E21820">
        <w:rPr>
          <w:rFonts w:eastAsia="DejaVu Sans" w:cs="Arial"/>
          <w:szCs w:val="16"/>
          <w:shd w:val="clear" w:color="auto" w:fill="FFFFFF"/>
        </w:rPr>
        <w:t>verpleging duurt maximaal vier jaar tenzij de tbs is opgelegd ter zake van een misdrijf dat gericht is tegen of gevaar veroorzaakt voor de onaantastbaarheid van het lichaam van een of meer personen (</w:t>
      </w:r>
      <w:hyperlink r:id="rId1" w:history="1">
        <w:r w:rsidRPr="00E21820">
          <w:rPr>
            <w:rFonts w:eastAsia="DejaVu Sans" w:cs="Arial"/>
            <w:szCs w:val="16"/>
            <w:shd w:val="clear" w:color="auto" w:fill="FFFFFF"/>
          </w:rPr>
          <w:t>art</w:t>
        </w:r>
        <w:r>
          <w:rPr>
            <w:rFonts w:eastAsia="DejaVu Sans" w:cs="Arial"/>
            <w:szCs w:val="16"/>
            <w:shd w:val="clear" w:color="auto" w:fill="FFFFFF"/>
          </w:rPr>
          <w:t>ikel</w:t>
        </w:r>
        <w:r w:rsidRPr="00E21820">
          <w:rPr>
            <w:rFonts w:eastAsia="DejaVu Sans" w:cs="Arial"/>
            <w:szCs w:val="16"/>
            <w:shd w:val="clear" w:color="auto" w:fill="FFFFFF"/>
          </w:rPr>
          <w:t xml:space="preserve"> 38e lid 1 </w:t>
        </w:r>
        <w:r>
          <w:rPr>
            <w:rFonts w:eastAsia="DejaVu Sans" w:cs="Arial"/>
            <w:szCs w:val="16"/>
            <w:shd w:val="clear" w:color="auto" w:fill="FFFFFF"/>
          </w:rPr>
          <w:t>Wetboek</w:t>
        </w:r>
      </w:hyperlink>
      <w:r>
        <w:rPr>
          <w:rFonts w:eastAsia="DejaVu Sans" w:cs="Lohit Hindi"/>
          <w:szCs w:val="16"/>
        </w:rPr>
        <w:t xml:space="preserve"> van Strafrecht</w:t>
      </w:r>
      <w:r w:rsidRPr="00E21820">
        <w:rPr>
          <w:rFonts w:eastAsia="DejaVu Sans" w:cs="Arial"/>
          <w:szCs w:val="16"/>
          <w:shd w:val="clear" w:color="auto" w:fill="FFFFFF"/>
        </w:rPr>
        <w:t>). In dat geval is sprake is van een ongemaximeerde tbs.</w:t>
      </w:r>
    </w:p>
  </w:footnote>
  <w:footnote w:id="3">
    <w:p w14:paraId="4B7BA92D" w14:textId="5C5F6CD6" w:rsidR="00EC1BBA" w:rsidRPr="006218AB" w:rsidRDefault="00EC1BBA">
      <w:pPr>
        <w:pStyle w:val="Voetnoottekst"/>
      </w:pPr>
      <w:r>
        <w:rPr>
          <w:rStyle w:val="Voetnootmarkering"/>
        </w:rPr>
        <w:footnoteRef/>
      </w:r>
      <w:r>
        <w:t xml:space="preserve"> </w:t>
      </w:r>
      <w:r w:rsidRPr="00EC1BBA">
        <w:rPr>
          <w:szCs w:val="16"/>
        </w:rPr>
        <w:t>Hoewel het rapport gaat over uitspraken over de GVM in 2022, zijn twee beslissingen tot tenuitvoerlegging uit 2023 meegenomen, omdat dit het laatste monitorrapport uit het onderzoeksprogramma betreft en de meest actuele stand van zaken zo kan worden meegenomen.</w:t>
      </w:r>
      <w:r>
        <w:rPr>
          <w:sz w:val="14"/>
          <w:szCs w:val="14"/>
        </w:rPr>
        <w:t xml:space="preserve"> </w:t>
      </w:r>
      <w:r>
        <w:t xml:space="preserve"> </w:t>
      </w:r>
    </w:p>
  </w:footnote>
  <w:footnote w:id="4">
    <w:p w14:paraId="2348651A" w14:textId="5C327DC4" w:rsidR="00295A73" w:rsidRPr="003D20B4" w:rsidRDefault="00295A73" w:rsidP="003D20B4">
      <w:pPr>
        <w:rPr>
          <w:sz w:val="16"/>
          <w:szCs w:val="16"/>
        </w:rPr>
      </w:pPr>
      <w:r w:rsidRPr="003D20B4">
        <w:rPr>
          <w:rStyle w:val="Voetnootmarkering"/>
          <w:sz w:val="16"/>
          <w:szCs w:val="16"/>
        </w:rPr>
        <w:footnoteRef/>
      </w:r>
      <w:r w:rsidRPr="003D20B4">
        <w:rPr>
          <w:sz w:val="16"/>
          <w:szCs w:val="16"/>
        </w:rPr>
        <w:t xml:space="preserve"> Kamerstukken II 2021/2022, 29 452, nr. 817</w:t>
      </w:r>
      <w:r w:rsidR="00FB2ED0">
        <w:rPr>
          <w:sz w:val="16"/>
          <w:szCs w:val="16"/>
        </w:rPr>
        <w:t>.</w:t>
      </w:r>
    </w:p>
  </w:footnote>
  <w:footnote w:id="5">
    <w:p w14:paraId="2B5B52C4" w14:textId="4DE17A07" w:rsidR="00295A73" w:rsidRPr="00FB2ED0" w:rsidRDefault="00295A73" w:rsidP="003D20B4">
      <w:pPr>
        <w:rPr>
          <w:sz w:val="16"/>
          <w:szCs w:val="16"/>
        </w:rPr>
      </w:pPr>
      <w:r w:rsidRPr="003D20B4">
        <w:rPr>
          <w:rStyle w:val="Voetnootmarkering"/>
          <w:sz w:val="16"/>
          <w:szCs w:val="16"/>
        </w:rPr>
        <w:footnoteRef/>
      </w:r>
      <w:r w:rsidRPr="003D20B4">
        <w:rPr>
          <w:sz w:val="16"/>
          <w:szCs w:val="16"/>
        </w:rPr>
        <w:t xml:space="preserve"> Drost, V., Goedvolk, M., Haaren, P. van, &amp; Jongebreur, W. (2016). Uitvoeringsconsequenties wetsvoorstel Langdurig Toezicht. Utrecht: Significant, referentie:</w:t>
      </w:r>
      <w:r w:rsidR="00FB2ED0">
        <w:rPr>
          <w:sz w:val="16"/>
          <w:szCs w:val="16"/>
        </w:rPr>
        <w:t xml:space="preserve"> </w:t>
      </w:r>
      <w:r w:rsidRPr="00FB2ED0">
        <w:rPr>
          <w:sz w:val="16"/>
          <w:szCs w:val="16"/>
        </w:rPr>
        <w:t>VD/bv/15.437</w:t>
      </w:r>
      <w:r w:rsidR="00FB2ED0" w:rsidRPr="00FB2ED0">
        <w:rPr>
          <w:sz w:val="16"/>
          <w:szCs w:val="16"/>
        </w:rPr>
        <w:t>.</w:t>
      </w:r>
    </w:p>
  </w:footnote>
  <w:footnote w:id="6">
    <w:p w14:paraId="7208BD83" w14:textId="77777777" w:rsidR="00E16AF4" w:rsidRPr="00E43D96" w:rsidRDefault="00E16AF4" w:rsidP="00E16AF4">
      <w:pPr>
        <w:pStyle w:val="Voetnoottekst"/>
        <w:spacing w:line="240" w:lineRule="auto"/>
        <w:jc w:val="both"/>
        <w:rPr>
          <w:sz w:val="14"/>
          <w:szCs w:val="14"/>
        </w:rPr>
      </w:pPr>
      <w:r w:rsidRPr="00B672DB">
        <w:rPr>
          <w:rStyle w:val="Voetnootmarkering"/>
          <w:szCs w:val="16"/>
        </w:rPr>
        <w:footnoteRef/>
      </w:r>
      <w:r w:rsidRPr="00B672DB">
        <w:rPr>
          <w:szCs w:val="16"/>
        </w:rPr>
        <w:t xml:space="preserve"> Kamerstukken II 2018/19, 35 122, nr. 27</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5C45" w14:textId="77777777" w:rsidR="00B55C46" w:rsidRDefault="00B55C46"/>
  <w:p w14:paraId="097846E6" w14:textId="3F9522E4" w:rsidR="0068771B" w:rsidRDefault="005772A6">
    <w:r>
      <w:rPr>
        <w:noProof/>
      </w:rPr>
      <mc:AlternateContent>
        <mc:Choice Requires="wps">
          <w:drawing>
            <wp:anchor distT="0" distB="0" distL="0" distR="0" simplePos="0" relativeHeight="251652096" behindDoc="0" locked="1" layoutInCell="1" allowOverlap="1" wp14:anchorId="30F3B1DC" wp14:editId="0FFB09C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C81F94F" w14:textId="77777777" w:rsidR="005772A6" w:rsidRDefault="005772A6"/>
                      </w:txbxContent>
                    </wps:txbx>
                    <wps:bodyPr vert="horz" wrap="square" lIns="0" tIns="0" rIns="0" bIns="0" anchor="t" anchorCtr="0"/>
                  </wps:wsp>
                </a:graphicData>
              </a:graphic>
            </wp:anchor>
          </w:drawing>
        </mc:Choice>
        <mc:Fallback>
          <w:pict>
            <v:shapetype w14:anchorId="30F3B1D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C81F94F" w14:textId="77777777" w:rsidR="005772A6" w:rsidRDefault="005772A6"/>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B314B9" wp14:editId="6D2ED99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3C4B97" w14:textId="77777777" w:rsidR="00B55C46" w:rsidRDefault="00B55C46">
                          <w:pPr>
                            <w:pStyle w:val="Referentiegegevensbold"/>
                          </w:pPr>
                        </w:p>
                        <w:p w14:paraId="10C8EB44" w14:textId="77777777" w:rsidR="00B55C46" w:rsidRDefault="00B55C46">
                          <w:pPr>
                            <w:pStyle w:val="Referentiegegevensbold"/>
                          </w:pPr>
                        </w:p>
                        <w:p w14:paraId="3472E3A3" w14:textId="77777777" w:rsidR="00B55C46" w:rsidRDefault="00B55C46">
                          <w:pPr>
                            <w:pStyle w:val="Referentiegegevensbold"/>
                          </w:pPr>
                        </w:p>
                        <w:p w14:paraId="58002499" w14:textId="59A89BEE" w:rsidR="0068771B" w:rsidRDefault="005772A6">
                          <w:pPr>
                            <w:pStyle w:val="Referentiegegevensbold"/>
                          </w:pPr>
                          <w:r>
                            <w:t>Directoraat-Generaal Straffen en Beschermen</w:t>
                          </w:r>
                        </w:p>
                        <w:p w14:paraId="1888F965" w14:textId="77777777" w:rsidR="0068771B" w:rsidRDefault="005772A6">
                          <w:pPr>
                            <w:pStyle w:val="Referentiegegevens"/>
                          </w:pPr>
                          <w:r>
                            <w:t>Directie Sanctie- en Slachtofferbeleid</w:t>
                          </w:r>
                        </w:p>
                        <w:p w14:paraId="59D45C2D" w14:textId="77777777" w:rsidR="0068771B" w:rsidRDefault="005772A6">
                          <w:pPr>
                            <w:pStyle w:val="Referentiegegevens"/>
                          </w:pPr>
                          <w:r>
                            <w:t>Sancties Extramuraal</w:t>
                          </w:r>
                        </w:p>
                        <w:p w14:paraId="42E104F0" w14:textId="77777777" w:rsidR="0068771B" w:rsidRDefault="0068771B">
                          <w:pPr>
                            <w:pStyle w:val="WitregelW2"/>
                          </w:pPr>
                        </w:p>
                        <w:p w14:paraId="4D8735D1" w14:textId="77777777" w:rsidR="0068771B" w:rsidRDefault="005772A6">
                          <w:pPr>
                            <w:pStyle w:val="Referentiegegevensbold"/>
                          </w:pPr>
                          <w:r>
                            <w:t>Datum</w:t>
                          </w:r>
                        </w:p>
                        <w:p w14:paraId="57286978" w14:textId="7789995B" w:rsidR="0068771B" w:rsidRDefault="008C1A2C">
                          <w:pPr>
                            <w:pStyle w:val="Referentiegegevens"/>
                          </w:pPr>
                          <w:sdt>
                            <w:sdtPr>
                              <w:id w:val="-1592845352"/>
                              <w:date w:fullDate="2024-10-17T00:00:00Z">
                                <w:dateFormat w:val="d MMMM yyyy"/>
                                <w:lid w:val="nl"/>
                                <w:storeMappedDataAs w:val="dateTime"/>
                                <w:calendar w:val="gregorian"/>
                              </w:date>
                            </w:sdtPr>
                            <w:sdtEndPr/>
                            <w:sdtContent>
                              <w:r w:rsidR="00B55C46">
                                <w:t>17 oktober 2024</w:t>
                              </w:r>
                            </w:sdtContent>
                          </w:sdt>
                        </w:p>
                        <w:p w14:paraId="4462F291" w14:textId="77777777" w:rsidR="0068771B" w:rsidRDefault="0068771B">
                          <w:pPr>
                            <w:pStyle w:val="WitregelW1"/>
                          </w:pPr>
                        </w:p>
                        <w:p w14:paraId="7B616787" w14:textId="77777777" w:rsidR="00B55C46" w:rsidRDefault="005772A6" w:rsidP="00B55C46">
                          <w:pPr>
                            <w:pStyle w:val="Referentiegegevens"/>
                          </w:pPr>
                          <w:r w:rsidRPr="00B55C46">
                            <w:rPr>
                              <w:b/>
                              <w:bCs/>
                            </w:rPr>
                            <w:t>Onze referentie</w:t>
                          </w:r>
                          <w:r w:rsidR="00B55C46">
                            <w:br/>
                          </w:r>
                          <w:r w:rsidR="00B55C46" w:rsidRPr="00B55C46">
                            <w:t>5831515</w:t>
                          </w:r>
                        </w:p>
                        <w:p w14:paraId="635EB281" w14:textId="62CDAC8A" w:rsidR="0068771B" w:rsidRDefault="0068771B" w:rsidP="00B55C46">
                          <w:pPr>
                            <w:pStyle w:val="Referentiegegevensbold"/>
                          </w:pPr>
                        </w:p>
                      </w:txbxContent>
                    </wps:txbx>
                    <wps:bodyPr vert="horz" wrap="square" lIns="0" tIns="0" rIns="0" bIns="0" anchor="t" anchorCtr="0"/>
                  </wps:wsp>
                </a:graphicData>
              </a:graphic>
            </wp:anchor>
          </w:drawing>
        </mc:Choice>
        <mc:Fallback>
          <w:pict>
            <v:shape w14:anchorId="2CB314B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03C4B97" w14:textId="77777777" w:rsidR="00B55C46" w:rsidRDefault="00B55C46">
                    <w:pPr>
                      <w:pStyle w:val="Referentiegegevensbold"/>
                    </w:pPr>
                  </w:p>
                  <w:p w14:paraId="10C8EB44" w14:textId="77777777" w:rsidR="00B55C46" w:rsidRDefault="00B55C46">
                    <w:pPr>
                      <w:pStyle w:val="Referentiegegevensbold"/>
                    </w:pPr>
                  </w:p>
                  <w:p w14:paraId="3472E3A3" w14:textId="77777777" w:rsidR="00B55C46" w:rsidRDefault="00B55C46">
                    <w:pPr>
                      <w:pStyle w:val="Referentiegegevensbold"/>
                    </w:pPr>
                  </w:p>
                  <w:p w14:paraId="58002499" w14:textId="59A89BEE" w:rsidR="0068771B" w:rsidRDefault="005772A6">
                    <w:pPr>
                      <w:pStyle w:val="Referentiegegevensbold"/>
                    </w:pPr>
                    <w:r>
                      <w:t>Directoraat-Generaal Straffen en Beschermen</w:t>
                    </w:r>
                  </w:p>
                  <w:p w14:paraId="1888F965" w14:textId="77777777" w:rsidR="0068771B" w:rsidRDefault="005772A6">
                    <w:pPr>
                      <w:pStyle w:val="Referentiegegevens"/>
                    </w:pPr>
                    <w:r>
                      <w:t>Directie Sanctie- en Slachtofferbeleid</w:t>
                    </w:r>
                  </w:p>
                  <w:p w14:paraId="59D45C2D" w14:textId="77777777" w:rsidR="0068771B" w:rsidRDefault="005772A6">
                    <w:pPr>
                      <w:pStyle w:val="Referentiegegevens"/>
                    </w:pPr>
                    <w:r>
                      <w:t>Sancties Extramuraal</w:t>
                    </w:r>
                  </w:p>
                  <w:p w14:paraId="42E104F0" w14:textId="77777777" w:rsidR="0068771B" w:rsidRDefault="0068771B">
                    <w:pPr>
                      <w:pStyle w:val="WitregelW2"/>
                    </w:pPr>
                  </w:p>
                  <w:p w14:paraId="4D8735D1" w14:textId="77777777" w:rsidR="0068771B" w:rsidRDefault="005772A6">
                    <w:pPr>
                      <w:pStyle w:val="Referentiegegevensbold"/>
                    </w:pPr>
                    <w:r>
                      <w:t>Datum</w:t>
                    </w:r>
                  </w:p>
                  <w:p w14:paraId="57286978" w14:textId="7789995B" w:rsidR="0068771B" w:rsidRDefault="008C1A2C">
                    <w:pPr>
                      <w:pStyle w:val="Referentiegegevens"/>
                    </w:pPr>
                    <w:sdt>
                      <w:sdtPr>
                        <w:id w:val="-1592845352"/>
                        <w:date w:fullDate="2024-10-17T00:00:00Z">
                          <w:dateFormat w:val="d MMMM yyyy"/>
                          <w:lid w:val="nl"/>
                          <w:storeMappedDataAs w:val="dateTime"/>
                          <w:calendar w:val="gregorian"/>
                        </w:date>
                      </w:sdtPr>
                      <w:sdtEndPr/>
                      <w:sdtContent>
                        <w:r w:rsidR="00B55C46">
                          <w:t>17 oktober 2024</w:t>
                        </w:r>
                      </w:sdtContent>
                    </w:sdt>
                  </w:p>
                  <w:p w14:paraId="4462F291" w14:textId="77777777" w:rsidR="0068771B" w:rsidRDefault="0068771B">
                    <w:pPr>
                      <w:pStyle w:val="WitregelW1"/>
                    </w:pPr>
                  </w:p>
                  <w:p w14:paraId="7B616787" w14:textId="77777777" w:rsidR="00B55C46" w:rsidRDefault="005772A6" w:rsidP="00B55C46">
                    <w:pPr>
                      <w:pStyle w:val="Referentiegegevens"/>
                    </w:pPr>
                    <w:r w:rsidRPr="00B55C46">
                      <w:rPr>
                        <w:b/>
                        <w:bCs/>
                      </w:rPr>
                      <w:t>Onze referentie</w:t>
                    </w:r>
                    <w:r w:rsidR="00B55C46">
                      <w:br/>
                    </w:r>
                    <w:r w:rsidR="00B55C46" w:rsidRPr="00B55C46">
                      <w:t>5831515</w:t>
                    </w:r>
                  </w:p>
                  <w:p w14:paraId="635EB281" w14:textId="62CDAC8A" w:rsidR="0068771B" w:rsidRDefault="0068771B" w:rsidP="00B55C46">
                    <w:pPr>
                      <w:pStyle w:val="Referentiegegevensbold"/>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95E74A3" wp14:editId="77AD5193">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4D1692" w14:textId="77777777" w:rsidR="005772A6" w:rsidRDefault="005772A6"/>
                      </w:txbxContent>
                    </wps:txbx>
                    <wps:bodyPr vert="horz" wrap="square" lIns="0" tIns="0" rIns="0" bIns="0" anchor="t" anchorCtr="0"/>
                  </wps:wsp>
                </a:graphicData>
              </a:graphic>
            </wp:anchor>
          </w:drawing>
        </mc:Choice>
        <mc:Fallback>
          <w:pict>
            <v:shape w14:anchorId="395E74A3"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D4D1692" w14:textId="77777777" w:rsidR="005772A6" w:rsidRDefault="005772A6"/>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1F75BA" wp14:editId="04F44E3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91FDCF1" w14:textId="1140FF93" w:rsidR="0068771B" w:rsidRDefault="005772A6">
                          <w:pPr>
                            <w:pStyle w:val="Referentiegegevens"/>
                          </w:pPr>
                          <w:r>
                            <w:t xml:space="preserve">Pagina </w:t>
                          </w:r>
                          <w:r>
                            <w:fldChar w:fldCharType="begin"/>
                          </w:r>
                          <w:r>
                            <w:instrText>PAGE</w:instrText>
                          </w:r>
                          <w:r>
                            <w:fldChar w:fldCharType="separate"/>
                          </w:r>
                          <w:r w:rsidR="009278C2">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F1F75B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91FDCF1" w14:textId="1140FF93" w:rsidR="0068771B" w:rsidRDefault="005772A6">
                    <w:pPr>
                      <w:pStyle w:val="Referentiegegevens"/>
                    </w:pPr>
                    <w:r>
                      <w:t xml:space="preserve">Pagina </w:t>
                    </w:r>
                    <w:r>
                      <w:fldChar w:fldCharType="begin"/>
                    </w:r>
                    <w:r>
                      <w:instrText>PAGE</w:instrText>
                    </w:r>
                    <w:r>
                      <w:fldChar w:fldCharType="separate"/>
                    </w:r>
                    <w:r w:rsidR="009278C2">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8340" w14:textId="77777777" w:rsidR="0068771B" w:rsidRDefault="005772A6">
    <w:pPr>
      <w:spacing w:after="6377" w:line="14" w:lineRule="exact"/>
    </w:pPr>
    <w:r>
      <w:rPr>
        <w:noProof/>
      </w:rPr>
      <mc:AlternateContent>
        <mc:Choice Requires="wps">
          <w:drawing>
            <wp:anchor distT="0" distB="0" distL="0" distR="0" simplePos="0" relativeHeight="251656192" behindDoc="0" locked="1" layoutInCell="1" allowOverlap="1" wp14:anchorId="2B687DAD" wp14:editId="62AA217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55B1559" w14:textId="77777777" w:rsidR="0068771B" w:rsidRDefault="005772A6">
                          <w:pPr>
                            <w:spacing w:line="240" w:lineRule="auto"/>
                          </w:pPr>
                          <w:r>
                            <w:rPr>
                              <w:noProof/>
                            </w:rPr>
                            <w:drawing>
                              <wp:inline distT="0" distB="0" distL="0" distR="0" wp14:anchorId="0803DFC4" wp14:editId="17AC0CC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687DA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55B1559" w14:textId="77777777" w:rsidR="0068771B" w:rsidRDefault="005772A6">
                    <w:pPr>
                      <w:spacing w:line="240" w:lineRule="auto"/>
                    </w:pPr>
                    <w:r>
                      <w:rPr>
                        <w:noProof/>
                      </w:rPr>
                      <w:drawing>
                        <wp:inline distT="0" distB="0" distL="0" distR="0" wp14:anchorId="0803DFC4" wp14:editId="17AC0CC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3D21D2F" wp14:editId="1EB656D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A6CB516" w14:textId="77777777" w:rsidR="0068771B" w:rsidRDefault="005772A6">
                          <w:pPr>
                            <w:spacing w:line="240" w:lineRule="auto"/>
                          </w:pPr>
                          <w:r>
                            <w:rPr>
                              <w:noProof/>
                            </w:rPr>
                            <w:drawing>
                              <wp:inline distT="0" distB="0" distL="0" distR="0" wp14:anchorId="3E727546" wp14:editId="4809CF8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D21D2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A6CB516" w14:textId="77777777" w:rsidR="0068771B" w:rsidRDefault="005772A6">
                    <w:pPr>
                      <w:spacing w:line="240" w:lineRule="auto"/>
                    </w:pPr>
                    <w:r>
                      <w:rPr>
                        <w:noProof/>
                      </w:rPr>
                      <w:drawing>
                        <wp:inline distT="0" distB="0" distL="0" distR="0" wp14:anchorId="3E727546" wp14:editId="4809CF80">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42E2383" wp14:editId="0915354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48B6822" w14:textId="77777777" w:rsidR="0068771B" w:rsidRDefault="005772A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42E238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48B6822" w14:textId="77777777" w:rsidR="0068771B" w:rsidRDefault="005772A6">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A9B2B9" wp14:editId="423A131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AABC82" w14:textId="287DFCD0" w:rsidR="0068771B" w:rsidRDefault="00B55C46">
                          <w:r>
                            <w:t>Aan d</w:t>
                          </w:r>
                          <w:r w:rsidR="005772A6">
                            <w:t>e Voorzitter van de Tweede Kamer</w:t>
                          </w:r>
                        </w:p>
                        <w:p w14:paraId="640E9B38" w14:textId="1B867248" w:rsidR="0068771B" w:rsidRDefault="00B55C46">
                          <w:r>
                            <w:t xml:space="preserve">der </w:t>
                          </w:r>
                          <w:r w:rsidR="005772A6">
                            <w:t>Staten-Generaal</w:t>
                          </w:r>
                        </w:p>
                        <w:p w14:paraId="1F65A4F0" w14:textId="77777777" w:rsidR="0068771B" w:rsidRDefault="005772A6">
                          <w:r>
                            <w:t xml:space="preserve">Postbus 20018 </w:t>
                          </w:r>
                        </w:p>
                        <w:p w14:paraId="19754CC1" w14:textId="77777777" w:rsidR="0068771B" w:rsidRDefault="005772A6">
                          <w:r>
                            <w:t>2500 EA  DEN HAAG</w:t>
                          </w:r>
                        </w:p>
                        <w:p w14:paraId="440E391E" w14:textId="70B1323A" w:rsidR="0068771B" w:rsidRDefault="0068771B"/>
                      </w:txbxContent>
                    </wps:txbx>
                    <wps:bodyPr vert="horz" wrap="square" lIns="0" tIns="0" rIns="0" bIns="0" anchor="t" anchorCtr="0"/>
                  </wps:wsp>
                </a:graphicData>
              </a:graphic>
            </wp:anchor>
          </w:drawing>
        </mc:Choice>
        <mc:Fallback>
          <w:pict>
            <v:shape w14:anchorId="0DA9B2B9"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FAABC82" w14:textId="287DFCD0" w:rsidR="0068771B" w:rsidRDefault="00B55C46">
                    <w:r>
                      <w:t>Aan d</w:t>
                    </w:r>
                    <w:r w:rsidR="005772A6">
                      <w:t>e Voorzitter van de Tweede Kamer</w:t>
                    </w:r>
                  </w:p>
                  <w:p w14:paraId="640E9B38" w14:textId="1B867248" w:rsidR="0068771B" w:rsidRDefault="00B55C46">
                    <w:r>
                      <w:t xml:space="preserve">der </w:t>
                    </w:r>
                    <w:r w:rsidR="005772A6">
                      <w:t>Staten-Generaal</w:t>
                    </w:r>
                  </w:p>
                  <w:p w14:paraId="1F65A4F0" w14:textId="77777777" w:rsidR="0068771B" w:rsidRDefault="005772A6">
                    <w:r>
                      <w:t xml:space="preserve">Postbus 20018 </w:t>
                    </w:r>
                  </w:p>
                  <w:p w14:paraId="19754CC1" w14:textId="77777777" w:rsidR="0068771B" w:rsidRDefault="005772A6">
                    <w:r>
                      <w:t>2500 EA  DEN HAAG</w:t>
                    </w:r>
                  </w:p>
                  <w:p w14:paraId="440E391E" w14:textId="70B1323A" w:rsidR="0068771B" w:rsidRDefault="0068771B"/>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FB0F74" wp14:editId="628CB486">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8771B" w14:paraId="7590F2DF" w14:textId="77777777">
                            <w:trPr>
                              <w:trHeight w:val="240"/>
                            </w:trPr>
                            <w:tc>
                              <w:tcPr>
                                <w:tcW w:w="1140" w:type="dxa"/>
                              </w:tcPr>
                              <w:p w14:paraId="78952B0A" w14:textId="77777777" w:rsidR="0068771B" w:rsidRDefault="005772A6">
                                <w:r>
                                  <w:t>Datum</w:t>
                                </w:r>
                              </w:p>
                            </w:tc>
                            <w:tc>
                              <w:tcPr>
                                <w:tcW w:w="5918" w:type="dxa"/>
                              </w:tcPr>
                              <w:p w14:paraId="0DA106DD" w14:textId="1422A185" w:rsidR="0068771B" w:rsidRDefault="008C1A2C">
                                <w:sdt>
                                  <w:sdtPr>
                                    <w:id w:val="-1640943924"/>
                                    <w:date w:fullDate="2024-10-17T00:00:00Z">
                                      <w:dateFormat w:val="d MMMM yyyy"/>
                                      <w:lid w:val="nl"/>
                                      <w:storeMappedDataAs w:val="dateTime"/>
                                      <w:calendar w:val="gregorian"/>
                                    </w:date>
                                  </w:sdtPr>
                                  <w:sdtEndPr/>
                                  <w:sdtContent>
                                    <w:r w:rsidR="00B55C46">
                                      <w:t>17 oktober</w:t>
                                    </w:r>
                                    <w:r w:rsidR="005772A6">
                                      <w:t xml:space="preserve"> 2024</w:t>
                                    </w:r>
                                  </w:sdtContent>
                                </w:sdt>
                              </w:p>
                            </w:tc>
                          </w:tr>
                          <w:tr w:rsidR="0068771B" w14:paraId="244B6F47" w14:textId="77777777">
                            <w:trPr>
                              <w:trHeight w:val="240"/>
                            </w:trPr>
                            <w:tc>
                              <w:tcPr>
                                <w:tcW w:w="1140" w:type="dxa"/>
                              </w:tcPr>
                              <w:p w14:paraId="54C243C1" w14:textId="77777777" w:rsidR="0068771B" w:rsidRDefault="005772A6">
                                <w:r>
                                  <w:t>Betreft</w:t>
                                </w:r>
                              </w:p>
                            </w:tc>
                            <w:tc>
                              <w:tcPr>
                                <w:tcW w:w="5918" w:type="dxa"/>
                              </w:tcPr>
                              <w:p w14:paraId="3BAE2EF0" w14:textId="77777777" w:rsidR="0068771B" w:rsidRDefault="005772A6">
                                <w:r>
                                  <w:t>Beleidsreactie rapport GVM 2022 als onderdeel van de Wlt wetsevaluatie</w:t>
                                </w:r>
                              </w:p>
                            </w:tc>
                          </w:tr>
                        </w:tbl>
                        <w:p w14:paraId="7CF8B235" w14:textId="77777777" w:rsidR="005772A6" w:rsidRDefault="005772A6"/>
                      </w:txbxContent>
                    </wps:txbx>
                    <wps:bodyPr vert="horz" wrap="square" lIns="0" tIns="0" rIns="0" bIns="0" anchor="t" anchorCtr="0"/>
                  </wps:wsp>
                </a:graphicData>
              </a:graphic>
            </wp:anchor>
          </w:drawing>
        </mc:Choice>
        <mc:Fallback>
          <w:pict>
            <v:shape w14:anchorId="48FB0F7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8771B" w14:paraId="7590F2DF" w14:textId="77777777">
                      <w:trPr>
                        <w:trHeight w:val="240"/>
                      </w:trPr>
                      <w:tc>
                        <w:tcPr>
                          <w:tcW w:w="1140" w:type="dxa"/>
                        </w:tcPr>
                        <w:p w14:paraId="78952B0A" w14:textId="77777777" w:rsidR="0068771B" w:rsidRDefault="005772A6">
                          <w:r>
                            <w:t>Datum</w:t>
                          </w:r>
                        </w:p>
                      </w:tc>
                      <w:tc>
                        <w:tcPr>
                          <w:tcW w:w="5918" w:type="dxa"/>
                        </w:tcPr>
                        <w:p w14:paraId="0DA106DD" w14:textId="1422A185" w:rsidR="0068771B" w:rsidRDefault="008C1A2C">
                          <w:sdt>
                            <w:sdtPr>
                              <w:id w:val="-1640943924"/>
                              <w:date w:fullDate="2024-10-17T00:00:00Z">
                                <w:dateFormat w:val="d MMMM yyyy"/>
                                <w:lid w:val="nl"/>
                                <w:storeMappedDataAs w:val="dateTime"/>
                                <w:calendar w:val="gregorian"/>
                              </w:date>
                            </w:sdtPr>
                            <w:sdtEndPr/>
                            <w:sdtContent>
                              <w:r w:rsidR="00B55C46">
                                <w:t>17 oktober</w:t>
                              </w:r>
                              <w:r w:rsidR="005772A6">
                                <w:t xml:space="preserve"> 2024</w:t>
                              </w:r>
                            </w:sdtContent>
                          </w:sdt>
                        </w:p>
                      </w:tc>
                    </w:tr>
                    <w:tr w:rsidR="0068771B" w14:paraId="244B6F47" w14:textId="77777777">
                      <w:trPr>
                        <w:trHeight w:val="240"/>
                      </w:trPr>
                      <w:tc>
                        <w:tcPr>
                          <w:tcW w:w="1140" w:type="dxa"/>
                        </w:tcPr>
                        <w:p w14:paraId="54C243C1" w14:textId="77777777" w:rsidR="0068771B" w:rsidRDefault="005772A6">
                          <w:r>
                            <w:t>Betreft</w:t>
                          </w:r>
                        </w:p>
                      </w:tc>
                      <w:tc>
                        <w:tcPr>
                          <w:tcW w:w="5918" w:type="dxa"/>
                        </w:tcPr>
                        <w:p w14:paraId="3BAE2EF0" w14:textId="77777777" w:rsidR="0068771B" w:rsidRDefault="005772A6">
                          <w:r>
                            <w:t>Beleidsreactie rapport GVM 2022 als onderdeel van de Wlt wetsevaluatie</w:t>
                          </w:r>
                        </w:p>
                      </w:tc>
                    </w:tr>
                  </w:tbl>
                  <w:p w14:paraId="7CF8B235" w14:textId="77777777" w:rsidR="005772A6" w:rsidRDefault="005772A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AF65B49" wp14:editId="6818DAD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6A0676" w14:textId="77777777" w:rsidR="0068771B" w:rsidRDefault="005772A6">
                          <w:pPr>
                            <w:pStyle w:val="Referentiegegevensbold"/>
                          </w:pPr>
                          <w:r>
                            <w:t>Directoraat-Generaal Straffen en Beschermen</w:t>
                          </w:r>
                        </w:p>
                        <w:p w14:paraId="7C86AC83" w14:textId="77777777" w:rsidR="0068771B" w:rsidRDefault="005772A6">
                          <w:pPr>
                            <w:pStyle w:val="Referentiegegevens"/>
                          </w:pPr>
                          <w:r>
                            <w:t>Directie Sanctie- en Slachtofferbeleid</w:t>
                          </w:r>
                        </w:p>
                        <w:p w14:paraId="55952103" w14:textId="77777777" w:rsidR="0068771B" w:rsidRDefault="005772A6">
                          <w:pPr>
                            <w:pStyle w:val="Referentiegegevens"/>
                          </w:pPr>
                          <w:r>
                            <w:t>Sancties Extramuraal</w:t>
                          </w:r>
                        </w:p>
                        <w:p w14:paraId="55206101" w14:textId="77777777" w:rsidR="0068771B" w:rsidRDefault="0068771B">
                          <w:pPr>
                            <w:pStyle w:val="WitregelW1"/>
                          </w:pPr>
                        </w:p>
                        <w:p w14:paraId="5636594D" w14:textId="77777777" w:rsidR="0068771B" w:rsidRDefault="005772A6">
                          <w:pPr>
                            <w:pStyle w:val="Referentiegegevens"/>
                          </w:pPr>
                          <w:r>
                            <w:t>Turfmarkt 147</w:t>
                          </w:r>
                        </w:p>
                        <w:p w14:paraId="7E0CB510" w14:textId="77777777" w:rsidR="0068771B" w:rsidRDefault="005772A6">
                          <w:pPr>
                            <w:pStyle w:val="Referentiegegevens"/>
                          </w:pPr>
                          <w:r>
                            <w:t>2511 DP   Den Haag</w:t>
                          </w:r>
                        </w:p>
                        <w:p w14:paraId="488B1BB3" w14:textId="77777777" w:rsidR="0068771B" w:rsidRPr="006218AB" w:rsidRDefault="005772A6">
                          <w:pPr>
                            <w:pStyle w:val="Referentiegegevens"/>
                            <w:rPr>
                              <w:lang w:val="de-DE"/>
                            </w:rPr>
                          </w:pPr>
                          <w:r w:rsidRPr="006218AB">
                            <w:rPr>
                              <w:lang w:val="de-DE"/>
                            </w:rPr>
                            <w:t>Postbus 20301</w:t>
                          </w:r>
                        </w:p>
                        <w:p w14:paraId="1BB289A8" w14:textId="77777777" w:rsidR="0068771B" w:rsidRPr="006218AB" w:rsidRDefault="005772A6">
                          <w:pPr>
                            <w:pStyle w:val="Referentiegegevens"/>
                            <w:rPr>
                              <w:lang w:val="de-DE"/>
                            </w:rPr>
                          </w:pPr>
                          <w:r w:rsidRPr="006218AB">
                            <w:rPr>
                              <w:lang w:val="de-DE"/>
                            </w:rPr>
                            <w:t>2500 EH   Den Haag</w:t>
                          </w:r>
                        </w:p>
                        <w:p w14:paraId="2B57AD87" w14:textId="77777777" w:rsidR="0068771B" w:rsidRPr="006218AB" w:rsidRDefault="005772A6">
                          <w:pPr>
                            <w:pStyle w:val="Referentiegegevens"/>
                            <w:rPr>
                              <w:lang w:val="de-DE"/>
                            </w:rPr>
                          </w:pPr>
                          <w:r w:rsidRPr="006218AB">
                            <w:rPr>
                              <w:lang w:val="de-DE"/>
                            </w:rPr>
                            <w:t>www.rijksoverheid.nl/jenv</w:t>
                          </w:r>
                        </w:p>
                        <w:p w14:paraId="5DA8D00F" w14:textId="77777777" w:rsidR="0068771B" w:rsidRPr="006218AB" w:rsidRDefault="0068771B">
                          <w:pPr>
                            <w:pStyle w:val="WitregelW1"/>
                            <w:rPr>
                              <w:lang w:val="de-DE"/>
                            </w:rPr>
                          </w:pPr>
                        </w:p>
                        <w:p w14:paraId="1AD5978D" w14:textId="77777777" w:rsidR="0068771B" w:rsidRPr="006218AB" w:rsidRDefault="0068771B">
                          <w:pPr>
                            <w:pStyle w:val="WitregelW2"/>
                            <w:rPr>
                              <w:lang w:val="de-DE"/>
                            </w:rPr>
                          </w:pPr>
                        </w:p>
                        <w:p w14:paraId="0F23CC06" w14:textId="77777777" w:rsidR="0068771B" w:rsidRDefault="005772A6">
                          <w:pPr>
                            <w:pStyle w:val="Referentiegegevensbold"/>
                          </w:pPr>
                          <w:r>
                            <w:t>Onze referentie</w:t>
                          </w:r>
                        </w:p>
                        <w:p w14:paraId="6B56C6D0" w14:textId="1E087B3B" w:rsidR="0068771B" w:rsidRDefault="00B55C46">
                          <w:pPr>
                            <w:pStyle w:val="Referentiegegevens"/>
                          </w:pPr>
                          <w:r w:rsidRPr="00B55C46">
                            <w:t>5831515</w:t>
                          </w:r>
                        </w:p>
                        <w:p w14:paraId="7B160216" w14:textId="77777777" w:rsidR="0068771B" w:rsidRDefault="0068771B">
                          <w:pPr>
                            <w:pStyle w:val="WitregelW1"/>
                          </w:pPr>
                        </w:p>
                        <w:p w14:paraId="165AEED2" w14:textId="77777777" w:rsidR="0068771B" w:rsidRDefault="005772A6">
                          <w:pPr>
                            <w:pStyle w:val="Referentiegegevensbold"/>
                          </w:pPr>
                          <w:r>
                            <w:t>Bijlage(n)</w:t>
                          </w:r>
                        </w:p>
                        <w:p w14:paraId="3988A643" w14:textId="77777777" w:rsidR="0068771B" w:rsidRDefault="005772A6">
                          <w:pPr>
                            <w:pStyle w:val="Referentiegegevens"/>
                          </w:pPr>
                          <w:r>
                            <w:t>1</w:t>
                          </w:r>
                        </w:p>
                      </w:txbxContent>
                    </wps:txbx>
                    <wps:bodyPr vert="horz" wrap="square" lIns="0" tIns="0" rIns="0" bIns="0" anchor="t" anchorCtr="0"/>
                  </wps:wsp>
                </a:graphicData>
              </a:graphic>
            </wp:anchor>
          </w:drawing>
        </mc:Choice>
        <mc:Fallback>
          <w:pict>
            <v:shape w14:anchorId="4AF65B4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66A0676" w14:textId="77777777" w:rsidR="0068771B" w:rsidRDefault="005772A6">
                    <w:pPr>
                      <w:pStyle w:val="Referentiegegevensbold"/>
                    </w:pPr>
                    <w:r>
                      <w:t>Directoraat-Generaal Straffen en Beschermen</w:t>
                    </w:r>
                  </w:p>
                  <w:p w14:paraId="7C86AC83" w14:textId="77777777" w:rsidR="0068771B" w:rsidRDefault="005772A6">
                    <w:pPr>
                      <w:pStyle w:val="Referentiegegevens"/>
                    </w:pPr>
                    <w:r>
                      <w:t>Directie Sanctie- en Slachtofferbeleid</w:t>
                    </w:r>
                  </w:p>
                  <w:p w14:paraId="55952103" w14:textId="77777777" w:rsidR="0068771B" w:rsidRDefault="005772A6">
                    <w:pPr>
                      <w:pStyle w:val="Referentiegegevens"/>
                    </w:pPr>
                    <w:r>
                      <w:t>Sancties Extramuraal</w:t>
                    </w:r>
                  </w:p>
                  <w:p w14:paraId="55206101" w14:textId="77777777" w:rsidR="0068771B" w:rsidRDefault="0068771B">
                    <w:pPr>
                      <w:pStyle w:val="WitregelW1"/>
                    </w:pPr>
                  </w:p>
                  <w:p w14:paraId="5636594D" w14:textId="77777777" w:rsidR="0068771B" w:rsidRDefault="005772A6">
                    <w:pPr>
                      <w:pStyle w:val="Referentiegegevens"/>
                    </w:pPr>
                    <w:r>
                      <w:t>Turfmarkt 147</w:t>
                    </w:r>
                  </w:p>
                  <w:p w14:paraId="7E0CB510" w14:textId="77777777" w:rsidR="0068771B" w:rsidRDefault="005772A6">
                    <w:pPr>
                      <w:pStyle w:val="Referentiegegevens"/>
                    </w:pPr>
                    <w:r>
                      <w:t>2511 DP   Den Haag</w:t>
                    </w:r>
                  </w:p>
                  <w:p w14:paraId="488B1BB3" w14:textId="77777777" w:rsidR="0068771B" w:rsidRPr="006218AB" w:rsidRDefault="005772A6">
                    <w:pPr>
                      <w:pStyle w:val="Referentiegegevens"/>
                      <w:rPr>
                        <w:lang w:val="de-DE"/>
                      </w:rPr>
                    </w:pPr>
                    <w:r w:rsidRPr="006218AB">
                      <w:rPr>
                        <w:lang w:val="de-DE"/>
                      </w:rPr>
                      <w:t>Postbus 20301</w:t>
                    </w:r>
                  </w:p>
                  <w:p w14:paraId="1BB289A8" w14:textId="77777777" w:rsidR="0068771B" w:rsidRPr="006218AB" w:rsidRDefault="005772A6">
                    <w:pPr>
                      <w:pStyle w:val="Referentiegegevens"/>
                      <w:rPr>
                        <w:lang w:val="de-DE"/>
                      </w:rPr>
                    </w:pPr>
                    <w:r w:rsidRPr="006218AB">
                      <w:rPr>
                        <w:lang w:val="de-DE"/>
                      </w:rPr>
                      <w:t>2500 EH   Den Haag</w:t>
                    </w:r>
                  </w:p>
                  <w:p w14:paraId="2B57AD87" w14:textId="77777777" w:rsidR="0068771B" w:rsidRPr="006218AB" w:rsidRDefault="005772A6">
                    <w:pPr>
                      <w:pStyle w:val="Referentiegegevens"/>
                      <w:rPr>
                        <w:lang w:val="de-DE"/>
                      </w:rPr>
                    </w:pPr>
                    <w:r w:rsidRPr="006218AB">
                      <w:rPr>
                        <w:lang w:val="de-DE"/>
                      </w:rPr>
                      <w:t>www.rijksoverheid.nl/jenv</w:t>
                    </w:r>
                  </w:p>
                  <w:p w14:paraId="5DA8D00F" w14:textId="77777777" w:rsidR="0068771B" w:rsidRPr="006218AB" w:rsidRDefault="0068771B">
                    <w:pPr>
                      <w:pStyle w:val="WitregelW1"/>
                      <w:rPr>
                        <w:lang w:val="de-DE"/>
                      </w:rPr>
                    </w:pPr>
                  </w:p>
                  <w:p w14:paraId="1AD5978D" w14:textId="77777777" w:rsidR="0068771B" w:rsidRPr="006218AB" w:rsidRDefault="0068771B">
                    <w:pPr>
                      <w:pStyle w:val="WitregelW2"/>
                      <w:rPr>
                        <w:lang w:val="de-DE"/>
                      </w:rPr>
                    </w:pPr>
                  </w:p>
                  <w:p w14:paraId="0F23CC06" w14:textId="77777777" w:rsidR="0068771B" w:rsidRDefault="005772A6">
                    <w:pPr>
                      <w:pStyle w:val="Referentiegegevensbold"/>
                    </w:pPr>
                    <w:r>
                      <w:t>Onze referentie</w:t>
                    </w:r>
                  </w:p>
                  <w:p w14:paraId="6B56C6D0" w14:textId="1E087B3B" w:rsidR="0068771B" w:rsidRDefault="00B55C46">
                    <w:pPr>
                      <w:pStyle w:val="Referentiegegevens"/>
                    </w:pPr>
                    <w:r w:rsidRPr="00B55C46">
                      <w:t>5831515</w:t>
                    </w:r>
                  </w:p>
                  <w:p w14:paraId="7B160216" w14:textId="77777777" w:rsidR="0068771B" w:rsidRDefault="0068771B">
                    <w:pPr>
                      <w:pStyle w:val="WitregelW1"/>
                    </w:pPr>
                  </w:p>
                  <w:p w14:paraId="165AEED2" w14:textId="77777777" w:rsidR="0068771B" w:rsidRDefault="005772A6">
                    <w:pPr>
                      <w:pStyle w:val="Referentiegegevensbold"/>
                    </w:pPr>
                    <w:r>
                      <w:t>Bijlage(n)</w:t>
                    </w:r>
                  </w:p>
                  <w:p w14:paraId="3988A643" w14:textId="77777777" w:rsidR="0068771B" w:rsidRDefault="005772A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90ED82" wp14:editId="7EF467E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F461534" w14:textId="5727D381" w:rsidR="0068771B" w:rsidRDefault="005772A6">
                          <w:pPr>
                            <w:pStyle w:val="Referentiegegevens"/>
                          </w:pPr>
                          <w:r>
                            <w:t xml:space="preserve">Pagina </w:t>
                          </w:r>
                          <w:r>
                            <w:fldChar w:fldCharType="begin"/>
                          </w:r>
                          <w:r>
                            <w:instrText>PAGE</w:instrText>
                          </w:r>
                          <w:r>
                            <w:fldChar w:fldCharType="separate"/>
                          </w:r>
                          <w:r w:rsidR="008C1A2C">
                            <w:rPr>
                              <w:noProof/>
                            </w:rPr>
                            <w:t>1</w:t>
                          </w:r>
                          <w:r>
                            <w:fldChar w:fldCharType="end"/>
                          </w:r>
                          <w:r>
                            <w:t xml:space="preserve"> van </w:t>
                          </w:r>
                          <w:r>
                            <w:fldChar w:fldCharType="begin"/>
                          </w:r>
                          <w:r>
                            <w:instrText>NUMPAGES</w:instrText>
                          </w:r>
                          <w:r>
                            <w:fldChar w:fldCharType="separate"/>
                          </w:r>
                          <w:r w:rsidR="008C1A2C">
                            <w:rPr>
                              <w:noProof/>
                            </w:rPr>
                            <w:t>1</w:t>
                          </w:r>
                          <w:r>
                            <w:fldChar w:fldCharType="end"/>
                          </w:r>
                        </w:p>
                      </w:txbxContent>
                    </wps:txbx>
                    <wps:bodyPr vert="horz" wrap="square" lIns="0" tIns="0" rIns="0" bIns="0" anchor="t" anchorCtr="0"/>
                  </wps:wsp>
                </a:graphicData>
              </a:graphic>
            </wp:anchor>
          </w:drawing>
        </mc:Choice>
        <mc:Fallback>
          <w:pict>
            <v:shape w14:anchorId="1C90ED82"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3F461534" w14:textId="5727D381" w:rsidR="0068771B" w:rsidRDefault="005772A6">
                    <w:pPr>
                      <w:pStyle w:val="Referentiegegevens"/>
                    </w:pPr>
                    <w:r>
                      <w:t xml:space="preserve">Pagina </w:t>
                    </w:r>
                    <w:r>
                      <w:fldChar w:fldCharType="begin"/>
                    </w:r>
                    <w:r>
                      <w:instrText>PAGE</w:instrText>
                    </w:r>
                    <w:r>
                      <w:fldChar w:fldCharType="separate"/>
                    </w:r>
                    <w:r w:rsidR="008C1A2C">
                      <w:rPr>
                        <w:noProof/>
                      </w:rPr>
                      <w:t>1</w:t>
                    </w:r>
                    <w:r>
                      <w:fldChar w:fldCharType="end"/>
                    </w:r>
                    <w:r>
                      <w:t xml:space="preserve"> van </w:t>
                    </w:r>
                    <w:r>
                      <w:fldChar w:fldCharType="begin"/>
                    </w:r>
                    <w:r>
                      <w:instrText>NUMPAGES</w:instrText>
                    </w:r>
                    <w:r>
                      <w:fldChar w:fldCharType="separate"/>
                    </w:r>
                    <w:r w:rsidR="008C1A2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1439E75" wp14:editId="1A229A31">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28B5DB" w14:textId="77777777" w:rsidR="005772A6" w:rsidRDefault="005772A6"/>
                      </w:txbxContent>
                    </wps:txbx>
                    <wps:bodyPr vert="horz" wrap="square" lIns="0" tIns="0" rIns="0" bIns="0" anchor="t" anchorCtr="0"/>
                  </wps:wsp>
                </a:graphicData>
              </a:graphic>
            </wp:anchor>
          </w:drawing>
        </mc:Choice>
        <mc:Fallback>
          <w:pict>
            <v:shape w14:anchorId="01439E7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A28B5DB" w14:textId="77777777" w:rsidR="005772A6" w:rsidRDefault="005772A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1461A5"/>
    <w:multiLevelType w:val="multilevel"/>
    <w:tmpl w:val="33F619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1C3473B"/>
    <w:multiLevelType w:val="hybridMultilevel"/>
    <w:tmpl w:val="5D146212"/>
    <w:lvl w:ilvl="0" w:tplc="CC4876C2">
      <w:numFmt w:val="bullet"/>
      <w:lvlText w:val="-"/>
      <w:lvlJc w:val="left"/>
      <w:pPr>
        <w:ind w:left="720" w:hanging="360"/>
      </w:pPr>
      <w:rPr>
        <w:rFonts w:ascii="Verdana" w:eastAsiaTheme="minorHAnsi" w:hAnsi="Verdana" w:cstheme="minorBidi" w:hint="default"/>
      </w:rPr>
    </w:lvl>
    <w:lvl w:ilvl="1" w:tplc="CC4876C2">
      <w:numFmt w:val="bullet"/>
      <w:lvlText w:val="-"/>
      <w:lvlJc w:val="left"/>
      <w:pPr>
        <w:ind w:left="1440" w:hanging="360"/>
      </w:pPr>
      <w:rPr>
        <w:rFonts w:ascii="Verdana" w:eastAsiaTheme="minorHAnsi" w:hAnsi="Verdana" w:cstheme="minorBidi" w:hint="default"/>
      </w:rPr>
    </w:lvl>
    <w:lvl w:ilvl="2" w:tplc="3C68B2F0">
      <w:start w:val="1"/>
      <w:numFmt w:val="decimal"/>
      <w:lvlText w:val="%3."/>
      <w:lvlJc w:val="left"/>
      <w:pPr>
        <w:ind w:left="1069" w:hanging="360"/>
      </w:pPr>
      <w:rPr>
        <w:rFont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40B9E3"/>
    <w:multiLevelType w:val="multilevel"/>
    <w:tmpl w:val="0BC368E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ABC1572"/>
    <w:multiLevelType w:val="multilevel"/>
    <w:tmpl w:val="74BA12C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E700369"/>
    <w:multiLevelType w:val="hybridMultilevel"/>
    <w:tmpl w:val="945C2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797140"/>
    <w:multiLevelType w:val="hybridMultilevel"/>
    <w:tmpl w:val="52866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4E5B7"/>
    <w:multiLevelType w:val="multilevel"/>
    <w:tmpl w:val="144BDD7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447A29BF"/>
    <w:multiLevelType w:val="multilevel"/>
    <w:tmpl w:val="54DC7DB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51A91503"/>
    <w:multiLevelType w:val="hybridMultilevel"/>
    <w:tmpl w:val="686EC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BE5BB1E"/>
    <w:multiLevelType w:val="multilevel"/>
    <w:tmpl w:val="EF16C5F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3"/>
  </w:num>
  <w:num w:numId="2">
    <w:abstractNumId w:val="7"/>
  </w:num>
  <w:num w:numId="3">
    <w:abstractNumId w:val="2"/>
  </w:num>
  <w:num w:numId="4">
    <w:abstractNumId w:val="9"/>
  </w:num>
  <w:num w:numId="5">
    <w:abstractNumId w:val="6"/>
  </w:num>
  <w:num w:numId="6">
    <w:abstractNumId w:val="0"/>
  </w:num>
  <w:num w:numId="7">
    <w:abstractNumId w:val="4"/>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A6"/>
    <w:rsid w:val="00000FF9"/>
    <w:rsid w:val="0000481C"/>
    <w:rsid w:val="000061EE"/>
    <w:rsid w:val="00023660"/>
    <w:rsid w:val="00024BDE"/>
    <w:rsid w:val="00027BEB"/>
    <w:rsid w:val="000E1A3B"/>
    <w:rsid w:val="00106266"/>
    <w:rsid w:val="00116725"/>
    <w:rsid w:val="00131784"/>
    <w:rsid w:val="00172B43"/>
    <w:rsid w:val="00192C58"/>
    <w:rsid w:val="001941EA"/>
    <w:rsid w:val="001A55E4"/>
    <w:rsid w:val="001C2102"/>
    <w:rsid w:val="001C7E82"/>
    <w:rsid w:val="002275AF"/>
    <w:rsid w:val="00230847"/>
    <w:rsid w:val="0024206A"/>
    <w:rsid w:val="00247813"/>
    <w:rsid w:val="00247ACB"/>
    <w:rsid w:val="00253429"/>
    <w:rsid w:val="002733C1"/>
    <w:rsid w:val="00295A73"/>
    <w:rsid w:val="002E294A"/>
    <w:rsid w:val="002E52F4"/>
    <w:rsid w:val="00325D6A"/>
    <w:rsid w:val="00341C78"/>
    <w:rsid w:val="003A7D04"/>
    <w:rsid w:val="003B359A"/>
    <w:rsid w:val="003C5382"/>
    <w:rsid w:val="003C6381"/>
    <w:rsid w:val="003D13E8"/>
    <w:rsid w:val="003D20B4"/>
    <w:rsid w:val="003E4E63"/>
    <w:rsid w:val="003F4B6B"/>
    <w:rsid w:val="00423181"/>
    <w:rsid w:val="0043398B"/>
    <w:rsid w:val="00443DCC"/>
    <w:rsid w:val="00444906"/>
    <w:rsid w:val="00466B38"/>
    <w:rsid w:val="00490787"/>
    <w:rsid w:val="004A5628"/>
    <w:rsid w:val="004B54A9"/>
    <w:rsid w:val="004D4BA4"/>
    <w:rsid w:val="00505BA5"/>
    <w:rsid w:val="00515A26"/>
    <w:rsid w:val="00534F41"/>
    <w:rsid w:val="00535986"/>
    <w:rsid w:val="005472F6"/>
    <w:rsid w:val="0055054C"/>
    <w:rsid w:val="005626BB"/>
    <w:rsid w:val="00567894"/>
    <w:rsid w:val="005772A6"/>
    <w:rsid w:val="005C04F0"/>
    <w:rsid w:val="00606E29"/>
    <w:rsid w:val="006218AB"/>
    <w:rsid w:val="00637F9F"/>
    <w:rsid w:val="00666ED2"/>
    <w:rsid w:val="0068771B"/>
    <w:rsid w:val="00732A96"/>
    <w:rsid w:val="00751787"/>
    <w:rsid w:val="00777284"/>
    <w:rsid w:val="007C4BA5"/>
    <w:rsid w:val="007F35E3"/>
    <w:rsid w:val="00815095"/>
    <w:rsid w:val="00875586"/>
    <w:rsid w:val="00886BCD"/>
    <w:rsid w:val="008C1A2C"/>
    <w:rsid w:val="008F2DBC"/>
    <w:rsid w:val="00910135"/>
    <w:rsid w:val="009278C2"/>
    <w:rsid w:val="0095620D"/>
    <w:rsid w:val="009A1B4A"/>
    <w:rsid w:val="009A3609"/>
    <w:rsid w:val="009B2025"/>
    <w:rsid w:val="009E1F9D"/>
    <w:rsid w:val="009F6CFD"/>
    <w:rsid w:val="00A219C9"/>
    <w:rsid w:val="00A26893"/>
    <w:rsid w:val="00A62C14"/>
    <w:rsid w:val="00A9111F"/>
    <w:rsid w:val="00AB1902"/>
    <w:rsid w:val="00AB7BFF"/>
    <w:rsid w:val="00AC0C86"/>
    <w:rsid w:val="00AC5ACC"/>
    <w:rsid w:val="00AC5EEB"/>
    <w:rsid w:val="00AF6070"/>
    <w:rsid w:val="00B05735"/>
    <w:rsid w:val="00B10D32"/>
    <w:rsid w:val="00B5377E"/>
    <w:rsid w:val="00B55C46"/>
    <w:rsid w:val="00B672DB"/>
    <w:rsid w:val="00B77FE3"/>
    <w:rsid w:val="00BA3D2B"/>
    <w:rsid w:val="00BB67EA"/>
    <w:rsid w:val="00BE5671"/>
    <w:rsid w:val="00BF481C"/>
    <w:rsid w:val="00BF48B8"/>
    <w:rsid w:val="00C34286"/>
    <w:rsid w:val="00C353FA"/>
    <w:rsid w:val="00C770F4"/>
    <w:rsid w:val="00C91A26"/>
    <w:rsid w:val="00C943F1"/>
    <w:rsid w:val="00C977A1"/>
    <w:rsid w:val="00CB1054"/>
    <w:rsid w:val="00CC58C8"/>
    <w:rsid w:val="00CC638F"/>
    <w:rsid w:val="00D154C6"/>
    <w:rsid w:val="00D30232"/>
    <w:rsid w:val="00D33831"/>
    <w:rsid w:val="00D45CB2"/>
    <w:rsid w:val="00D6073B"/>
    <w:rsid w:val="00D8439B"/>
    <w:rsid w:val="00D86F92"/>
    <w:rsid w:val="00D9141B"/>
    <w:rsid w:val="00D973B8"/>
    <w:rsid w:val="00DB66DB"/>
    <w:rsid w:val="00DD18CB"/>
    <w:rsid w:val="00DE471C"/>
    <w:rsid w:val="00DE7926"/>
    <w:rsid w:val="00E16AF4"/>
    <w:rsid w:val="00E21820"/>
    <w:rsid w:val="00E24AC8"/>
    <w:rsid w:val="00E36479"/>
    <w:rsid w:val="00E761AE"/>
    <w:rsid w:val="00E870B6"/>
    <w:rsid w:val="00EC1BBA"/>
    <w:rsid w:val="00EC1FA1"/>
    <w:rsid w:val="00ED2317"/>
    <w:rsid w:val="00F0604D"/>
    <w:rsid w:val="00F17204"/>
    <w:rsid w:val="00F26DB1"/>
    <w:rsid w:val="00F77544"/>
    <w:rsid w:val="00FB2ED0"/>
    <w:rsid w:val="00FB32AA"/>
    <w:rsid w:val="00FD289D"/>
    <w:rsid w:val="00FD4D65"/>
    <w:rsid w:val="00FE7B7E"/>
    <w:rsid w:val="00FF4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D9141B"/>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rsid w:val="00D9141B"/>
    <w:pPr>
      <w:autoSpaceDN/>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semiHidden/>
    <w:rsid w:val="00D9141B"/>
    <w:rPr>
      <w:rFonts w:ascii="Verdana" w:eastAsia="Times New Roman" w:hAnsi="Verdana" w:cs="Times New Roman"/>
      <w:sz w:val="16"/>
    </w:rPr>
  </w:style>
  <w:style w:type="character" w:styleId="Voetnootmarkering">
    <w:name w:val="footnote reference"/>
    <w:basedOn w:val="Standaardalinea-lettertype"/>
    <w:uiPriority w:val="99"/>
    <w:semiHidden/>
    <w:rsid w:val="00D9141B"/>
    <w:rPr>
      <w:vertAlign w:val="superscript"/>
    </w:rPr>
  </w:style>
  <w:style w:type="paragraph" w:styleId="Lijstalinea">
    <w:name w:val="List Paragraph"/>
    <w:basedOn w:val="Standaard"/>
    <w:uiPriority w:val="34"/>
    <w:qFormat/>
    <w:rsid w:val="00253429"/>
    <w:pPr>
      <w:ind w:left="720"/>
      <w:contextualSpacing/>
    </w:pPr>
  </w:style>
  <w:style w:type="paragraph" w:customStyle="1" w:styleId="Default">
    <w:name w:val="Default"/>
    <w:rsid w:val="00253429"/>
    <w:pPr>
      <w:autoSpaceDE w:val="0"/>
      <w:adjustRightInd w:val="0"/>
      <w:textAlignment w:val="auto"/>
    </w:pPr>
    <w:rPr>
      <w:rFonts w:ascii="Verdana" w:hAnsi="Verdana" w:cs="Verdana"/>
      <w:color w:val="000000"/>
      <w:sz w:val="24"/>
      <w:szCs w:val="24"/>
    </w:rPr>
  </w:style>
  <w:style w:type="paragraph" w:styleId="Revisie">
    <w:name w:val="Revision"/>
    <w:hidden/>
    <w:uiPriority w:val="99"/>
    <w:semiHidden/>
    <w:rsid w:val="00AC5AC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B1054"/>
    <w:rPr>
      <w:sz w:val="16"/>
      <w:szCs w:val="16"/>
    </w:rPr>
  </w:style>
  <w:style w:type="paragraph" w:styleId="Tekstopmerking">
    <w:name w:val="annotation text"/>
    <w:basedOn w:val="Standaard"/>
    <w:link w:val="TekstopmerkingChar"/>
    <w:uiPriority w:val="99"/>
    <w:unhideWhenUsed/>
    <w:rsid w:val="00CB1054"/>
    <w:pPr>
      <w:spacing w:line="240" w:lineRule="auto"/>
    </w:pPr>
    <w:rPr>
      <w:sz w:val="20"/>
      <w:szCs w:val="20"/>
    </w:rPr>
  </w:style>
  <w:style w:type="character" w:customStyle="1" w:styleId="TekstopmerkingChar">
    <w:name w:val="Tekst opmerking Char"/>
    <w:basedOn w:val="Standaardalinea-lettertype"/>
    <w:link w:val="Tekstopmerking"/>
    <w:uiPriority w:val="99"/>
    <w:rsid w:val="00CB105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B1054"/>
    <w:rPr>
      <w:b/>
      <w:bCs/>
    </w:rPr>
  </w:style>
  <w:style w:type="character" w:customStyle="1" w:styleId="OnderwerpvanopmerkingChar">
    <w:name w:val="Onderwerp van opmerking Char"/>
    <w:basedOn w:val="TekstopmerkingChar"/>
    <w:link w:val="Onderwerpvanopmerking"/>
    <w:uiPriority w:val="99"/>
    <w:semiHidden/>
    <w:rsid w:val="00CB1054"/>
    <w:rPr>
      <w:rFonts w:ascii="Verdana" w:hAnsi="Verdana"/>
      <w:b/>
      <w:bCs/>
      <w:color w:val="000000"/>
    </w:rPr>
  </w:style>
  <w:style w:type="paragraph" w:styleId="Normaalweb">
    <w:name w:val="Normal (Web)"/>
    <w:basedOn w:val="Standaard"/>
    <w:uiPriority w:val="99"/>
    <w:semiHidden/>
    <w:unhideWhenUsed/>
    <w:rsid w:val="00CC58C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f0">
    <w:name w:val="pf0"/>
    <w:basedOn w:val="Standaard"/>
    <w:rsid w:val="00325D6A"/>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325D6A"/>
    <w:rPr>
      <w:rFonts w:ascii="Segoe UI" w:hAnsi="Segoe UI" w:cs="Segoe UI" w:hint="default"/>
      <w:sz w:val="18"/>
      <w:szCs w:val="18"/>
    </w:rPr>
  </w:style>
  <w:style w:type="paragraph" w:styleId="Koptekst">
    <w:name w:val="header"/>
    <w:basedOn w:val="Standaard"/>
    <w:link w:val="KoptekstChar"/>
    <w:uiPriority w:val="99"/>
    <w:unhideWhenUsed/>
    <w:rsid w:val="004339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398B"/>
    <w:rPr>
      <w:rFonts w:ascii="Verdana" w:hAnsi="Verdana"/>
      <w:color w:val="000000"/>
      <w:sz w:val="18"/>
      <w:szCs w:val="18"/>
    </w:rPr>
  </w:style>
  <w:style w:type="paragraph" w:styleId="Geenafstand">
    <w:name w:val="No Spacing"/>
    <w:uiPriority w:val="1"/>
    <w:qFormat/>
    <w:rsid w:val="00910135"/>
    <w:pPr>
      <w:autoSpaceDN/>
      <w:textAlignment w:val="auto"/>
    </w:pPr>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3325">
      <w:bodyDiv w:val="1"/>
      <w:marLeft w:val="0"/>
      <w:marRight w:val="0"/>
      <w:marTop w:val="0"/>
      <w:marBottom w:val="0"/>
      <w:divBdr>
        <w:top w:val="none" w:sz="0" w:space="0" w:color="auto"/>
        <w:left w:val="none" w:sz="0" w:space="0" w:color="auto"/>
        <w:bottom w:val="none" w:sz="0" w:space="0" w:color="auto"/>
        <w:right w:val="none" w:sz="0" w:space="0" w:color="auto"/>
      </w:divBdr>
    </w:div>
    <w:div w:id="558634287">
      <w:bodyDiv w:val="1"/>
      <w:marLeft w:val="0"/>
      <w:marRight w:val="0"/>
      <w:marTop w:val="0"/>
      <w:marBottom w:val="0"/>
      <w:divBdr>
        <w:top w:val="none" w:sz="0" w:space="0" w:color="auto"/>
        <w:left w:val="none" w:sz="0" w:space="0" w:color="auto"/>
        <w:bottom w:val="none" w:sz="0" w:space="0" w:color="auto"/>
        <w:right w:val="none" w:sz="0" w:space="0" w:color="auto"/>
      </w:divBdr>
    </w:div>
    <w:div w:id="1184124370">
      <w:bodyDiv w:val="1"/>
      <w:marLeft w:val="0"/>
      <w:marRight w:val="0"/>
      <w:marTop w:val="0"/>
      <w:marBottom w:val="0"/>
      <w:divBdr>
        <w:top w:val="none" w:sz="0" w:space="0" w:color="auto"/>
        <w:left w:val="none" w:sz="0" w:space="0" w:color="auto"/>
        <w:bottom w:val="none" w:sz="0" w:space="0" w:color="auto"/>
        <w:right w:val="none" w:sz="0" w:space="0" w:color="auto"/>
      </w:divBdr>
    </w:div>
    <w:div w:id="1252006228">
      <w:bodyDiv w:val="1"/>
      <w:marLeft w:val="0"/>
      <w:marRight w:val="0"/>
      <w:marTop w:val="0"/>
      <w:marBottom w:val="0"/>
      <w:divBdr>
        <w:top w:val="none" w:sz="0" w:space="0" w:color="auto"/>
        <w:left w:val="none" w:sz="0" w:space="0" w:color="auto"/>
        <w:bottom w:val="none" w:sz="0" w:space="0" w:color="auto"/>
        <w:right w:val="none" w:sz="0" w:space="0" w:color="auto"/>
      </w:divBdr>
    </w:div>
    <w:div w:id="204787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jci1.3:c:BWBR0001854&amp;artikel=38e&amp;g=2024-10-03&amp;z=2024-10-0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855</ap:Words>
  <ap:Characters>4706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Brief - Beleidsreactie rapport GVM 2022 als onderdeel van de Wlt wetsevaluatie</vt:lpstr>
    </vt:vector>
  </ap:TitlesOfParts>
  <ap:LinksUpToDate>false</ap:LinksUpToDate>
  <ap:CharactersWithSpaces>5550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2024-10-17T13:12:00.0000000Z</dcterms:created>
  <dcterms:modified xsi:type="dcterms:W3CDTF">2024-10-17T13:12:00.0000000Z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Beleidsreactie rapport GVM 2022 als onderdeel van de Wlt wetsevaluatie</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september 2024</vt:lpwstr>
  </property>
  <property fmtid="{D5CDD505-2E9C-101B-9397-08002B2CF9AE}" pid="13" name="Opgesteld door, Naam">
    <vt:lpwstr>mr. D.J. Lutje Wagelaar</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