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1BB" w:rsidP="00FB71BB" w:rsidRDefault="00FB71BB" w14:paraId="587D3094" w14:textId="0F8A8572">
      <w:pPr>
        <w:suppressAutoHyphens/>
      </w:pPr>
      <w:r>
        <w:t>AH 302</w:t>
      </w:r>
    </w:p>
    <w:p w:rsidR="00FB71BB" w:rsidP="00FB71BB" w:rsidRDefault="00FB71BB" w14:paraId="16B4CE32" w14:textId="014234EC">
      <w:pPr>
        <w:suppressAutoHyphens/>
      </w:pPr>
      <w:r>
        <w:t>2024Z13362</w:t>
      </w:r>
    </w:p>
    <w:p w:rsidRPr="00FB71BB" w:rsidR="00FB71BB" w:rsidP="00FB71BB" w:rsidRDefault="00FB71BB" w14:paraId="4795489C" w14:textId="686385B6">
      <w:pPr>
        <w:rPr>
          <w:rFonts w:ascii="Times New Roman" w:hAnsi="Times New Roman"/>
          <w:sz w:val="24"/>
          <w:szCs w:val="24"/>
        </w:rPr>
      </w:pPr>
      <w:r w:rsidRPr="009B5FE1">
        <w:rPr>
          <w:sz w:val="24"/>
          <w:szCs w:val="24"/>
        </w:rPr>
        <w:t>Antwoord van minister Agema (Volksgezondheid, Welzijn en Sport)</w:t>
      </w:r>
      <w:r>
        <w:rPr>
          <w:sz w:val="24"/>
          <w:szCs w:val="24"/>
        </w:rPr>
        <w:t xml:space="preserve">, mede namens de </w:t>
      </w:r>
      <w:r w:rsidRPr="00D31852">
        <w:rPr>
          <w:rFonts w:ascii="Times New Roman" w:hAnsi="Times New Roman"/>
          <w:sz w:val="24"/>
          <w:szCs w:val="24"/>
        </w:rPr>
        <w:t>staatssecretaris van Volksgezondheid, Welzijn en Sport</w:t>
      </w:r>
      <w:r w:rsidRPr="00ED42F6">
        <w:rPr>
          <w:sz w:val="24"/>
          <w:szCs w:val="24"/>
        </w:rPr>
        <w:t xml:space="preserve"> </w:t>
      </w:r>
      <w:r w:rsidRPr="009B5FE1">
        <w:rPr>
          <w:sz w:val="24"/>
          <w:szCs w:val="24"/>
        </w:rPr>
        <w:t>(ontvangen</w:t>
      </w:r>
      <w:r>
        <w:rPr>
          <w:sz w:val="24"/>
          <w:szCs w:val="24"/>
        </w:rPr>
        <w:t xml:space="preserve"> 17 oktober 2024)</w:t>
      </w:r>
    </w:p>
    <w:p w:rsidR="00FB71BB" w:rsidP="00FB71BB" w:rsidRDefault="00FB71BB" w14:paraId="55BD91AE" w14:textId="77777777">
      <w:pPr>
        <w:suppressAutoHyphens/>
      </w:pPr>
    </w:p>
    <w:p w:rsidR="00FB71BB" w:rsidP="00FB71BB" w:rsidRDefault="00FB71BB" w14:paraId="648A99F9" w14:textId="77777777">
      <w:pPr>
        <w:numPr>
          <w:ilvl w:val="0"/>
          <w:numId w:val="1"/>
        </w:numPr>
        <w:suppressAutoHyphens/>
        <w:spacing w:line="257" w:lineRule="auto"/>
        <w:ind w:left="360"/>
        <w:contextualSpacing/>
        <w:rPr>
          <w:szCs w:val="18"/>
        </w:rPr>
      </w:pPr>
    </w:p>
    <w:p w:rsidRPr="00343D4D" w:rsidR="00FB71BB" w:rsidP="00FB71BB" w:rsidRDefault="00FB71BB" w14:paraId="3441D686" w14:textId="77777777">
      <w:pPr>
        <w:suppressAutoHyphens/>
        <w:spacing w:line="257" w:lineRule="auto"/>
        <w:contextualSpacing/>
        <w:rPr>
          <w:szCs w:val="18"/>
        </w:rPr>
      </w:pPr>
      <w:r w:rsidRPr="00343D4D">
        <w:rPr>
          <w:szCs w:val="18"/>
        </w:rPr>
        <w:t>Zijn er bij het Ministerie van Volksgezondheid, Welzijn en Sport signalen bekend over cliënten in een zorgwoning die financiële druk of problemen ervaren wegens huurstijgingen? Zo nee, kunt u aangeven of er een meldpunt bestaat waar personen, die in een zorgwoning wonen, zich kunnen melden als zij wegens huurstijgingen financiële moeilijkheden ervaren?</w:t>
      </w:r>
      <w:r w:rsidRPr="00343D4D">
        <w:rPr>
          <w:szCs w:val="18"/>
        </w:rPr>
        <w:br/>
      </w:r>
    </w:p>
    <w:p w:rsidR="00FB71BB" w:rsidP="00FB71BB" w:rsidRDefault="00FB71BB" w14:paraId="5CCFB030" w14:textId="77777777">
      <w:pPr>
        <w:numPr>
          <w:ilvl w:val="0"/>
          <w:numId w:val="1"/>
        </w:numPr>
        <w:suppressAutoHyphens/>
        <w:spacing w:line="257" w:lineRule="auto"/>
        <w:ind w:left="360"/>
        <w:contextualSpacing/>
        <w:rPr>
          <w:szCs w:val="18"/>
        </w:rPr>
      </w:pPr>
    </w:p>
    <w:p w:rsidRPr="00343D4D" w:rsidR="00FB71BB" w:rsidP="00FB71BB" w:rsidRDefault="00FB71BB" w14:paraId="26A715A7" w14:textId="77777777">
      <w:pPr>
        <w:suppressAutoHyphens/>
        <w:spacing w:line="257" w:lineRule="auto"/>
        <w:contextualSpacing/>
        <w:rPr>
          <w:szCs w:val="18"/>
        </w:rPr>
      </w:pPr>
      <w:r w:rsidRPr="00343D4D">
        <w:rPr>
          <w:szCs w:val="18"/>
        </w:rPr>
        <w:t>Deelt u de mening dat cliënten/bewoners in een woon-zorginstelling vaak in een hele kwetsbare positie zitten omdat zij ook zorg afnemen bij de organisatie aan wie zij ook huur moeten betalen? Zo ja, is er een extern toezichthouder die ook meekijkt als het gaat om redelijkheid en billijkheid bij voorgenomen huurstijgingen en de kwaliteit van wonen algemeen?</w:t>
      </w:r>
      <w:r w:rsidRPr="00343D4D">
        <w:rPr>
          <w:szCs w:val="18"/>
        </w:rPr>
        <w:br/>
      </w:r>
    </w:p>
    <w:p w:rsidR="00FB71BB" w:rsidP="00FB71BB" w:rsidRDefault="00FB71BB" w14:paraId="72F676F0" w14:textId="77777777">
      <w:pPr>
        <w:numPr>
          <w:ilvl w:val="0"/>
          <w:numId w:val="1"/>
        </w:numPr>
        <w:suppressAutoHyphens/>
        <w:spacing w:line="257" w:lineRule="auto"/>
        <w:ind w:left="360"/>
        <w:contextualSpacing/>
        <w:rPr>
          <w:szCs w:val="18"/>
        </w:rPr>
      </w:pPr>
    </w:p>
    <w:p w:rsidR="00FB71BB" w:rsidP="00FB71BB" w:rsidRDefault="00FB71BB" w14:paraId="743DDC21" w14:textId="77777777">
      <w:pPr>
        <w:suppressAutoHyphens/>
        <w:spacing w:line="257" w:lineRule="auto"/>
        <w:contextualSpacing/>
        <w:rPr>
          <w:szCs w:val="18"/>
        </w:rPr>
      </w:pPr>
      <w:r w:rsidRPr="00343D4D">
        <w:rPr>
          <w:szCs w:val="18"/>
        </w:rPr>
        <w:t>Kunt u reflecteren en een toelichting geven op de wenselijkheid van het scheiden van wonen en zorg? Deelt u de mening dat het potentieel voordelig zou kunnen zijn om wonen en zorg meer te scheiden? </w:t>
      </w:r>
    </w:p>
    <w:p w:rsidR="00FB71BB" w:rsidP="00FB71BB" w:rsidRDefault="00FB71BB" w14:paraId="0432E371" w14:textId="77777777">
      <w:pPr>
        <w:suppressAutoHyphens/>
        <w:spacing w:line="257" w:lineRule="auto"/>
        <w:contextualSpacing/>
        <w:rPr>
          <w:szCs w:val="18"/>
        </w:rPr>
      </w:pPr>
    </w:p>
    <w:p w:rsidR="00FB71BB" w:rsidP="00FB71BB" w:rsidRDefault="00FB71BB" w14:paraId="2F4C067F" w14:textId="77777777">
      <w:pPr>
        <w:suppressAutoHyphens/>
        <w:spacing w:line="257" w:lineRule="auto"/>
        <w:contextualSpacing/>
        <w:rPr>
          <w:szCs w:val="18"/>
        </w:rPr>
      </w:pPr>
      <w:r>
        <w:rPr>
          <w:szCs w:val="18"/>
        </w:rPr>
        <w:t>Antwoord op vraag 1 t/m 3</w:t>
      </w:r>
    </w:p>
    <w:p w:rsidR="00FB71BB" w:rsidP="00FB71BB" w:rsidRDefault="00FB71BB" w14:paraId="12A20291" w14:textId="77777777">
      <w:pPr>
        <w:suppressAutoHyphens/>
        <w:spacing w:line="257" w:lineRule="auto"/>
        <w:contextualSpacing/>
        <w:rPr>
          <w:szCs w:val="18"/>
        </w:rPr>
      </w:pPr>
      <w:r>
        <w:rPr>
          <w:szCs w:val="18"/>
        </w:rPr>
        <w:t xml:space="preserve">Bij het financieel scheiden van wonen en zorg betalen mensen zelf de woonlasten en daarnaast kunnen zij zorg en ondersteuning ontvangen. Als mensen zelf hun woonlasten betalen, kunnen zij – indien ze huur betalen – worden geconfronteerd met huurstijgingen. Dat is voor mensen die in een zorgwoning wonen niet anders dan voor andere huurders. Personen die bezwaar maken tegen huurstijgingen kunnen in eerste instantie bezwaar aantekenen bij de verhuurder. Bij een conflict kan men een uitspraak vragen van de Huurcommissie. De Huurcommissie is </w:t>
      </w:r>
      <w:r>
        <w:t xml:space="preserve">een onpartijdige en onafhankelijke geschillenbeslechter voor huurders en verhuurders. De Huurcommissie biedt hulp aan huurders en verhuurders als zij het niet eens zijn over bijvoorbeeld de huurprijs, onderhoud of servicekosten. De Huurcommissie beoordeelt het geschil aan de hand van wet- en regelgeving. </w:t>
      </w:r>
    </w:p>
    <w:p w:rsidR="00FB71BB" w:rsidP="00FB71BB" w:rsidRDefault="00FB71BB" w14:paraId="6C4932A4" w14:textId="77777777">
      <w:pPr>
        <w:suppressAutoHyphens/>
        <w:spacing w:line="257" w:lineRule="auto"/>
        <w:contextualSpacing/>
        <w:rPr>
          <w:szCs w:val="18"/>
        </w:rPr>
      </w:pPr>
    </w:p>
    <w:p w:rsidR="00FB71BB" w:rsidP="00FB71BB" w:rsidRDefault="00FB71BB" w14:paraId="4F289FBC" w14:textId="77777777">
      <w:pPr>
        <w:suppressAutoHyphens/>
        <w:spacing w:line="257" w:lineRule="auto"/>
        <w:contextualSpacing/>
        <w:rPr>
          <w:szCs w:val="18"/>
        </w:rPr>
      </w:pPr>
      <w:r>
        <w:rPr>
          <w:szCs w:val="18"/>
        </w:rPr>
        <w:t>Voor cliënten die ook zorg afnemen bij de partij van wie ze de woning huren, geldt soms dat er een contractuele koppeling is tussen het afnemen van zorg én het huren van de woning van die partij. Deze koppeling kan kwetsbaar voelen voor cliënten, maar zorgt er aan de andere kant ook voor dat een goede en efficiënte zorgver</w:t>
      </w:r>
      <w:r>
        <w:rPr>
          <w:szCs w:val="18"/>
        </w:rPr>
        <w:softHyphen/>
        <w:t xml:space="preserve">lening kan worden gegarandeerd. Het is – ook gezien de krappe arbeidsmarkt - ondoenlijk als iedere bewoner bijvoorbeeld zijn eigen keuzes wil maken over de </w:t>
      </w:r>
      <w:r>
        <w:rPr>
          <w:szCs w:val="18"/>
        </w:rPr>
        <w:lastRenderedPageBreak/>
        <w:t xml:space="preserve">nabijheid van zorg tijdens de nacht. De contractuele koppeling van wonen en zorg maakt in dat geval dat de zorg beter kan worden vorm gegeven en daar profiteren alle individuele bewoners/cliënten vervolgens ook van. </w:t>
      </w:r>
    </w:p>
    <w:p w:rsidRPr="00343D4D" w:rsidR="00FB71BB" w:rsidP="00FB71BB" w:rsidRDefault="00FB71BB" w14:paraId="6484C756" w14:textId="77777777">
      <w:pPr>
        <w:suppressAutoHyphens/>
        <w:spacing w:line="257" w:lineRule="auto"/>
        <w:contextualSpacing/>
        <w:rPr>
          <w:szCs w:val="18"/>
        </w:rPr>
      </w:pPr>
      <w:r>
        <w:rPr>
          <w:szCs w:val="18"/>
        </w:rPr>
        <w:t xml:space="preserve">Er zijn bij het ministerie van VWS geen signalen bekend over problematische huurstijgingen bij cliënten in een zorgwoning. </w:t>
      </w:r>
      <w:r w:rsidRPr="00343D4D">
        <w:rPr>
          <w:szCs w:val="18"/>
        </w:rPr>
        <w:br/>
      </w:r>
    </w:p>
    <w:p w:rsidR="00FB71BB" w:rsidP="00FB71BB" w:rsidRDefault="00FB71BB" w14:paraId="54E0187D" w14:textId="77777777">
      <w:pPr>
        <w:numPr>
          <w:ilvl w:val="0"/>
          <w:numId w:val="1"/>
        </w:numPr>
        <w:suppressAutoHyphens/>
        <w:spacing w:line="257" w:lineRule="auto"/>
        <w:ind w:left="360"/>
        <w:contextualSpacing/>
        <w:rPr>
          <w:szCs w:val="18"/>
        </w:rPr>
      </w:pPr>
    </w:p>
    <w:p w:rsidRPr="00A33FD3" w:rsidR="00FB71BB" w:rsidP="00FB71BB" w:rsidRDefault="00FB71BB" w14:paraId="341862FB" w14:textId="77777777">
      <w:pPr>
        <w:suppressAutoHyphens/>
        <w:spacing w:line="257" w:lineRule="auto"/>
        <w:contextualSpacing/>
        <w:rPr>
          <w:szCs w:val="18"/>
        </w:rPr>
      </w:pPr>
      <w:r w:rsidRPr="00A33FD3">
        <w:rPr>
          <w:szCs w:val="18"/>
        </w:rPr>
        <w:t>Kunt u aangeven en toelichten welk percentage van de inkomsten (bijvoorbeeld vanuit de Wajong) dat besteed wordt aan huur- en woonkosten u wenselijk acht? </w:t>
      </w:r>
    </w:p>
    <w:p w:rsidR="00FB71BB" w:rsidP="00FB71BB" w:rsidRDefault="00FB71BB" w14:paraId="2699FC6B" w14:textId="77777777">
      <w:pPr>
        <w:suppressAutoHyphens/>
        <w:spacing w:line="257" w:lineRule="auto"/>
        <w:contextualSpacing/>
        <w:rPr>
          <w:szCs w:val="18"/>
        </w:rPr>
      </w:pPr>
    </w:p>
    <w:p w:rsidR="00FB71BB" w:rsidP="00FB71BB" w:rsidRDefault="00FB71BB" w14:paraId="7C75686A" w14:textId="77777777">
      <w:pPr>
        <w:suppressAutoHyphens/>
        <w:spacing w:line="257" w:lineRule="auto"/>
        <w:contextualSpacing/>
        <w:rPr>
          <w:szCs w:val="18"/>
        </w:rPr>
      </w:pPr>
    </w:p>
    <w:p w:rsidR="00FB71BB" w:rsidP="00FB71BB" w:rsidRDefault="00FB71BB" w14:paraId="3F3398A7" w14:textId="77777777">
      <w:pPr>
        <w:suppressAutoHyphens/>
        <w:spacing w:line="257" w:lineRule="auto"/>
        <w:contextualSpacing/>
        <w:rPr>
          <w:szCs w:val="18"/>
        </w:rPr>
      </w:pPr>
      <w:r>
        <w:rPr>
          <w:szCs w:val="18"/>
        </w:rPr>
        <w:t>Antwoord op vraag 4</w:t>
      </w:r>
    </w:p>
    <w:p w:rsidRPr="00343D4D" w:rsidR="00FB71BB" w:rsidP="00FB71BB" w:rsidRDefault="00FB71BB" w14:paraId="3974191B" w14:textId="77777777">
      <w:pPr>
        <w:suppressAutoHyphens/>
        <w:spacing w:line="257" w:lineRule="auto"/>
        <w:contextualSpacing/>
        <w:rPr>
          <w:szCs w:val="18"/>
        </w:rPr>
      </w:pPr>
      <w:r>
        <w:rPr>
          <w:szCs w:val="18"/>
        </w:rPr>
        <w:t>Voor iedere cliënt geldt dat hij/zij binnen de eigen financiële mogelijkheden keuzes moet maken wat aan huur- en woonkosten kan worden uitgegeven. Op de website van het Nibud (Nationaal Instituut voor budgetvoorlichting,</w:t>
      </w:r>
      <w:r w:rsidRPr="00001713">
        <w:t xml:space="preserve"> </w:t>
      </w:r>
      <w:hyperlink w:history="1" r:id="rId7">
        <w:r w:rsidRPr="00104051">
          <w:rPr>
            <w:rStyle w:val="Hyperlink"/>
            <w:szCs w:val="18"/>
          </w:rPr>
          <w:t>www.nibud.nl</w:t>
        </w:r>
      </w:hyperlink>
      <w:r>
        <w:rPr>
          <w:szCs w:val="18"/>
        </w:rPr>
        <w:t>) wordt aangegeven dat niet alleen inkomen, maar ook andere persoonlijke omstandig</w:t>
      </w:r>
      <w:r>
        <w:rPr>
          <w:szCs w:val="18"/>
        </w:rPr>
        <w:softHyphen/>
        <w:t xml:space="preserve">heden (zoals huishoudsamenstelling en eventuele hoge zorg- of andere kosten) bepalen of een huur voor mensen betaalbaar is. Om de reden die het Nibud noemt, werk ik niet met percentages die ik wenselijk acht om aan huur- en woonkosten uit te geven. Het Nibud kan helpen bij het verkrijgen van inzicht in persoonlijke inkomsten en uitgaven en daarmee ook in wat verantwoord aan huur kan worden uitgegeven. Verhuurders hanteren daarnaast vaak een minimum inkomensgrens. Dat zorgt ervoor dat mensen ook langs die weg beschermd worden tegen woonkosten die ze niet kunnen betalen. </w:t>
      </w:r>
      <w:r w:rsidRPr="00343D4D">
        <w:rPr>
          <w:szCs w:val="18"/>
        </w:rPr>
        <w:br/>
      </w:r>
    </w:p>
    <w:p w:rsidR="00FB71BB" w:rsidP="00FB71BB" w:rsidRDefault="00FB71BB" w14:paraId="35F403DD" w14:textId="77777777">
      <w:pPr>
        <w:numPr>
          <w:ilvl w:val="0"/>
          <w:numId w:val="1"/>
        </w:numPr>
        <w:suppressAutoHyphens/>
        <w:spacing w:line="257" w:lineRule="auto"/>
        <w:ind w:left="360"/>
        <w:contextualSpacing/>
        <w:rPr>
          <w:szCs w:val="18"/>
        </w:rPr>
      </w:pPr>
    </w:p>
    <w:p w:rsidR="00FB71BB" w:rsidP="00FB71BB" w:rsidRDefault="00FB71BB" w14:paraId="6D451411" w14:textId="77777777">
      <w:pPr>
        <w:suppressAutoHyphens/>
        <w:spacing w:line="257" w:lineRule="auto"/>
        <w:contextualSpacing/>
        <w:rPr>
          <w:szCs w:val="18"/>
        </w:rPr>
      </w:pPr>
      <w:r w:rsidRPr="00343D4D">
        <w:rPr>
          <w:szCs w:val="18"/>
        </w:rPr>
        <w:t>Aan welke regels en richtlijnen moeten aanbieders van woon-zorginitiatieven zich houden bij het hanteren van de huur en huurstijgingen?</w:t>
      </w:r>
    </w:p>
    <w:p w:rsidR="00FB71BB" w:rsidP="00FB71BB" w:rsidRDefault="00FB71BB" w14:paraId="0E1FC7C4" w14:textId="77777777">
      <w:pPr>
        <w:suppressAutoHyphens/>
        <w:spacing w:line="257" w:lineRule="auto"/>
        <w:contextualSpacing/>
        <w:rPr>
          <w:szCs w:val="18"/>
        </w:rPr>
      </w:pPr>
    </w:p>
    <w:p w:rsidR="00FB71BB" w:rsidP="00FB71BB" w:rsidRDefault="00FB71BB" w14:paraId="743F59C8" w14:textId="77777777">
      <w:pPr>
        <w:suppressAutoHyphens/>
        <w:spacing w:line="257" w:lineRule="auto"/>
        <w:contextualSpacing/>
        <w:rPr>
          <w:szCs w:val="18"/>
        </w:rPr>
      </w:pPr>
      <w:r>
        <w:rPr>
          <w:szCs w:val="18"/>
        </w:rPr>
        <w:t>Antwoord op vraag 5</w:t>
      </w:r>
    </w:p>
    <w:p w:rsidR="00FB71BB" w:rsidP="00FB71BB" w:rsidRDefault="00FB71BB" w14:paraId="3D64349C" w14:textId="77777777">
      <w:pPr>
        <w:suppressAutoHyphens/>
        <w:spacing w:line="257" w:lineRule="auto"/>
        <w:contextualSpacing/>
        <w:rPr>
          <w:szCs w:val="18"/>
        </w:rPr>
      </w:pPr>
      <w:r>
        <w:rPr>
          <w:szCs w:val="18"/>
        </w:rPr>
        <w:t>Woon-zorginitiatieven moeten zich houden aan de wet- en regelgeving die geldt met betrekking tot de hoogte van de maximale huur en huurstijgingen (Wet betaalbare huur).</w:t>
      </w:r>
    </w:p>
    <w:p w:rsidRPr="00343D4D" w:rsidR="00FB71BB" w:rsidP="00FB71BB" w:rsidRDefault="00FB71BB" w14:paraId="48430E54" w14:textId="77777777">
      <w:pPr>
        <w:suppressAutoHyphens/>
        <w:spacing w:line="257" w:lineRule="auto"/>
        <w:contextualSpacing/>
        <w:rPr>
          <w:szCs w:val="18"/>
        </w:rPr>
      </w:pPr>
    </w:p>
    <w:p w:rsidR="00FB71BB" w:rsidP="00FB71BB" w:rsidRDefault="00FB71BB" w14:paraId="4F897532" w14:textId="77777777">
      <w:pPr>
        <w:numPr>
          <w:ilvl w:val="0"/>
          <w:numId w:val="1"/>
        </w:numPr>
        <w:suppressAutoHyphens/>
        <w:spacing w:line="257" w:lineRule="auto"/>
        <w:ind w:left="360"/>
        <w:contextualSpacing/>
        <w:rPr>
          <w:szCs w:val="18"/>
        </w:rPr>
      </w:pPr>
    </w:p>
    <w:p w:rsidR="00FB71BB" w:rsidP="00FB71BB" w:rsidRDefault="00FB71BB" w14:paraId="6761E058" w14:textId="77777777">
      <w:pPr>
        <w:suppressAutoHyphens/>
        <w:spacing w:line="257" w:lineRule="auto"/>
        <w:contextualSpacing/>
        <w:rPr>
          <w:szCs w:val="18"/>
        </w:rPr>
      </w:pPr>
      <w:r w:rsidRPr="00343D4D">
        <w:rPr>
          <w:szCs w:val="18"/>
        </w:rPr>
        <w:t>Mag de huur worden opgezegd wanneer bijvoorbeeld het zorgzwaartepakket van de cliënt verandert? Zo ja, onder welke voorwaarden?</w:t>
      </w:r>
    </w:p>
    <w:p w:rsidRPr="00343D4D" w:rsidR="00FB71BB" w:rsidP="00FB71BB" w:rsidRDefault="00FB71BB" w14:paraId="30E8805D" w14:textId="77777777">
      <w:pPr>
        <w:suppressAutoHyphens/>
        <w:spacing w:line="257" w:lineRule="auto"/>
        <w:contextualSpacing/>
        <w:rPr>
          <w:szCs w:val="18"/>
        </w:rPr>
      </w:pPr>
    </w:p>
    <w:p w:rsidR="00FB71BB" w:rsidP="00FB71BB" w:rsidRDefault="00FB71BB" w14:paraId="629134F1" w14:textId="77777777">
      <w:pPr>
        <w:numPr>
          <w:ilvl w:val="0"/>
          <w:numId w:val="1"/>
        </w:numPr>
        <w:suppressAutoHyphens/>
        <w:spacing w:line="257" w:lineRule="auto"/>
        <w:ind w:left="360"/>
        <w:contextualSpacing/>
        <w:rPr>
          <w:szCs w:val="18"/>
        </w:rPr>
      </w:pPr>
    </w:p>
    <w:p w:rsidR="00FB71BB" w:rsidP="00FB71BB" w:rsidRDefault="00FB71BB" w14:paraId="77A8F47D" w14:textId="77777777">
      <w:pPr>
        <w:suppressAutoHyphens/>
        <w:spacing w:line="257" w:lineRule="auto"/>
        <w:contextualSpacing/>
        <w:rPr>
          <w:szCs w:val="18"/>
        </w:rPr>
      </w:pPr>
      <w:r w:rsidRPr="00343D4D">
        <w:rPr>
          <w:szCs w:val="18"/>
        </w:rPr>
        <w:t>Mag een instelling van reeds woonachtige cliënten vragen meer zorg af te nemen?</w:t>
      </w:r>
    </w:p>
    <w:p w:rsidR="00FB71BB" w:rsidP="00FB71BB" w:rsidRDefault="00FB71BB" w14:paraId="27B851AD" w14:textId="77777777">
      <w:pPr>
        <w:suppressAutoHyphens/>
        <w:spacing w:line="257" w:lineRule="auto"/>
        <w:contextualSpacing/>
        <w:rPr>
          <w:szCs w:val="18"/>
        </w:rPr>
      </w:pPr>
    </w:p>
    <w:p w:rsidR="00FB71BB" w:rsidP="00FB71BB" w:rsidRDefault="00FB71BB" w14:paraId="652233D6" w14:textId="77777777">
      <w:pPr>
        <w:suppressAutoHyphens/>
        <w:spacing w:line="257" w:lineRule="auto"/>
        <w:contextualSpacing/>
        <w:rPr>
          <w:szCs w:val="18"/>
        </w:rPr>
      </w:pPr>
      <w:r>
        <w:rPr>
          <w:szCs w:val="18"/>
        </w:rPr>
        <w:t>Antwoord op vraag 6 en 7</w:t>
      </w:r>
    </w:p>
    <w:p w:rsidRPr="00343D4D" w:rsidR="00FB71BB" w:rsidP="00FB71BB" w:rsidRDefault="00FB71BB" w14:paraId="6C2B7859" w14:textId="77777777">
      <w:pPr>
        <w:suppressAutoHyphens/>
        <w:spacing w:line="257" w:lineRule="auto"/>
        <w:contextualSpacing/>
        <w:rPr>
          <w:szCs w:val="18"/>
        </w:rPr>
      </w:pPr>
      <w:r>
        <w:rPr>
          <w:szCs w:val="18"/>
        </w:rPr>
        <w:t>Het is in beginsel afhankelijk van de voorwaarden die zijn gesteld in het huur</w:t>
      </w:r>
      <w:r>
        <w:rPr>
          <w:szCs w:val="18"/>
        </w:rPr>
        <w:softHyphen/>
        <w:t xml:space="preserve">contract en/of het zorgcontract of dit mogelijk is. Daarbij is ook van belang in hoeverre wonen en zorg (contractueel, maar ook in de feitelijke uitvoering) met elkaar zijn verweven. Het is niet wenselijk als een instelling cliënten vraagt om meer </w:t>
      </w:r>
      <w:r>
        <w:rPr>
          <w:szCs w:val="18"/>
        </w:rPr>
        <w:lastRenderedPageBreak/>
        <w:t>zorg af te nemen dan nodig is.</w:t>
      </w:r>
      <w:r w:rsidRPr="00343D4D">
        <w:rPr>
          <w:szCs w:val="18"/>
        </w:rPr>
        <w:br/>
      </w:r>
    </w:p>
    <w:p w:rsidR="00FB71BB" w:rsidP="00FB71BB" w:rsidRDefault="00FB71BB" w14:paraId="5AB4E5D7" w14:textId="77777777">
      <w:pPr>
        <w:numPr>
          <w:ilvl w:val="0"/>
          <w:numId w:val="1"/>
        </w:numPr>
        <w:suppressAutoHyphens/>
        <w:spacing w:line="257" w:lineRule="auto"/>
        <w:ind w:left="360"/>
        <w:contextualSpacing/>
        <w:rPr>
          <w:szCs w:val="18"/>
        </w:rPr>
      </w:pPr>
    </w:p>
    <w:p w:rsidR="00FB71BB" w:rsidP="00FB71BB" w:rsidRDefault="00FB71BB" w14:paraId="68E25E84" w14:textId="77777777">
      <w:pPr>
        <w:suppressAutoHyphens/>
        <w:spacing w:line="257" w:lineRule="auto"/>
        <w:contextualSpacing/>
        <w:rPr>
          <w:szCs w:val="18"/>
        </w:rPr>
      </w:pPr>
      <w:r w:rsidRPr="00343D4D">
        <w:rPr>
          <w:szCs w:val="18"/>
        </w:rPr>
        <w:t>Welke bezwaar- en beroepsmogelijkheden zijn er als cliënten/bewoners of hun wettelijk vertegenwoordigers het niet eens zijn met aangekondigde huurstijgingen?</w:t>
      </w:r>
    </w:p>
    <w:p w:rsidR="00FB71BB" w:rsidP="00FB71BB" w:rsidRDefault="00FB71BB" w14:paraId="4F50DFFE" w14:textId="77777777">
      <w:pPr>
        <w:suppressAutoHyphens/>
        <w:spacing w:line="257" w:lineRule="auto"/>
        <w:contextualSpacing/>
        <w:rPr>
          <w:szCs w:val="18"/>
        </w:rPr>
      </w:pPr>
    </w:p>
    <w:p w:rsidR="00FB71BB" w:rsidP="00FB71BB" w:rsidRDefault="00FB71BB" w14:paraId="6CADFEA5" w14:textId="77777777">
      <w:pPr>
        <w:suppressAutoHyphens/>
        <w:spacing w:line="257" w:lineRule="auto"/>
        <w:contextualSpacing/>
        <w:rPr>
          <w:szCs w:val="18"/>
        </w:rPr>
      </w:pPr>
      <w:r>
        <w:rPr>
          <w:szCs w:val="18"/>
        </w:rPr>
        <w:t>Antwoord op vraag 8</w:t>
      </w:r>
    </w:p>
    <w:p w:rsidR="00FB71BB" w:rsidP="00FB71BB" w:rsidRDefault="00FB71BB" w14:paraId="6A0EE4F1" w14:textId="77777777">
      <w:pPr>
        <w:suppressAutoHyphens/>
        <w:spacing w:line="257" w:lineRule="auto"/>
        <w:contextualSpacing/>
        <w:rPr>
          <w:szCs w:val="18"/>
        </w:rPr>
      </w:pPr>
      <w:r>
        <w:rPr>
          <w:szCs w:val="18"/>
        </w:rPr>
        <w:t>Personen die bezwaar maken tegen huurstijgingen kunnen in eerste instantie bezwaar aantekenen bij de verhuurder. Bij een conflict kan men een uitspraak vragen van de Huurcommissie.</w:t>
      </w:r>
    </w:p>
    <w:p w:rsidRPr="00343D4D" w:rsidR="00FB71BB" w:rsidP="00FB71BB" w:rsidRDefault="00FB71BB" w14:paraId="5871EC0F" w14:textId="77777777">
      <w:pPr>
        <w:suppressAutoHyphens/>
        <w:spacing w:line="257" w:lineRule="auto"/>
        <w:contextualSpacing/>
        <w:rPr>
          <w:szCs w:val="18"/>
        </w:rPr>
      </w:pPr>
    </w:p>
    <w:p w:rsidR="00FB71BB" w:rsidP="00FB71BB" w:rsidRDefault="00FB71BB" w14:paraId="2579D49E" w14:textId="77777777">
      <w:pPr>
        <w:numPr>
          <w:ilvl w:val="0"/>
          <w:numId w:val="1"/>
        </w:numPr>
        <w:suppressAutoHyphens/>
        <w:spacing w:line="257" w:lineRule="auto"/>
        <w:ind w:left="360"/>
        <w:contextualSpacing/>
        <w:rPr>
          <w:szCs w:val="18"/>
        </w:rPr>
      </w:pPr>
    </w:p>
    <w:p w:rsidR="00FB71BB" w:rsidP="00FB71BB" w:rsidRDefault="00FB71BB" w14:paraId="4DDE6AB8" w14:textId="77777777">
      <w:pPr>
        <w:suppressAutoHyphens/>
        <w:spacing w:line="257" w:lineRule="auto"/>
        <w:contextualSpacing/>
        <w:rPr>
          <w:szCs w:val="18"/>
        </w:rPr>
      </w:pPr>
      <w:r w:rsidRPr="00343D4D">
        <w:rPr>
          <w:szCs w:val="18"/>
        </w:rPr>
        <w:t>Deelt u de mening dat het onwenselijk is dat mensen die in een Wlz-instelling wonen, geen huurbescherming hebben zoals anderen?</w:t>
      </w:r>
    </w:p>
    <w:p w:rsidR="00FB71BB" w:rsidP="00FB71BB" w:rsidRDefault="00FB71BB" w14:paraId="68B0ECF5" w14:textId="77777777">
      <w:pPr>
        <w:suppressAutoHyphens/>
        <w:spacing w:line="257" w:lineRule="auto"/>
        <w:contextualSpacing/>
        <w:rPr>
          <w:szCs w:val="18"/>
        </w:rPr>
      </w:pPr>
    </w:p>
    <w:p w:rsidR="00FB71BB" w:rsidP="00FB71BB" w:rsidRDefault="00FB71BB" w14:paraId="667F6438" w14:textId="77777777">
      <w:pPr>
        <w:suppressAutoHyphens/>
        <w:spacing w:line="257" w:lineRule="auto"/>
        <w:contextualSpacing/>
        <w:rPr>
          <w:szCs w:val="18"/>
        </w:rPr>
      </w:pPr>
    </w:p>
    <w:p w:rsidR="00FB71BB" w:rsidP="00FB71BB" w:rsidRDefault="00FB71BB" w14:paraId="4034A3CB" w14:textId="77777777">
      <w:pPr>
        <w:suppressAutoHyphens/>
        <w:spacing w:line="257" w:lineRule="auto"/>
        <w:contextualSpacing/>
        <w:rPr>
          <w:szCs w:val="18"/>
        </w:rPr>
      </w:pPr>
    </w:p>
    <w:p w:rsidR="00FB71BB" w:rsidP="00FB71BB" w:rsidRDefault="00FB71BB" w14:paraId="3E7C685B" w14:textId="77777777">
      <w:pPr>
        <w:numPr>
          <w:ilvl w:val="0"/>
          <w:numId w:val="1"/>
        </w:numPr>
        <w:suppressAutoHyphens/>
        <w:spacing w:line="257" w:lineRule="auto"/>
        <w:ind w:left="360"/>
        <w:contextualSpacing/>
        <w:rPr>
          <w:szCs w:val="18"/>
        </w:rPr>
      </w:pPr>
    </w:p>
    <w:p w:rsidR="00FB71BB" w:rsidP="00FB71BB" w:rsidRDefault="00FB71BB" w14:paraId="45BC3B15" w14:textId="77777777">
      <w:pPr>
        <w:suppressAutoHyphens/>
        <w:spacing w:line="257" w:lineRule="auto"/>
        <w:contextualSpacing/>
        <w:rPr>
          <w:szCs w:val="18"/>
        </w:rPr>
      </w:pPr>
      <w:r w:rsidRPr="00343D4D">
        <w:rPr>
          <w:szCs w:val="18"/>
        </w:rPr>
        <w:t>Bent u, gezien de signalen, maar ook de rapporten over de uitdagingen op de woningmarkt voor deze groep, bereid om in navolging van de aangenomen motie Westerveld alsnog te onderzoeken of er een vorm van huurbescherming mogelijk is voor deze groep?</w:t>
      </w:r>
    </w:p>
    <w:p w:rsidR="00FB71BB" w:rsidP="00FB71BB" w:rsidRDefault="00FB71BB" w14:paraId="61336E2B" w14:textId="77777777">
      <w:pPr>
        <w:suppressAutoHyphens/>
        <w:spacing w:line="257" w:lineRule="auto"/>
        <w:contextualSpacing/>
        <w:rPr>
          <w:szCs w:val="18"/>
        </w:rPr>
      </w:pPr>
    </w:p>
    <w:p w:rsidR="00FB71BB" w:rsidP="00FB71BB" w:rsidRDefault="00FB71BB" w14:paraId="0D1643C9" w14:textId="77777777">
      <w:pPr>
        <w:suppressAutoHyphens/>
        <w:spacing w:line="257" w:lineRule="auto"/>
        <w:contextualSpacing/>
        <w:rPr>
          <w:szCs w:val="18"/>
        </w:rPr>
      </w:pPr>
      <w:r>
        <w:rPr>
          <w:szCs w:val="18"/>
        </w:rPr>
        <w:t>Antwoord op vraag 9 en 10</w:t>
      </w:r>
    </w:p>
    <w:p w:rsidR="00FB71BB" w:rsidP="00FB71BB" w:rsidRDefault="00FB71BB" w14:paraId="2A333988" w14:textId="77777777">
      <w:pPr>
        <w:suppressAutoHyphens/>
        <w:spacing w:line="257" w:lineRule="auto"/>
        <w:contextualSpacing/>
        <w:rPr>
          <w:szCs w:val="18"/>
        </w:rPr>
      </w:pPr>
      <w:r>
        <w:rPr>
          <w:szCs w:val="18"/>
        </w:rPr>
        <w:t>Cliënten die intramuraal in een Wlz-instelling wonen (en zorg ontvangen op basis van een integraal zorgzwaartepakket (ZZP)) betalen geen huur en hebben om die reden letterlijk geen huurbescherming. Zij betalen voor de zorg (inclusief het verblijf) een inkomens</w:t>
      </w:r>
      <w:r>
        <w:rPr>
          <w:szCs w:val="18"/>
        </w:rPr>
        <w:softHyphen/>
        <w:t xml:space="preserve">afhankelijke eigen bijdrage. Dat betekent echter niet dat deze cliënten niet beschermd moeten worden, bijvoorbeeld tegen ongewenste verhuizingen. </w:t>
      </w:r>
    </w:p>
    <w:p w:rsidR="00FB71BB" w:rsidP="00FB71BB" w:rsidRDefault="00FB71BB" w14:paraId="0A32E323" w14:textId="77777777">
      <w:pPr>
        <w:suppressAutoHyphens/>
        <w:spacing w:line="257" w:lineRule="auto"/>
        <w:contextualSpacing/>
        <w:rPr>
          <w:szCs w:val="18"/>
        </w:rPr>
      </w:pPr>
    </w:p>
    <w:p w:rsidR="00FB71BB" w:rsidP="00FB71BB" w:rsidRDefault="00FB71BB" w14:paraId="5D406930" w14:textId="77777777">
      <w:pPr>
        <w:numPr>
          <w:ilvl w:val="0"/>
          <w:numId w:val="1"/>
        </w:numPr>
        <w:suppressAutoHyphens/>
        <w:spacing w:line="257" w:lineRule="auto"/>
        <w:ind w:left="360"/>
        <w:contextualSpacing/>
        <w:rPr>
          <w:szCs w:val="18"/>
        </w:rPr>
      </w:pPr>
    </w:p>
    <w:p w:rsidR="00FB71BB" w:rsidP="00FB71BB" w:rsidRDefault="00FB71BB" w14:paraId="0B104E7A" w14:textId="77777777">
      <w:pPr>
        <w:suppressAutoHyphens/>
        <w:spacing w:line="257" w:lineRule="auto"/>
        <w:contextualSpacing/>
        <w:rPr>
          <w:szCs w:val="18"/>
        </w:rPr>
      </w:pPr>
      <w:r w:rsidRPr="00343D4D">
        <w:rPr>
          <w:szCs w:val="18"/>
        </w:rPr>
        <w:t>Welke concrete maatregelen neemt u om de kwaliteit van de zorg te garanderen bij enerzijds PGB-gefinancierde woon- en zorginitiatieven en anderzijds woon- en zorginitiatieven, die gefinancierd worden door zorg in natura voor personen met autisme met een licht zorgzwaartepakket, om te voorkomen dat zij bijvoorbeeld onterecht gevraagd worden zwaardere zorg af te nemen dan noodzakelijk?</w:t>
      </w:r>
    </w:p>
    <w:p w:rsidR="00FB71BB" w:rsidP="00FB71BB" w:rsidRDefault="00FB71BB" w14:paraId="0B9F515A" w14:textId="77777777">
      <w:pPr>
        <w:suppressAutoHyphens/>
        <w:spacing w:line="257" w:lineRule="auto"/>
        <w:contextualSpacing/>
        <w:rPr>
          <w:szCs w:val="18"/>
        </w:rPr>
      </w:pPr>
    </w:p>
    <w:p w:rsidR="00FB71BB" w:rsidP="00FB71BB" w:rsidRDefault="00FB71BB" w14:paraId="7A00918E" w14:textId="77777777">
      <w:pPr>
        <w:suppressAutoHyphens/>
        <w:spacing w:line="257" w:lineRule="auto"/>
        <w:contextualSpacing/>
        <w:rPr>
          <w:szCs w:val="18"/>
        </w:rPr>
      </w:pPr>
      <w:r>
        <w:rPr>
          <w:szCs w:val="18"/>
        </w:rPr>
        <w:t>Antwoord op vraag 11</w:t>
      </w:r>
    </w:p>
    <w:p w:rsidR="00FB71BB" w:rsidP="00FB71BB" w:rsidRDefault="00FB71BB" w14:paraId="02DCE6B5" w14:textId="77777777">
      <w:pPr>
        <w:suppressAutoHyphens/>
        <w:spacing w:line="257" w:lineRule="auto"/>
        <w:contextualSpacing/>
        <w:rPr>
          <w:szCs w:val="18"/>
        </w:rPr>
      </w:pPr>
      <w:r>
        <w:rPr>
          <w:szCs w:val="18"/>
        </w:rPr>
        <w:t>De IGJ houdt toezicht op de kwaliteit van de zorg in zowel pgb-gefinancierde wooninitiatieven als initiatieven die worden gefinancierd op basis van zorg in natura. Het leveren van zorg die past bij het geïndiceerde zorgprofiel vormt een onderdeel van het toezicht van de IGJ. Het CIZ bepaalt het best passende zorgprofiel/zorgzwaartepakket onafhankelijk van de wens van de zorgaanbieders.</w:t>
      </w:r>
    </w:p>
    <w:p w:rsidR="00FB71BB" w:rsidP="00FB71BB" w:rsidRDefault="00FB71BB" w14:paraId="6F8B5371" w14:textId="77777777">
      <w:pPr>
        <w:suppressAutoHyphens/>
        <w:spacing w:line="257" w:lineRule="auto"/>
        <w:contextualSpacing/>
        <w:rPr>
          <w:szCs w:val="18"/>
        </w:rPr>
      </w:pPr>
    </w:p>
    <w:p w:rsidRPr="00343D4D" w:rsidR="00FB71BB" w:rsidP="00FB71BB" w:rsidRDefault="00FB71BB" w14:paraId="4F0CFDE7" w14:textId="77777777">
      <w:pPr>
        <w:suppressAutoHyphens/>
        <w:spacing w:line="257" w:lineRule="auto"/>
        <w:contextualSpacing/>
        <w:rPr>
          <w:szCs w:val="18"/>
        </w:rPr>
      </w:pPr>
      <w:r>
        <w:rPr>
          <w:szCs w:val="18"/>
        </w:rPr>
        <w:lastRenderedPageBreak/>
        <w:t>Een pgb is bedoeld voor cliënten die zelf hun zorg willen en kunnen inkopen. Dat geldt ook voor cliënten in een wooninitiatief. Het pgb van bewoners van een wooninitiatief blijkt niet in alle gevallen een bewuste keuze te zijn. De Kamerbrief ‘Wooninitiatieven en pgb’ van 12 juni jl.</w:t>
      </w:r>
      <w:r>
        <w:rPr>
          <w:rStyle w:val="Voetnootmarkering"/>
          <w:szCs w:val="18"/>
        </w:rPr>
        <w:footnoteReference w:id="1"/>
      </w:r>
      <w:r>
        <w:rPr>
          <w:szCs w:val="18"/>
        </w:rPr>
        <w:t xml:space="preserve"> beschrijft maatregelen die bijdragen aan de kwaliteit van zorg in pgb-gefinancierde wooninitiatieven. De maatregelen beogen de ‘gedwongen’ inzet van het pgb te verminderen en betrokken partijen te ondersteunen bij hun taken en verantwoordelijkheden.</w:t>
      </w:r>
    </w:p>
    <w:p w:rsidR="00FB71BB" w:rsidP="00FB71BB" w:rsidRDefault="00FB71BB" w14:paraId="40756E65" w14:textId="77777777">
      <w:pPr>
        <w:suppressAutoHyphens/>
      </w:pPr>
    </w:p>
    <w:p w:rsidR="00F373D7" w:rsidRDefault="00F373D7" w14:paraId="7418EC9C" w14:textId="77777777"/>
    <w:sectPr w:rsidR="00F373D7" w:rsidSect="00FB71BB">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D8B6" w14:textId="77777777" w:rsidR="00FB71BB" w:rsidRDefault="00FB71BB" w:rsidP="00FB71BB">
      <w:pPr>
        <w:spacing w:after="0" w:line="240" w:lineRule="auto"/>
      </w:pPr>
      <w:r>
        <w:separator/>
      </w:r>
    </w:p>
  </w:endnote>
  <w:endnote w:type="continuationSeparator" w:id="0">
    <w:p w14:paraId="34F03D65" w14:textId="77777777" w:rsidR="00FB71BB" w:rsidRDefault="00FB71BB" w:rsidP="00FB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30BE" w14:textId="77777777" w:rsidR="00FB71BB" w:rsidRPr="00FB71BB" w:rsidRDefault="00FB71BB" w:rsidP="00FB71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8876" w14:textId="77777777" w:rsidR="00FB71BB" w:rsidRPr="00FB71BB" w:rsidRDefault="00FB71BB" w:rsidP="00FB71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4AFD" w14:textId="77777777" w:rsidR="00FB71BB" w:rsidRPr="00FB71BB" w:rsidRDefault="00FB71BB" w:rsidP="00FB71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FB5A" w14:textId="77777777" w:rsidR="00FB71BB" w:rsidRDefault="00FB71BB" w:rsidP="00FB71BB">
      <w:pPr>
        <w:spacing w:after="0" w:line="240" w:lineRule="auto"/>
      </w:pPr>
      <w:r>
        <w:separator/>
      </w:r>
    </w:p>
  </w:footnote>
  <w:footnote w:type="continuationSeparator" w:id="0">
    <w:p w14:paraId="38845773" w14:textId="77777777" w:rsidR="00FB71BB" w:rsidRDefault="00FB71BB" w:rsidP="00FB71BB">
      <w:pPr>
        <w:spacing w:after="0" w:line="240" w:lineRule="auto"/>
      </w:pPr>
      <w:r>
        <w:continuationSeparator/>
      </w:r>
    </w:p>
  </w:footnote>
  <w:footnote w:id="1">
    <w:p w14:paraId="01E9DCDC" w14:textId="77777777" w:rsidR="00FB71BB" w:rsidRPr="00605C1E" w:rsidRDefault="00FB71BB" w:rsidP="00FB71BB">
      <w:pPr>
        <w:pStyle w:val="Voetnoottekst"/>
        <w:rPr>
          <w:sz w:val="16"/>
          <w:szCs w:val="16"/>
        </w:rPr>
      </w:pPr>
      <w:r w:rsidRPr="00605C1E">
        <w:rPr>
          <w:rStyle w:val="Voetnootmarkering"/>
          <w:sz w:val="16"/>
          <w:szCs w:val="16"/>
        </w:rPr>
        <w:footnoteRef/>
      </w:r>
      <w:r w:rsidRPr="00605C1E">
        <w:rPr>
          <w:sz w:val="16"/>
          <w:szCs w:val="16"/>
        </w:rPr>
        <w:t xml:space="preserve"> TK 2023 – 2024, 25 657, nr. 360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5768" w14:textId="77777777" w:rsidR="00FB71BB" w:rsidRPr="00FB71BB" w:rsidRDefault="00FB71BB" w:rsidP="00FB71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EB22" w14:textId="77777777" w:rsidR="00FB71BB" w:rsidRPr="00FB71BB" w:rsidRDefault="00FB71BB" w:rsidP="00FB71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BEF9" w14:textId="77777777" w:rsidR="00FB71BB" w:rsidRPr="00FB71BB" w:rsidRDefault="00FB71BB" w:rsidP="00FB71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75517"/>
    <w:multiLevelType w:val="hybridMultilevel"/>
    <w:tmpl w:val="4776C7EE"/>
    <w:lvl w:ilvl="0" w:tplc="00EE1E9E">
      <w:start w:val="1"/>
      <w:numFmt w:val="decimal"/>
      <w:lvlText w:val="%1."/>
      <w:lvlJc w:val="left"/>
      <w:pPr>
        <w:ind w:left="720" w:hanging="360"/>
      </w:pPr>
    </w:lvl>
    <w:lvl w:ilvl="1" w:tplc="0E3E9F1C">
      <w:start w:val="1"/>
      <w:numFmt w:val="lowerLetter"/>
      <w:lvlText w:val="%2."/>
      <w:lvlJc w:val="left"/>
      <w:pPr>
        <w:ind w:left="1440" w:hanging="360"/>
      </w:pPr>
    </w:lvl>
    <w:lvl w:ilvl="2" w:tplc="861C55A4">
      <w:start w:val="1"/>
      <w:numFmt w:val="lowerRoman"/>
      <w:lvlText w:val="%3."/>
      <w:lvlJc w:val="right"/>
      <w:pPr>
        <w:ind w:left="2160" w:hanging="180"/>
      </w:pPr>
    </w:lvl>
    <w:lvl w:ilvl="3" w:tplc="D8E4445A">
      <w:start w:val="1"/>
      <w:numFmt w:val="decimal"/>
      <w:lvlText w:val="%4."/>
      <w:lvlJc w:val="left"/>
      <w:pPr>
        <w:ind w:left="2880" w:hanging="360"/>
      </w:pPr>
    </w:lvl>
    <w:lvl w:ilvl="4" w:tplc="8818614E">
      <w:start w:val="1"/>
      <w:numFmt w:val="lowerLetter"/>
      <w:lvlText w:val="%5."/>
      <w:lvlJc w:val="left"/>
      <w:pPr>
        <w:ind w:left="3600" w:hanging="360"/>
      </w:pPr>
    </w:lvl>
    <w:lvl w:ilvl="5" w:tplc="471EA442">
      <w:start w:val="1"/>
      <w:numFmt w:val="lowerRoman"/>
      <w:lvlText w:val="%6."/>
      <w:lvlJc w:val="right"/>
      <w:pPr>
        <w:ind w:left="4320" w:hanging="180"/>
      </w:pPr>
    </w:lvl>
    <w:lvl w:ilvl="6" w:tplc="F52885C4">
      <w:start w:val="1"/>
      <w:numFmt w:val="decimal"/>
      <w:lvlText w:val="%7."/>
      <w:lvlJc w:val="left"/>
      <w:pPr>
        <w:ind w:left="5040" w:hanging="360"/>
      </w:pPr>
    </w:lvl>
    <w:lvl w:ilvl="7" w:tplc="42BA6600">
      <w:start w:val="1"/>
      <w:numFmt w:val="lowerLetter"/>
      <w:lvlText w:val="%8."/>
      <w:lvlJc w:val="left"/>
      <w:pPr>
        <w:ind w:left="5760" w:hanging="360"/>
      </w:pPr>
    </w:lvl>
    <w:lvl w:ilvl="8" w:tplc="9C08629C">
      <w:start w:val="1"/>
      <w:numFmt w:val="lowerRoman"/>
      <w:lvlText w:val="%9."/>
      <w:lvlJc w:val="right"/>
      <w:pPr>
        <w:ind w:left="6480" w:hanging="180"/>
      </w:pPr>
    </w:lvl>
  </w:abstractNum>
  <w:num w:numId="1" w16cid:durableId="362293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BB"/>
    <w:rsid w:val="00F373D7"/>
    <w:rsid w:val="00FB7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7D75"/>
  <w15:chartTrackingRefBased/>
  <w15:docId w15:val="{5FC6D907-D1C2-4322-AB53-6F218AF5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FB71B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B71BB"/>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B71BB"/>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FB71B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B71B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B71B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B71BB"/>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FB71BB"/>
    <w:rPr>
      <w:color w:val="0563C1" w:themeColor="hyperlink"/>
      <w:u w:val="single"/>
    </w:rPr>
  </w:style>
  <w:style w:type="character" w:styleId="Voetnootmarkering">
    <w:name w:val="footnote reference"/>
    <w:basedOn w:val="Standaardalinea-lettertype"/>
    <w:uiPriority w:val="99"/>
    <w:unhideWhenUsed/>
    <w:rsid w:val="00FB7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ibud.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1130</ap:Words>
  <ap:Characters>6220</ap:Characters>
  <ap:DocSecurity>0</ap:DocSecurity>
  <ap:Lines>51</ap:Lines>
  <ap:Paragraphs>14</ap:Paragraphs>
  <ap:ScaleCrop>false</ap:ScaleCrop>
  <ap:LinksUpToDate>false</ap:LinksUpToDate>
  <ap:CharactersWithSpaces>7336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2024-10-17T11:50:00.0000000Z</dcterms:created>
  <dcterms:modified xsi:type="dcterms:W3CDTF">2024-10-17T11:51:00.0000000Z</dcterms:modified>
  <version/>
  <category/>
</coreProperties>
</file>