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EBA" w:rsidRDefault="00000000" w14:paraId="0CA5C3E7" w14:textId="77777777">
      <w:sdt>
        <w:sdtPr>
          <w:id w:val="463556354"/>
          <w:dataBinding w:prefixMappings="xmlns:ns0='docgen-assistant'" w:xpath="/ns0:CustomXml[1]/ns0:Variables[1]/ns0:Variable[1]/ns0:Value[1]" w:storeItemID="{69D6EEC8-C9E1-4904-8281-341938F2DEB0}"/>
          <w:text/>
        </w:sdtPr>
        <w:sdtContent>
          <w:r w:rsidR="005E4B1D">
            <w:t>Geachte Voorzitter,</w:t>
          </w:r>
        </w:sdtContent>
      </w:sdt>
    </w:p>
    <w:p w:rsidR="00E44EBA" w:rsidRDefault="00E44EBA" w14:paraId="4E5920FA" w14:textId="77777777"/>
    <w:p w:rsidR="001F7077" w:rsidP="001F7077" w:rsidRDefault="001F7077" w14:paraId="4C52E92B" w14:textId="77777777">
      <w:bookmarkStart w:name="_Hlk180057966" w:id="0"/>
      <w:r>
        <w:t xml:space="preserve">Middels deze brief informeer ik de Kamer over de beleidsvoorstellen uit de Ontwerpbegroting </w:t>
      </w:r>
      <w:r w:rsidR="0050663A">
        <w:t>H22 van VRO</w:t>
      </w:r>
      <w:r>
        <w:t xml:space="preserve"> met significante financiële gevolgen (€ 20 miljoen of meer in enig jaar). </w:t>
      </w:r>
      <w:bookmarkEnd w:id="0"/>
      <w:r>
        <w:t xml:space="preserve">Daarbij wordt </w:t>
      </w:r>
      <w:proofErr w:type="gramStart"/>
      <w:r>
        <w:t>conform</w:t>
      </w:r>
      <w:proofErr w:type="gramEnd"/>
      <w:r>
        <w:t xml:space="preserve"> wetsartikel 3.1 van de Comptabiliteitswet 2016 per voorstel ingegaan op onder andere doelen,</w:t>
      </w:r>
      <w:r w:rsidR="002661D7">
        <w:t xml:space="preserve"> </w:t>
      </w:r>
      <w:r>
        <w:t>instrumenten, financiële gevolgen en de verwachte doeltreffendheid en doelmatigheid. Sinds eind 2021 gebeurt dit Rijksbreed via de werkwijze “Beleidskeuzes uitgelegd”, zie Kamerstuk 31865, nr. 198.</w:t>
      </w:r>
    </w:p>
    <w:p w:rsidR="00E44EBA" w:rsidP="001F7077" w:rsidRDefault="001F7077" w14:paraId="23C7E200" w14:textId="77777777">
      <w:r>
        <w:t xml:space="preserve">Voor het </w:t>
      </w:r>
      <w:r w:rsidR="00635E51">
        <w:t>M</w:t>
      </w:r>
      <w:r>
        <w:t xml:space="preserve">inisterie </w:t>
      </w:r>
      <w:r w:rsidR="0050663A">
        <w:t>van Volkshuisvesting en Ruimtelijke Ordening</w:t>
      </w:r>
      <w:r>
        <w:t xml:space="preserve"> zijn in deze brief de volgende onderwerpen opgenomen:</w:t>
      </w:r>
    </w:p>
    <w:p w:rsidR="001F7077" w:rsidP="001F7077" w:rsidRDefault="001F7077" w14:paraId="4635E980" w14:textId="77777777"/>
    <w:p w:rsidR="001F7077" w:rsidP="001F7077" w:rsidRDefault="001F7077" w14:paraId="1D4BA2A0" w14:textId="77777777">
      <w:pPr>
        <w:rPr>
          <w:i/>
          <w:iCs/>
        </w:rPr>
      </w:pPr>
      <w:r w:rsidRPr="001F7077">
        <w:rPr>
          <w:i/>
          <w:iCs/>
        </w:rPr>
        <w:t xml:space="preserve">Begrotingshoofdstuk </w:t>
      </w:r>
      <w:r w:rsidR="0050663A">
        <w:rPr>
          <w:i/>
          <w:iCs/>
        </w:rPr>
        <w:t>22</w:t>
      </w:r>
      <w:r w:rsidRPr="001F7077">
        <w:rPr>
          <w:i/>
          <w:iCs/>
        </w:rPr>
        <w:t>:</w:t>
      </w:r>
    </w:p>
    <w:p w:rsidRPr="0050663A" w:rsidR="001F7077" w:rsidP="0050663A" w:rsidRDefault="0050663A" w14:paraId="79AAA6C5" w14:textId="77777777">
      <w:pPr>
        <w:pStyle w:val="Lijstalinea"/>
        <w:numPr>
          <w:ilvl w:val="0"/>
          <w:numId w:val="12"/>
        </w:numPr>
      </w:pPr>
      <w:bookmarkStart w:name="_Hlk179462371" w:id="1"/>
      <w:r w:rsidRPr="0050663A">
        <w:t>Opschalen woningbouw</w:t>
      </w:r>
    </w:p>
    <w:p w:rsidRPr="0050663A" w:rsidR="0050663A" w:rsidP="0050663A" w:rsidRDefault="0050663A" w14:paraId="22CCBAD2" w14:textId="77777777">
      <w:pPr>
        <w:pStyle w:val="Lijstalinea"/>
        <w:numPr>
          <w:ilvl w:val="0"/>
          <w:numId w:val="12"/>
        </w:numPr>
      </w:pPr>
      <w:r w:rsidRPr="0050663A">
        <w:t>Uitvoering woningbouw</w:t>
      </w:r>
    </w:p>
    <w:p w:rsidRPr="0050663A" w:rsidR="0050663A" w:rsidP="0050663A" w:rsidRDefault="0050663A" w14:paraId="2327C975" w14:textId="77777777">
      <w:pPr>
        <w:pStyle w:val="Lijstalinea"/>
        <w:numPr>
          <w:ilvl w:val="0"/>
          <w:numId w:val="12"/>
        </w:numPr>
      </w:pPr>
      <w:r w:rsidRPr="0050663A">
        <w:t>Grootschalige woningbouwgebieden</w:t>
      </w:r>
    </w:p>
    <w:p w:rsidRPr="0050663A" w:rsidR="0050663A" w:rsidP="0050663A" w:rsidRDefault="0050663A" w14:paraId="486845B3" w14:textId="77777777">
      <w:pPr>
        <w:pStyle w:val="Lijstalinea"/>
        <w:numPr>
          <w:ilvl w:val="0"/>
          <w:numId w:val="12"/>
        </w:numPr>
      </w:pPr>
      <w:r w:rsidRPr="0050663A">
        <w:t>Woningbouwimpuls 2.0</w:t>
      </w:r>
      <w:r>
        <w:t xml:space="preserve"> en r</w:t>
      </w:r>
      <w:r w:rsidRPr="0050663A">
        <w:t>ealisatiestimulans</w:t>
      </w:r>
      <w:r>
        <w:t xml:space="preserve"> (financiële ondersteuning voor betaalbare woningbouw) </w:t>
      </w:r>
    </w:p>
    <w:bookmarkEnd w:id="1"/>
    <w:p w:rsidR="001F7077" w:rsidRDefault="001F7077" w14:paraId="6346C6B5" w14:textId="77777777">
      <w:pPr>
        <w:spacing w:line="240" w:lineRule="auto"/>
      </w:pPr>
    </w:p>
    <w:p w:rsidR="005E4B1D" w:rsidRDefault="005E4B1D" w14:paraId="2D41F010" w14:textId="77777777">
      <w:pPr>
        <w:spacing w:line="240" w:lineRule="auto"/>
      </w:pPr>
      <w:r>
        <w:br w:type="page"/>
      </w:r>
    </w:p>
    <w:p w:rsidR="002661D7" w:rsidRDefault="002661D7" w14:paraId="55A35547" w14:textId="77777777">
      <w:pPr>
        <w:spacing w:line="240" w:lineRule="auto"/>
      </w:pPr>
    </w:p>
    <w:p w:rsidRPr="001F7077" w:rsidR="001F7077" w:rsidP="001F7077" w:rsidRDefault="0050663A" w14:paraId="760B58DC" w14:textId="77777777">
      <w:pPr>
        <w:pStyle w:val="Lijstalinea"/>
        <w:numPr>
          <w:ilvl w:val="0"/>
          <w:numId w:val="7"/>
        </w:numPr>
        <w:rPr>
          <w:b/>
          <w:bCs/>
        </w:rPr>
      </w:pPr>
      <w:r>
        <w:rPr>
          <w:b/>
          <w:bCs/>
        </w:rPr>
        <w:t>Opschalen woningbouw</w:t>
      </w:r>
    </w:p>
    <w:p w:rsidR="001F7077" w:rsidP="001F7077" w:rsidRDefault="001F7077" w14:paraId="2C5CE87C" w14:textId="77777777"/>
    <w:tbl>
      <w:tblPr>
        <w:tblStyle w:val="NormalTable0"/>
        <w:tblW w:w="7442"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2859"/>
        <w:gridCol w:w="4583"/>
      </w:tblGrid>
      <w:tr w:rsidRPr="00946C18" w:rsidR="001F7077" w:rsidTr="661E2C6A" w14:paraId="57D5616F" w14:textId="77777777">
        <w:trPr>
          <w:trHeight w:val="543"/>
        </w:trPr>
        <w:tc>
          <w:tcPr>
            <w:tcW w:w="7442" w:type="dxa"/>
            <w:gridSpan w:val="2"/>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vAlign w:val="center"/>
            <w:hideMark/>
          </w:tcPr>
          <w:p w:rsidRPr="00946C18" w:rsidR="001F7077" w:rsidP="00BF6E39" w:rsidRDefault="001F7077" w14:paraId="034F9A91" w14:textId="77777777">
            <w:pPr>
              <w:spacing w:line="240" w:lineRule="auto"/>
              <w:rPr>
                <w:rFonts w:eastAsia="Verdana" w:cs="Calibri"/>
                <w:b/>
                <w:noProof/>
                <w:color w:val="auto"/>
                <w:sz w:val="16"/>
                <w:szCs w:val="16"/>
              </w:rPr>
            </w:pPr>
            <w:bookmarkStart w:name="_Hlk86329068" w:id="2"/>
            <w:r w:rsidRPr="00946C18">
              <w:rPr>
                <w:rFonts w:eastAsia="Verdana" w:cs="Calibri"/>
                <w:b/>
                <w:noProof/>
                <w:color w:val="auto"/>
                <w:sz w:val="16"/>
                <w:szCs w:val="16"/>
              </w:rPr>
              <w:t>Beleidskeuzes uitgelegd</w:t>
            </w:r>
            <w:r w:rsidRPr="00946C18">
              <w:rPr>
                <w:color w:val="auto"/>
              </w:rPr>
              <w:t xml:space="preserve"> </w:t>
            </w:r>
          </w:p>
          <w:p w:rsidRPr="00946C18" w:rsidR="001F7077" w:rsidP="00BF6E39" w:rsidRDefault="001F7077" w14:paraId="1FE96506" w14:textId="77777777">
            <w:pPr>
              <w:spacing w:line="240" w:lineRule="auto"/>
              <w:rPr>
                <w:rFonts w:eastAsia="Verdana" w:cs="Calibri"/>
                <w:noProof/>
                <w:color w:val="auto"/>
                <w:sz w:val="16"/>
                <w:szCs w:val="16"/>
              </w:rPr>
            </w:pPr>
          </w:p>
        </w:tc>
      </w:tr>
      <w:tr w:rsidRPr="00946C18" w:rsidR="001F7077" w:rsidTr="661E2C6A" w14:paraId="30DE3DE3" w14:textId="77777777">
        <w:trPr>
          <w:trHeight w:val="741"/>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946C18" w:rsidR="001F7077" w:rsidP="00BF6E39" w:rsidRDefault="001F7077" w14:paraId="3007D064" w14:textId="77777777">
            <w:pPr>
              <w:spacing w:line="240" w:lineRule="auto"/>
              <w:ind w:left="103"/>
              <w:rPr>
                <w:rFonts w:eastAsia="Verdana" w:cs="Calibri"/>
                <w:b/>
                <w:noProof/>
                <w:color w:val="auto"/>
                <w:sz w:val="16"/>
                <w:szCs w:val="16"/>
              </w:rPr>
            </w:pPr>
          </w:p>
          <w:p w:rsidRPr="00946C18" w:rsidR="001F7077" w:rsidP="001F7077" w:rsidRDefault="001F7077" w14:paraId="36D269D7" w14:textId="77777777">
            <w:pPr>
              <w:numPr>
                <w:ilvl w:val="0"/>
                <w:numId w:val="6"/>
              </w:numPr>
              <w:autoSpaceDN/>
              <w:spacing w:after="160" w:line="240" w:lineRule="auto"/>
              <w:rPr>
                <w:rFonts w:eastAsia="Verdana" w:cs="Calibri"/>
                <w:b/>
                <w:noProof/>
                <w:color w:val="auto"/>
                <w:sz w:val="16"/>
                <w:szCs w:val="16"/>
              </w:rPr>
            </w:pPr>
            <w:r w:rsidRPr="00946C18">
              <w:rPr>
                <w:rFonts w:eastAsia="Verdana" w:cs="Calibri"/>
                <w:b/>
                <w:noProof/>
                <w:color w:val="auto"/>
                <w:sz w:val="16"/>
                <w:szCs w:val="16"/>
              </w:rPr>
              <w:t xml:space="preserve">Doel(en) </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00C22078" w:rsidP="00C22078" w:rsidRDefault="003B0D6B" w14:paraId="41332AF5" w14:textId="77777777">
            <w:pPr>
              <w:spacing w:before="10" w:line="218" w:lineRule="exact"/>
              <w:ind w:left="101" w:right="154"/>
              <w:rPr>
                <w:rFonts w:eastAsia="Verdana" w:cs="Calibri"/>
                <w:noProof/>
                <w:color w:val="auto"/>
                <w:sz w:val="16"/>
                <w:szCs w:val="16"/>
                <w:lang w:val="nl-NL"/>
              </w:rPr>
            </w:pPr>
            <w:r>
              <w:rPr>
                <w:rFonts w:eastAsia="Verdana" w:cs="Calibri"/>
                <w:noProof/>
                <w:color w:val="auto"/>
                <w:sz w:val="16"/>
                <w:szCs w:val="16"/>
                <w:lang w:val="nl-NL"/>
              </w:rPr>
              <w:t xml:space="preserve">Het hoofddoel is om </w:t>
            </w:r>
            <w:r w:rsidRPr="00C22078">
              <w:rPr>
                <w:rStyle w:val="cf01"/>
                <w:lang w:val="nl-NL"/>
              </w:rPr>
              <w:t xml:space="preserve">100.000 woningen per jaar te </w:t>
            </w:r>
            <w:r w:rsidR="00400CC8">
              <w:rPr>
                <w:rStyle w:val="cf01"/>
                <w:lang w:val="nl-NL"/>
              </w:rPr>
              <w:t>re</w:t>
            </w:r>
            <w:r w:rsidRPr="00400CC8" w:rsidR="00400CC8">
              <w:rPr>
                <w:rStyle w:val="cf01"/>
                <w:lang w:val="nl-NL"/>
              </w:rPr>
              <w:t>aliseren</w:t>
            </w:r>
            <w:r w:rsidRPr="00C22078">
              <w:rPr>
                <w:rStyle w:val="cf01"/>
                <w:lang w:val="nl-NL"/>
              </w:rPr>
              <w:t>.</w:t>
            </w:r>
            <w:r>
              <w:rPr>
                <w:rStyle w:val="cf01"/>
                <w:lang w:val="nl-NL"/>
              </w:rPr>
              <w:t xml:space="preserve"> Om dit te behalen moeten we </w:t>
            </w:r>
            <w:r>
              <w:rPr>
                <w:rFonts w:eastAsia="Verdana" w:cs="Calibri"/>
                <w:noProof/>
                <w:color w:val="auto"/>
                <w:sz w:val="16"/>
                <w:szCs w:val="16"/>
                <w:lang w:val="nl-NL"/>
              </w:rPr>
              <w:t>s</w:t>
            </w:r>
            <w:r w:rsidRPr="00B25C76" w:rsidR="00F32CB9">
              <w:rPr>
                <w:rFonts w:eastAsia="Verdana" w:cs="Calibri"/>
                <w:noProof/>
                <w:color w:val="auto"/>
                <w:sz w:val="16"/>
                <w:szCs w:val="16"/>
                <w:lang w:val="nl-NL"/>
              </w:rPr>
              <w:t>limmer, innovatiever en met minder menskracht woningen bouwen</w:t>
            </w:r>
            <w:r>
              <w:rPr>
                <w:rFonts w:eastAsia="Verdana" w:cs="Calibri"/>
                <w:noProof/>
                <w:color w:val="auto"/>
                <w:sz w:val="16"/>
                <w:szCs w:val="16"/>
                <w:lang w:val="nl-NL"/>
              </w:rPr>
              <w:t>.</w:t>
            </w:r>
            <w:r w:rsidR="00C22078">
              <w:rPr>
                <w:rFonts w:eastAsia="Verdana" w:cs="Calibri"/>
                <w:noProof/>
                <w:color w:val="auto"/>
                <w:sz w:val="16"/>
                <w:szCs w:val="16"/>
                <w:lang w:val="nl-NL"/>
              </w:rPr>
              <w:t xml:space="preserve"> </w:t>
            </w:r>
            <w:r w:rsidRPr="00C22078">
              <w:rPr>
                <w:rFonts w:eastAsia="Verdana" w:cs="Calibri"/>
                <w:noProof/>
                <w:color w:val="auto"/>
                <w:sz w:val="16"/>
                <w:szCs w:val="16"/>
                <w:lang w:val="nl-NL"/>
              </w:rPr>
              <w:t>Om dit te ber</w:t>
            </w:r>
            <w:r>
              <w:rPr>
                <w:rFonts w:eastAsia="Verdana" w:cs="Calibri"/>
                <w:noProof/>
                <w:color w:val="auto"/>
                <w:sz w:val="16"/>
                <w:szCs w:val="16"/>
                <w:lang w:val="nl-NL"/>
              </w:rPr>
              <w:t>e</w:t>
            </w:r>
            <w:r w:rsidRPr="00C22078">
              <w:rPr>
                <w:rFonts w:eastAsia="Verdana" w:cs="Calibri"/>
                <w:noProof/>
                <w:color w:val="auto"/>
                <w:sz w:val="16"/>
                <w:szCs w:val="16"/>
                <w:lang w:val="nl-NL"/>
              </w:rPr>
              <w:t>iken moeten we aanvul</w:t>
            </w:r>
            <w:r>
              <w:rPr>
                <w:rFonts w:eastAsia="Verdana" w:cs="Calibri"/>
                <w:noProof/>
                <w:color w:val="auto"/>
                <w:sz w:val="16"/>
                <w:szCs w:val="16"/>
                <w:lang w:val="nl-NL"/>
              </w:rPr>
              <w:t>l</w:t>
            </w:r>
            <w:r w:rsidRPr="00C22078">
              <w:rPr>
                <w:rFonts w:eastAsia="Verdana" w:cs="Calibri"/>
                <w:noProof/>
                <w:color w:val="auto"/>
                <w:sz w:val="16"/>
                <w:szCs w:val="16"/>
                <w:lang w:val="nl-NL"/>
              </w:rPr>
              <w:t xml:space="preserve">end extra </w:t>
            </w:r>
            <w:r>
              <w:rPr>
                <w:rFonts w:eastAsia="Verdana" w:cs="Calibri"/>
                <w:noProof/>
                <w:color w:val="auto"/>
                <w:sz w:val="16"/>
                <w:szCs w:val="16"/>
                <w:lang w:val="nl-NL"/>
              </w:rPr>
              <w:t>m</w:t>
            </w:r>
            <w:r w:rsidRPr="00C22078">
              <w:rPr>
                <w:rFonts w:eastAsia="Verdana" w:cs="Calibri"/>
                <w:noProof/>
                <w:color w:val="auto"/>
                <w:sz w:val="16"/>
                <w:szCs w:val="16"/>
                <w:lang w:val="nl-NL"/>
              </w:rPr>
              <w:t>aatregelen n</w:t>
            </w:r>
            <w:r>
              <w:rPr>
                <w:rFonts w:eastAsia="Verdana" w:cs="Calibri"/>
                <w:noProof/>
                <w:color w:val="auto"/>
                <w:sz w:val="16"/>
                <w:szCs w:val="16"/>
                <w:lang w:val="nl-NL"/>
              </w:rPr>
              <w:t xml:space="preserve">emen </w:t>
            </w:r>
            <w:r w:rsidR="002661D7">
              <w:rPr>
                <w:rFonts w:eastAsia="Verdana" w:cs="Calibri"/>
                <w:noProof/>
                <w:color w:val="auto"/>
                <w:sz w:val="16"/>
                <w:szCs w:val="16"/>
                <w:lang w:val="nl-NL"/>
              </w:rPr>
              <w:t xml:space="preserve">(1) </w:t>
            </w:r>
            <w:r>
              <w:rPr>
                <w:rFonts w:eastAsia="Verdana" w:cs="Calibri"/>
                <w:noProof/>
                <w:color w:val="auto"/>
                <w:sz w:val="16"/>
                <w:szCs w:val="16"/>
                <w:lang w:val="nl-NL"/>
              </w:rPr>
              <w:t>op het gebied van</w:t>
            </w:r>
            <w:r w:rsidR="00635E51">
              <w:rPr>
                <w:rFonts w:eastAsia="Verdana" w:cs="Calibri"/>
                <w:noProof/>
                <w:color w:val="auto"/>
                <w:sz w:val="16"/>
                <w:szCs w:val="16"/>
                <w:lang w:val="nl-NL"/>
              </w:rPr>
              <w:t xml:space="preserve"> </w:t>
            </w:r>
            <w:r w:rsidR="00C22078">
              <w:rPr>
                <w:rFonts w:eastAsia="Verdana" w:cs="Calibri"/>
                <w:noProof/>
                <w:color w:val="auto"/>
                <w:sz w:val="16"/>
                <w:szCs w:val="16"/>
                <w:lang w:val="nl-NL"/>
              </w:rPr>
              <w:t xml:space="preserve">het </w:t>
            </w:r>
            <w:r w:rsidR="003063B4">
              <w:rPr>
                <w:rFonts w:eastAsia="Verdana" w:cs="Calibri"/>
                <w:noProof/>
                <w:color w:val="auto"/>
                <w:sz w:val="16"/>
                <w:szCs w:val="16"/>
                <w:lang w:val="nl-NL"/>
              </w:rPr>
              <w:t>aanjagen van innovatie door</w:t>
            </w:r>
            <w:r w:rsidR="00C22078">
              <w:rPr>
                <w:rFonts w:eastAsia="Verdana" w:cs="Calibri"/>
                <w:noProof/>
                <w:color w:val="auto"/>
                <w:sz w:val="16"/>
                <w:szCs w:val="16"/>
                <w:lang w:val="nl-NL"/>
              </w:rPr>
              <w:t xml:space="preserve"> </w:t>
            </w:r>
            <w:r w:rsidRPr="00B25C76" w:rsidR="00F32CB9">
              <w:rPr>
                <w:rFonts w:eastAsia="Verdana" w:cs="Calibri"/>
                <w:noProof/>
                <w:color w:val="auto"/>
                <w:sz w:val="16"/>
                <w:szCs w:val="16"/>
                <w:lang w:val="nl-NL"/>
              </w:rPr>
              <w:t xml:space="preserve">onderzoek, pilots en beleidsmaatregelen (zowel in de opstart- als opschalingsfase) </w:t>
            </w:r>
            <w:r w:rsidR="007E46BE">
              <w:rPr>
                <w:rFonts w:eastAsia="Verdana" w:cs="Calibri"/>
                <w:noProof/>
                <w:color w:val="auto"/>
                <w:sz w:val="16"/>
                <w:szCs w:val="16"/>
                <w:lang w:val="nl-NL"/>
              </w:rPr>
              <w:t xml:space="preserve">om </w:t>
            </w:r>
            <w:r w:rsidR="00C22078">
              <w:rPr>
                <w:rFonts w:eastAsia="Verdana" w:cs="Calibri"/>
                <w:noProof/>
                <w:color w:val="auto"/>
                <w:sz w:val="16"/>
                <w:szCs w:val="16"/>
                <w:lang w:val="nl-NL"/>
              </w:rPr>
              <w:t>(2) b</w:t>
            </w:r>
            <w:r w:rsidR="003063B4">
              <w:rPr>
                <w:rFonts w:eastAsia="Verdana" w:cs="Calibri"/>
                <w:noProof/>
                <w:color w:val="auto"/>
                <w:sz w:val="16"/>
                <w:szCs w:val="16"/>
                <w:lang w:val="nl-NL"/>
              </w:rPr>
              <w:t xml:space="preserve">elemmeringen weg te nemen. </w:t>
            </w:r>
          </w:p>
          <w:p w:rsidRPr="00C22078" w:rsidR="00F32CB9" w:rsidP="00C22078" w:rsidRDefault="00F32CB9" w14:paraId="6303C847" w14:textId="77777777">
            <w:pPr>
              <w:pStyle w:val="Lijstalinea"/>
              <w:numPr>
                <w:ilvl w:val="0"/>
                <w:numId w:val="15"/>
              </w:numPr>
              <w:spacing w:before="10" w:line="218" w:lineRule="exact"/>
              <w:ind w:right="154"/>
              <w:rPr>
                <w:rFonts w:eastAsia="Verdana" w:cs="Calibri"/>
                <w:noProof/>
                <w:color w:val="auto"/>
                <w:sz w:val="16"/>
                <w:szCs w:val="16"/>
                <w:lang w:val="nl-NL"/>
              </w:rPr>
            </w:pPr>
            <w:r w:rsidRPr="00C22078">
              <w:rPr>
                <w:rFonts w:eastAsia="Verdana" w:cs="Calibri"/>
                <w:noProof/>
                <w:color w:val="auto"/>
                <w:sz w:val="16"/>
                <w:szCs w:val="16"/>
                <w:lang w:val="nl-NL"/>
              </w:rPr>
              <w:t xml:space="preserve">Innovatie heeft betrekking op besparing op menskracht en materiaal inclusief bio-based en circulair bouwen. </w:t>
            </w:r>
            <w:r w:rsidR="00C76AA9">
              <w:rPr>
                <w:rFonts w:eastAsia="Verdana" w:cs="Calibri"/>
                <w:noProof/>
                <w:color w:val="auto"/>
                <w:sz w:val="16"/>
                <w:szCs w:val="16"/>
                <w:lang w:val="nl-NL"/>
              </w:rPr>
              <w:t>We zetten daarom in op</w:t>
            </w:r>
            <w:r w:rsidRPr="00C22078">
              <w:rPr>
                <w:rFonts w:eastAsia="Verdana" w:cs="Calibri"/>
                <w:noProof/>
                <w:color w:val="auto"/>
                <w:sz w:val="16"/>
                <w:szCs w:val="16"/>
                <w:lang w:val="nl-NL"/>
              </w:rPr>
              <w:t xml:space="preserve"> </w:t>
            </w:r>
            <w:r w:rsidR="00C76AA9">
              <w:rPr>
                <w:rFonts w:eastAsia="Verdana" w:cs="Calibri"/>
                <w:noProof/>
                <w:color w:val="auto"/>
                <w:sz w:val="16"/>
                <w:szCs w:val="16"/>
                <w:lang w:val="nl-NL"/>
              </w:rPr>
              <w:t xml:space="preserve">verdere </w:t>
            </w:r>
            <w:r w:rsidRPr="00C22078">
              <w:rPr>
                <w:rFonts w:eastAsia="Verdana" w:cs="Calibri"/>
                <w:noProof/>
                <w:color w:val="auto"/>
                <w:sz w:val="16"/>
                <w:szCs w:val="16"/>
                <w:lang w:val="nl-NL"/>
              </w:rPr>
              <w:t xml:space="preserve">kennisdeling innovatie, typegoedkeuring, geluidadaptief bouwen en </w:t>
            </w:r>
            <w:r w:rsidR="00C76AA9">
              <w:rPr>
                <w:rFonts w:eastAsia="Verdana" w:cs="Calibri"/>
                <w:noProof/>
                <w:color w:val="auto"/>
                <w:sz w:val="16"/>
                <w:szCs w:val="16"/>
                <w:lang w:val="nl-NL"/>
              </w:rPr>
              <w:t xml:space="preserve">de introductie van </w:t>
            </w:r>
            <w:r w:rsidRPr="00C22078">
              <w:rPr>
                <w:rFonts w:eastAsia="Verdana" w:cs="Calibri"/>
                <w:noProof/>
                <w:color w:val="auto"/>
                <w:sz w:val="16"/>
                <w:szCs w:val="16"/>
                <w:lang w:val="nl-NL"/>
              </w:rPr>
              <w:t>parallel plannen</w:t>
            </w:r>
            <w:r w:rsidR="00C76AA9">
              <w:rPr>
                <w:rFonts w:eastAsia="Verdana" w:cs="Calibri"/>
                <w:noProof/>
                <w:color w:val="auto"/>
                <w:sz w:val="16"/>
                <w:szCs w:val="16"/>
                <w:lang w:val="nl-NL"/>
              </w:rPr>
              <w:t xml:space="preserve"> als nieuwe norm.</w:t>
            </w:r>
          </w:p>
          <w:p w:rsidRPr="00603436" w:rsidR="001F7077" w:rsidP="661E2C6A" w:rsidRDefault="661E2C6A" w14:paraId="23272C61" w14:textId="77777777">
            <w:pPr>
              <w:pStyle w:val="Lijstalinea"/>
              <w:numPr>
                <w:ilvl w:val="0"/>
                <w:numId w:val="15"/>
              </w:numPr>
              <w:spacing w:before="10" w:line="218" w:lineRule="exact"/>
              <w:ind w:right="154"/>
              <w:rPr>
                <w:rFonts w:eastAsia="Verdana" w:cs="Calibri"/>
                <w:noProof/>
                <w:color w:val="auto"/>
                <w:sz w:val="16"/>
                <w:szCs w:val="16"/>
                <w:lang w:val="nl-NL"/>
              </w:rPr>
            </w:pPr>
            <w:r w:rsidRPr="661E2C6A">
              <w:rPr>
                <w:rFonts w:eastAsia="Verdana" w:cs="Calibri"/>
                <w:noProof/>
                <w:color w:val="auto"/>
                <w:sz w:val="16"/>
                <w:szCs w:val="16"/>
                <w:lang w:val="nl-NL"/>
              </w:rPr>
              <w:t>Wegnemen van belemmering met betrekking tot de (ruimtelijke) grenzen van Nederland:</w:t>
            </w:r>
            <w:r w:rsidR="00024E1A">
              <w:rPr>
                <w:lang w:val="nl-NL"/>
              </w:rPr>
              <w:t xml:space="preserve"> z</w:t>
            </w:r>
            <w:r w:rsidRPr="00024E1A" w:rsidR="00024E1A">
              <w:rPr>
                <w:rFonts w:eastAsia="Verdana" w:cs="Calibri"/>
                <w:noProof/>
                <w:color w:val="auto"/>
                <w:sz w:val="16"/>
                <w:szCs w:val="16"/>
                <w:lang w:val="nl-NL"/>
              </w:rPr>
              <w:t>oals de beperkte ruimte op het elektriciteitsnet maar bijvoorbeeld ook belemmerende regelgeving vanuit Europa.</w:t>
            </w:r>
            <w:r w:rsidR="00024E1A">
              <w:rPr>
                <w:rFonts w:eastAsia="Verdana" w:cs="Calibri"/>
                <w:noProof/>
                <w:color w:val="auto"/>
                <w:sz w:val="16"/>
                <w:szCs w:val="16"/>
                <w:lang w:val="nl-NL"/>
              </w:rPr>
              <w:t xml:space="preserve"> </w:t>
            </w:r>
            <w:r w:rsidRPr="661E2C6A">
              <w:rPr>
                <w:rFonts w:eastAsia="Verdana" w:cs="Calibri"/>
                <w:noProof/>
                <w:color w:val="auto"/>
                <w:sz w:val="16"/>
                <w:szCs w:val="16"/>
                <w:lang w:val="nl-NL"/>
              </w:rPr>
              <w:t>De meervoudige ruimteclaims dwingen ons om integraler naar ruimtelijke vraagstukken te kijken. Naast de genoemde fysieke aspecten waarmee bij woningbouw rekening moet worden gehouden, is er winst te behalen op het gebied van procesmatige efficiëntie. Dit kan door parallel plannen de standaard werkwijze te maken: hiermee kan de planfase van woningbouw aanzienlijk worden ingekort.</w:t>
            </w:r>
          </w:p>
        </w:tc>
      </w:tr>
      <w:tr w:rsidRPr="00946C18" w:rsidR="00342FD5" w:rsidTr="661E2C6A" w14:paraId="0E85A5E6" w14:textId="77777777">
        <w:trPr>
          <w:trHeight w:val="565"/>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F32CB9" w:rsidR="00342FD5" w:rsidP="00342FD5" w:rsidRDefault="00342FD5" w14:paraId="58F8ED3A" w14:textId="77777777">
            <w:pPr>
              <w:spacing w:line="240" w:lineRule="auto"/>
              <w:ind w:left="103" w:right="231"/>
              <w:rPr>
                <w:rFonts w:eastAsia="Verdana" w:cs="Calibri"/>
                <w:b/>
                <w:noProof/>
                <w:color w:val="auto"/>
                <w:sz w:val="16"/>
                <w:szCs w:val="16"/>
                <w:lang w:val="nl-NL"/>
              </w:rPr>
            </w:pPr>
          </w:p>
          <w:p w:rsidRPr="00946C18" w:rsidR="00342FD5" w:rsidP="00342FD5" w:rsidRDefault="00342FD5" w14:paraId="60B1BA03" w14:textId="77777777">
            <w:pPr>
              <w:autoSpaceDN/>
              <w:spacing w:after="160" w:line="240" w:lineRule="auto"/>
              <w:ind w:left="103" w:right="231"/>
              <w:rPr>
                <w:rFonts w:eastAsia="Verdana" w:cs="Calibri"/>
                <w:b/>
                <w:noProof/>
                <w:color w:val="auto"/>
                <w:sz w:val="16"/>
                <w:szCs w:val="16"/>
              </w:rPr>
            </w:pPr>
            <w:r>
              <w:rPr>
                <w:rFonts w:eastAsia="Verdana" w:cs="Calibri"/>
                <w:b/>
                <w:noProof/>
                <w:color w:val="auto"/>
                <w:sz w:val="16"/>
                <w:szCs w:val="16"/>
              </w:rPr>
              <w:t xml:space="preserve">2. </w:t>
            </w:r>
            <w:r w:rsidRPr="00946C18">
              <w:rPr>
                <w:rFonts w:eastAsia="Verdana" w:cs="Calibri"/>
                <w:b/>
                <w:noProof/>
                <w:color w:val="auto"/>
                <w:sz w:val="16"/>
                <w:szCs w:val="16"/>
              </w:rPr>
              <w:t>Beleidsinstrument(en)</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342FD5" w:rsidP="00342FD5" w:rsidRDefault="00342FD5" w14:paraId="1D39ED2B"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 xml:space="preserve">Om de doelen te realiseren en sneller te kunnen opschalen naar de benodigde 100.000 woningen per jaar, worden verschillende beleidsinstrumenten ingezet. Bijvoorbeeld in de vorm van subsidies of directe ondersteuning aan innovatieprojecten. Hiermee wordt vanaf 2025 gestart. Het exacte bedrag </w:t>
            </w:r>
            <w:r w:rsidR="00635E51">
              <w:rPr>
                <w:rFonts w:eastAsia="Verdana" w:cs="Calibri"/>
                <w:noProof/>
                <w:color w:val="auto"/>
                <w:sz w:val="16"/>
                <w:szCs w:val="16"/>
                <w:lang w:val="nl-NL"/>
              </w:rPr>
              <w:t xml:space="preserve">zal </w:t>
            </w:r>
            <w:r w:rsidRPr="00B25C76">
              <w:rPr>
                <w:rFonts w:eastAsia="Verdana" w:cs="Calibri"/>
                <w:noProof/>
                <w:color w:val="auto"/>
                <w:sz w:val="16"/>
                <w:szCs w:val="16"/>
                <w:lang w:val="nl-NL"/>
              </w:rPr>
              <w:t>per instrument variëren</w:t>
            </w:r>
            <w:r w:rsidR="00635E51">
              <w:rPr>
                <w:rFonts w:eastAsia="Verdana" w:cs="Calibri"/>
                <w:noProof/>
                <w:color w:val="auto"/>
                <w:sz w:val="16"/>
                <w:szCs w:val="16"/>
                <w:lang w:val="nl-NL"/>
              </w:rPr>
              <w:t>.</w:t>
            </w:r>
            <w:r w:rsidRPr="00B25C76">
              <w:rPr>
                <w:rFonts w:eastAsia="Verdana" w:cs="Calibri"/>
                <w:noProof/>
                <w:color w:val="auto"/>
                <w:sz w:val="16"/>
                <w:szCs w:val="16"/>
                <w:lang w:val="nl-NL"/>
              </w:rPr>
              <w:t xml:space="preserve"> Hieronder is een niet-limitatieve opsomming weergegeven</w:t>
            </w:r>
            <w:r>
              <w:rPr>
                <w:rFonts w:eastAsia="Verdana" w:cs="Calibri"/>
                <w:noProof/>
                <w:color w:val="auto"/>
                <w:sz w:val="16"/>
                <w:szCs w:val="16"/>
                <w:lang w:val="nl-NL"/>
              </w:rPr>
              <w:t xml:space="preserve"> van de belangrijkste </w:t>
            </w:r>
            <w:r w:rsidRPr="00B25C76">
              <w:rPr>
                <w:rFonts w:eastAsia="Verdana" w:cs="Calibri"/>
                <w:noProof/>
                <w:color w:val="auto"/>
                <w:sz w:val="16"/>
                <w:szCs w:val="16"/>
                <w:lang w:val="nl-NL"/>
              </w:rPr>
              <w:t>beleidsinstrumenten</w:t>
            </w:r>
            <w:r>
              <w:rPr>
                <w:rFonts w:eastAsia="Verdana" w:cs="Calibri"/>
                <w:noProof/>
                <w:color w:val="auto"/>
                <w:sz w:val="16"/>
                <w:szCs w:val="16"/>
                <w:lang w:val="nl-NL"/>
              </w:rPr>
              <w:t>. Enkele hiervan</w:t>
            </w:r>
            <w:r w:rsidRPr="00B25C76">
              <w:rPr>
                <w:rFonts w:eastAsia="Verdana" w:cs="Calibri"/>
                <w:noProof/>
                <w:color w:val="auto"/>
                <w:sz w:val="16"/>
                <w:szCs w:val="16"/>
                <w:lang w:val="nl-NL"/>
              </w:rPr>
              <w:t xml:space="preserve"> zijn een vervolg op reeds succesvol ingezette maatregelen. Er wordt ingezet op</w:t>
            </w:r>
            <w:r>
              <w:rPr>
                <w:rFonts w:eastAsia="Verdana" w:cs="Calibri"/>
                <w:noProof/>
                <w:color w:val="auto"/>
                <w:sz w:val="16"/>
                <w:szCs w:val="16"/>
                <w:lang w:val="nl-NL"/>
              </w:rPr>
              <w:t xml:space="preserve"> (door middel van subsidies en bijdragen)</w:t>
            </w:r>
            <w:r w:rsidRPr="00B25C76">
              <w:rPr>
                <w:rFonts w:eastAsia="Verdana" w:cs="Calibri"/>
                <w:noProof/>
                <w:color w:val="auto"/>
                <w:sz w:val="16"/>
                <w:szCs w:val="16"/>
                <w:lang w:val="nl-NL"/>
              </w:rPr>
              <w:t>:</w:t>
            </w:r>
          </w:p>
          <w:p w:rsidRPr="00B25C76" w:rsidR="00342FD5" w:rsidP="00342FD5" w:rsidRDefault="00342FD5" w14:paraId="524C498F"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 xml:space="preserve">-Het testen en toepassen van kennis uit experimenten, pilots en ontwerpwedstrijden in de praktijk voordat het naar beleid vertaald kan worden. </w:t>
            </w:r>
          </w:p>
          <w:p w:rsidRPr="00B25C76" w:rsidR="00342FD5" w:rsidP="661E2C6A" w:rsidRDefault="661E2C6A" w14:paraId="53AEE2F7" w14:textId="77777777">
            <w:pPr>
              <w:spacing w:line="218" w:lineRule="exact"/>
              <w:ind w:left="101" w:right="543"/>
              <w:rPr>
                <w:rFonts w:eastAsia="Verdana" w:cs="Calibri"/>
                <w:noProof/>
                <w:color w:val="auto"/>
                <w:sz w:val="16"/>
                <w:szCs w:val="16"/>
                <w:lang w:val="nl-NL"/>
              </w:rPr>
            </w:pPr>
            <w:r w:rsidRPr="661E2C6A">
              <w:rPr>
                <w:rFonts w:eastAsia="Verdana" w:cs="Calibri"/>
                <w:noProof/>
                <w:color w:val="auto"/>
                <w:sz w:val="16"/>
                <w:szCs w:val="16"/>
                <w:lang w:val="nl-NL"/>
              </w:rPr>
              <w:t>-industriële woningbouwproductie</w:t>
            </w:r>
          </w:p>
          <w:p w:rsidRPr="00B25C76" w:rsidR="00342FD5" w:rsidP="00342FD5" w:rsidRDefault="00342FD5" w14:paraId="77460CC5"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-innovatieve oplossingen voor klimaatadaptatie en netcongestie</w:t>
            </w:r>
          </w:p>
          <w:p w:rsidRPr="00B25C76" w:rsidR="00342FD5" w:rsidP="00342FD5" w:rsidRDefault="00342FD5" w14:paraId="5564E91C"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-schonere bouwwijzen waarbij minder emissies vrijkomen</w:t>
            </w:r>
          </w:p>
          <w:p w:rsidRPr="00B25C76" w:rsidR="00342FD5" w:rsidP="00342FD5" w:rsidRDefault="00342FD5" w14:paraId="1B4FC7A4"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lastRenderedPageBreak/>
              <w:t xml:space="preserve">-Geluidadaptief bouwen. Een voorbeeld hiervan is de ondersteuning van het meerjarig onderzoek naar geluidadaptieve bouw in samenwerking met onder meer de TU Delft en het ministerie van Infrastructuur en Waterstaat. </w:t>
            </w:r>
          </w:p>
          <w:p w:rsidRPr="00B25C76" w:rsidR="00342FD5" w:rsidP="00342FD5" w:rsidRDefault="00342FD5" w14:paraId="5EAAAAB4"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-de aanpak van niet-vitale vakantieparken en de kansen daarbij voor woonoplossingen.</w:t>
            </w:r>
          </w:p>
          <w:p w:rsidRPr="00F32CB9" w:rsidR="00342FD5" w:rsidP="00342FD5" w:rsidRDefault="00342FD5" w14:paraId="5463AA35" w14:textId="77777777">
            <w:pPr>
              <w:spacing w:line="218" w:lineRule="exact"/>
              <w:ind w:left="101" w:right="543"/>
              <w:rPr>
                <w:rFonts w:eastAsia="Verdana" w:cs="Calibri"/>
                <w:noProof/>
                <w:color w:val="auto"/>
                <w:sz w:val="16"/>
                <w:szCs w:val="16"/>
                <w:lang w:val="nl-NL"/>
              </w:rPr>
            </w:pPr>
            <w:r w:rsidRPr="00F32CB9">
              <w:rPr>
                <w:rFonts w:eastAsia="Verdana" w:cs="Calibri"/>
                <w:noProof/>
                <w:color w:val="auto"/>
                <w:sz w:val="16"/>
                <w:szCs w:val="16"/>
                <w:lang w:val="nl-NL"/>
              </w:rPr>
              <w:t>-Daarnaast wordt een bijdrage gedaan aan de Raad van State ten behoeve van aanvullende capaciteit voor zaken rondom woningbouw</w:t>
            </w:r>
            <w:r>
              <w:rPr>
                <w:rFonts w:eastAsia="Verdana" w:cs="Calibri"/>
                <w:noProof/>
                <w:color w:val="auto"/>
                <w:sz w:val="16"/>
                <w:szCs w:val="16"/>
                <w:lang w:val="nl-NL"/>
              </w:rPr>
              <w:t xml:space="preserve"> om de doorlooptijd te bespoedigen</w:t>
            </w:r>
            <w:r w:rsidRPr="00F32CB9">
              <w:rPr>
                <w:rFonts w:eastAsia="Verdana" w:cs="Calibri"/>
                <w:noProof/>
                <w:color w:val="auto"/>
                <w:sz w:val="16"/>
                <w:szCs w:val="16"/>
                <w:lang w:val="nl-NL"/>
              </w:rPr>
              <w:t>.</w:t>
            </w:r>
          </w:p>
        </w:tc>
      </w:tr>
      <w:tr w:rsidRPr="00946C18" w:rsidR="001F7077" w:rsidTr="661E2C6A" w14:paraId="38179E6E" w14:textId="77777777">
        <w:trPr>
          <w:trHeight w:val="655"/>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F32CB9" w:rsidR="001F7077" w:rsidP="00BF6E39" w:rsidRDefault="001F7077" w14:paraId="383A1896" w14:textId="77777777">
            <w:pPr>
              <w:spacing w:line="240" w:lineRule="auto"/>
              <w:ind w:left="463" w:right="231"/>
              <w:rPr>
                <w:rFonts w:eastAsia="Verdana" w:cs="Calibri"/>
                <w:b/>
                <w:noProof/>
                <w:color w:val="auto"/>
                <w:sz w:val="16"/>
                <w:szCs w:val="16"/>
                <w:lang w:val="nl-NL"/>
              </w:rPr>
            </w:pPr>
          </w:p>
          <w:p w:rsidRPr="007461E2" w:rsidR="001F7077" w:rsidP="00C22078" w:rsidRDefault="001F7077" w14:paraId="27CDF687" w14:textId="77777777">
            <w:pPr>
              <w:numPr>
                <w:ilvl w:val="0"/>
                <w:numId w:val="15"/>
              </w:numPr>
              <w:autoSpaceDN/>
              <w:spacing w:after="160" w:line="240" w:lineRule="auto"/>
              <w:ind w:right="231"/>
              <w:rPr>
                <w:rFonts w:eastAsia="Verdana" w:cs="Calibri"/>
                <w:b/>
                <w:noProof/>
                <w:color w:val="auto"/>
                <w:sz w:val="16"/>
                <w:szCs w:val="16"/>
                <w:lang w:val="nl-NL"/>
              </w:rPr>
            </w:pPr>
            <w:r w:rsidRPr="007461E2">
              <w:rPr>
                <w:rFonts w:eastAsia="Verdana" w:cs="Calibri"/>
                <w:b/>
                <w:noProof/>
                <w:color w:val="auto"/>
                <w:sz w:val="16"/>
                <w:szCs w:val="16"/>
                <w:lang w:val="nl-NL"/>
              </w:rPr>
              <w:t>A. Financiële gevolgen voor het Rijk</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7461E2" w:rsidR="001F7077" w:rsidP="00BF6E39" w:rsidRDefault="00F32CB9" w14:paraId="23777030" w14:textId="77777777">
            <w:pPr>
              <w:spacing w:before="3" w:line="218" w:lineRule="exact"/>
              <w:ind w:left="101" w:right="945"/>
              <w:rPr>
                <w:rFonts w:eastAsia="Verdana" w:cs="Calibri"/>
                <w:noProof/>
                <w:color w:val="auto"/>
                <w:sz w:val="16"/>
                <w:szCs w:val="16"/>
                <w:lang w:val="nl-NL"/>
              </w:rPr>
            </w:pPr>
            <w:r w:rsidRPr="00F32CB9">
              <w:rPr>
                <w:rFonts w:eastAsia="Verdana" w:cs="Calibri"/>
                <w:noProof/>
                <w:color w:val="auto"/>
                <w:sz w:val="16"/>
                <w:szCs w:val="16"/>
                <w:lang w:val="nl-NL"/>
              </w:rPr>
              <w:t>Van 2025 tot en met 2029 wordt jaarlijks € 25 mln. en cumulatief € 125 mln. beschikbaar gesteld. De middelen worden verantwoord op artikel 1.2 Woningbouw van de VRO-begroting.</w:t>
            </w:r>
          </w:p>
        </w:tc>
      </w:tr>
      <w:tr w:rsidRPr="00946C18" w:rsidR="001F7077" w:rsidTr="661E2C6A" w14:paraId="3489DF9A" w14:textId="77777777">
        <w:trPr>
          <w:trHeight w:val="725"/>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7461E2" w:rsidR="001F7077" w:rsidP="00BF6E39" w:rsidRDefault="001F7077" w14:paraId="7D25B640" w14:textId="77777777">
            <w:pPr>
              <w:spacing w:line="240" w:lineRule="auto"/>
              <w:ind w:left="463" w:right="231"/>
              <w:rPr>
                <w:rFonts w:eastAsia="Verdana" w:cs="Calibri"/>
                <w:b/>
                <w:noProof/>
                <w:color w:val="auto"/>
                <w:sz w:val="16"/>
                <w:szCs w:val="16"/>
                <w:lang w:val="nl-NL"/>
              </w:rPr>
            </w:pPr>
          </w:p>
          <w:p w:rsidRPr="007461E2" w:rsidR="001F7077" w:rsidP="00BF6E39" w:rsidRDefault="001F7077" w14:paraId="2ACDC2B7" w14:textId="77777777">
            <w:pPr>
              <w:spacing w:line="240" w:lineRule="auto"/>
              <w:ind w:left="463" w:right="231"/>
              <w:rPr>
                <w:rFonts w:eastAsia="Verdana" w:cs="Calibri"/>
                <w:b/>
                <w:noProof/>
                <w:color w:val="auto"/>
                <w:sz w:val="16"/>
                <w:szCs w:val="16"/>
                <w:lang w:val="nl-NL"/>
              </w:rPr>
            </w:pPr>
            <w:r w:rsidRPr="007461E2">
              <w:rPr>
                <w:rFonts w:eastAsia="Verdana" w:cs="Calibri"/>
                <w:b/>
                <w:noProof/>
                <w:color w:val="auto"/>
                <w:sz w:val="16"/>
                <w:szCs w:val="16"/>
                <w:lang w:val="nl-NL"/>
              </w:rPr>
              <w:t xml:space="preserve">B. Financiële gevolgen voor maatschappelijke sectoren </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7461E2" w:rsidR="001F7077" w:rsidP="00BF6E39" w:rsidRDefault="00042A2D" w14:paraId="32B3BDEC" w14:textId="77777777">
            <w:pPr>
              <w:spacing w:line="240" w:lineRule="auto"/>
              <w:ind w:left="101" w:right="308"/>
              <w:rPr>
                <w:rFonts w:eastAsia="Verdana" w:cs="Calibri"/>
                <w:noProof/>
                <w:color w:val="auto"/>
                <w:sz w:val="16"/>
                <w:szCs w:val="16"/>
                <w:lang w:val="nl-NL"/>
              </w:rPr>
            </w:pPr>
            <w:r>
              <w:rPr>
                <w:rFonts w:eastAsia="Verdana" w:cs="Calibri"/>
                <w:noProof/>
                <w:color w:val="auto"/>
                <w:sz w:val="16"/>
                <w:szCs w:val="16"/>
                <w:lang w:val="nl-NL"/>
              </w:rPr>
              <w:t xml:space="preserve">De financiele gevolgen voor maatschappelijke sectoren is tweeledig. Enerzijds worden kosten bespaard doordat innovaties resulteren in effectieve(re) bouw- en ontwikkelprocessen. Anderzijds moeten innovatietrajecten leiden tot sneller meer woningen, doordat er meer ruimte komt voor woningbouw door het toepassen van innovaties. Dit zorgt voor een grotere financiele inspanning van maatschappelijke sectoren om die ruimte ook daadwerkelijkt te benutten en sneller meer woningen te realiseren. </w:t>
            </w:r>
          </w:p>
        </w:tc>
      </w:tr>
      <w:bookmarkEnd w:id="2"/>
      <w:tr w:rsidRPr="00946C18" w:rsidR="00342FD5" w:rsidTr="661E2C6A" w14:paraId="0BA56B50" w14:textId="77777777">
        <w:trPr>
          <w:trHeight w:val="252"/>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7461E2" w:rsidR="00342FD5" w:rsidP="00342FD5" w:rsidRDefault="00342FD5" w14:paraId="2853DAC2" w14:textId="77777777">
            <w:pPr>
              <w:spacing w:line="240" w:lineRule="auto"/>
              <w:ind w:left="463" w:right="231"/>
              <w:rPr>
                <w:rFonts w:eastAsia="Verdana" w:cs="Calibri"/>
                <w:b/>
                <w:noProof/>
                <w:color w:val="auto"/>
                <w:sz w:val="16"/>
                <w:szCs w:val="16"/>
                <w:lang w:val="nl-NL"/>
              </w:rPr>
            </w:pPr>
          </w:p>
          <w:p w:rsidRPr="00946C18" w:rsidR="00342FD5" w:rsidP="00342FD5" w:rsidRDefault="00342FD5" w14:paraId="33FC06B7" w14:textId="77777777">
            <w:pPr>
              <w:numPr>
                <w:ilvl w:val="0"/>
                <w:numId w:val="15"/>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doeltreffendheid</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342FD5" w:rsidP="00342FD5" w:rsidRDefault="00342FD5" w14:paraId="669A63D5"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Het voorgestelde instrumentarium is een efficiënte manier om de beoogde prestaties en effecten te bereiken, omdat we hiermee een eerste zet geven aan innovatie die de markt vervolgens zelf kan oppakken. Innovatie, experimenteren en pilots brengen kosten met zich mee die projectontwikkelaars of gemeenten niet </w:t>
            </w:r>
            <w:r>
              <w:rPr>
                <w:rFonts w:eastAsia="Verdana" w:cs="Calibri"/>
                <w:noProof/>
                <w:color w:val="auto"/>
                <w:sz w:val="16"/>
                <w:szCs w:val="16"/>
                <w:lang w:val="nl-NL"/>
              </w:rPr>
              <w:t xml:space="preserve">als enige partij </w:t>
            </w:r>
            <w:r w:rsidRPr="00B25C76">
              <w:rPr>
                <w:rFonts w:eastAsia="Verdana" w:cs="Calibri"/>
                <w:noProof/>
                <w:color w:val="auto"/>
                <w:sz w:val="16"/>
                <w:szCs w:val="16"/>
                <w:lang w:val="nl-NL"/>
              </w:rPr>
              <w:t xml:space="preserve">kunnen dragen binnen een specifiek project. Door als Rijk actief innovatie te stimuleren kan nieuwe kennis opgedaan worden, om vervolgens landelijk te verspreiden. Er zijn over de afgelopen jaren enkele succesvolle voorbeelden geweest, bijvoorbeeld rondom kennisdeling over innovatie, typegoedkeuring, en geluidadaptief bouwen. Er bestaat een goede samenwerkingsstructuur met medeoverheden en marktpartijen, die een effectieve verspreiding hiervan kan bespoedigen Deze partijen kunnen deze vervolgens zelf integreren in hun bouwproces of -product. </w:t>
            </w:r>
          </w:p>
          <w:p w:rsidRPr="00655750" w:rsidR="00342FD5" w:rsidP="00342FD5" w:rsidRDefault="00342FD5" w14:paraId="4BF4DBEA" w14:textId="77777777">
            <w:pPr>
              <w:spacing w:before="4" w:line="218" w:lineRule="exact"/>
              <w:ind w:left="101" w:right="166"/>
              <w:rPr>
                <w:rFonts w:eastAsia="Verdana" w:cs="Calibri"/>
                <w:noProof/>
                <w:color w:val="auto"/>
                <w:sz w:val="16"/>
                <w:szCs w:val="16"/>
                <w:lang w:val="nl-NL"/>
              </w:rPr>
            </w:pPr>
            <w:r w:rsidRPr="00655750">
              <w:rPr>
                <w:rFonts w:eastAsia="Verdana" w:cs="Calibri"/>
                <w:noProof/>
                <w:color w:val="auto"/>
                <w:sz w:val="16"/>
                <w:szCs w:val="16"/>
                <w:lang w:val="nl-NL"/>
              </w:rPr>
              <w:t>Door innovatie belemmeringen aan te pakken en te voldoen aan de voorwaarden voor woningbouw ontstaat er ook een financiële prikkel voor bouwers/gemeenten om dit vervolgens in bouwprojecten toe te passen. Er kunnen namelijk kosten mee bespaard worden, nieuwe bouwlocaties mee worden verkregen of de benodigde arbeidstekorten mee worden gemitigeerd. Het Rijk treedt in deze op als aanjager en stimulator van de innovatie. De structurele toepassing van de opgedane kennis wordt vervolgens waar relevant overgenomen door de sector. Op deze wijze kan het Rijk efficiënt een structurele verandering in de sector bewerkstelligen, met een incidentele ondersteuning.</w:t>
            </w:r>
          </w:p>
        </w:tc>
      </w:tr>
      <w:tr w:rsidRPr="00946C18" w:rsidR="00342FD5" w:rsidTr="661E2C6A" w14:paraId="38086B20" w14:textId="77777777">
        <w:trPr>
          <w:trHeight w:val="801"/>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655750" w:rsidR="00342FD5" w:rsidP="00342FD5" w:rsidRDefault="00342FD5" w14:paraId="6412A497" w14:textId="77777777">
            <w:pPr>
              <w:spacing w:line="240" w:lineRule="auto"/>
              <w:rPr>
                <w:rFonts w:eastAsia="Verdana" w:cs="Calibri"/>
                <w:i/>
                <w:noProof/>
                <w:color w:val="auto"/>
                <w:sz w:val="16"/>
                <w:szCs w:val="16"/>
                <w:lang w:val="nl-NL"/>
              </w:rPr>
            </w:pPr>
          </w:p>
          <w:p w:rsidRPr="00946C18" w:rsidR="00342FD5" w:rsidP="00342FD5" w:rsidRDefault="00342FD5" w14:paraId="3A412E77" w14:textId="77777777">
            <w:pPr>
              <w:numPr>
                <w:ilvl w:val="0"/>
                <w:numId w:val="15"/>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doelmatigheid</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342FD5" w:rsidP="00342FD5" w:rsidRDefault="00342FD5" w14:paraId="71A05D80"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Het voorgestelde instrumentarium is een efficiënte manier om de beoogde prestaties en effecten te bereiken, omdat we hiermee een eerste zet geven aan innovatie die de markt vervolgens zelf kan oppakken. Innovatie, experimenteren en pilots brengen kosten met zich mee die individuele projectontwikkelaars of gemeenten niet kunnen dragen binnen een specifiek project. Door als Rijk actief innovatie te stimuleren </w:t>
            </w:r>
            <w:r>
              <w:rPr>
                <w:rFonts w:eastAsia="Verdana" w:cs="Calibri"/>
                <w:noProof/>
                <w:color w:val="auto"/>
                <w:sz w:val="16"/>
                <w:szCs w:val="16"/>
                <w:lang w:val="nl-NL"/>
              </w:rPr>
              <w:t xml:space="preserve">in deze specifieke projecten </w:t>
            </w:r>
            <w:r w:rsidRPr="00B25C76">
              <w:rPr>
                <w:rFonts w:eastAsia="Verdana" w:cs="Calibri"/>
                <w:noProof/>
                <w:color w:val="auto"/>
                <w:sz w:val="16"/>
                <w:szCs w:val="16"/>
                <w:lang w:val="nl-NL"/>
              </w:rPr>
              <w:t>kan nieuwe kennis opgedaan worden</w:t>
            </w:r>
            <w:r>
              <w:rPr>
                <w:rFonts w:eastAsia="Verdana" w:cs="Calibri"/>
                <w:noProof/>
                <w:color w:val="auto"/>
                <w:sz w:val="16"/>
                <w:szCs w:val="16"/>
                <w:lang w:val="nl-NL"/>
              </w:rPr>
              <w:t xml:space="preserve"> door de betrokken partijen</w:t>
            </w:r>
            <w:r w:rsidRPr="00B25C76">
              <w:rPr>
                <w:rFonts w:eastAsia="Verdana" w:cs="Calibri"/>
                <w:noProof/>
                <w:color w:val="auto"/>
                <w:sz w:val="16"/>
                <w:szCs w:val="16"/>
                <w:lang w:val="nl-NL"/>
              </w:rPr>
              <w:t xml:space="preserve">, om vervolgens landelijk te verspreiden. Er zijn over de afgelopen jaren enkele succesvolle voorbeelden geweest, bijvoorbeeld rondom kennisdeling over innovatie, typegoedkeuring, en geluidadaptief bouwen. Er bestaat een goede samenwerkingsstructuur met medeoverheden en marktpartijen, die een effectieve verspreiding hiervan kan bespoedigen. Deze partijen kunnen deze vervolgens zelf integreren in hun bouwproces of -product. </w:t>
            </w:r>
          </w:p>
          <w:p w:rsidRPr="00655750" w:rsidR="00342FD5" w:rsidP="00342FD5" w:rsidRDefault="00342FD5" w14:paraId="302FE246" w14:textId="77777777">
            <w:pPr>
              <w:spacing w:line="213" w:lineRule="exact"/>
              <w:ind w:left="101"/>
              <w:rPr>
                <w:rFonts w:eastAsia="Verdana" w:cs="Calibri"/>
                <w:noProof/>
                <w:color w:val="auto"/>
                <w:sz w:val="16"/>
                <w:szCs w:val="16"/>
                <w:lang w:val="nl-NL"/>
              </w:rPr>
            </w:pPr>
            <w:r w:rsidRPr="00655750">
              <w:rPr>
                <w:rFonts w:eastAsia="Verdana" w:cs="Calibri"/>
                <w:noProof/>
                <w:color w:val="auto"/>
                <w:sz w:val="16"/>
                <w:szCs w:val="16"/>
                <w:lang w:val="nl-NL"/>
              </w:rPr>
              <w:t>Door innovatie belemmeringen aan te pakken en te voldoen aan de voorwaarden voor woningbouw ontstaat er ook een financiële prikkel voor bouwers/gemeenten om dit vervolgens in bouwprojecten toe te passen. Er kunnen namelijk kosten mee bespaard worden, nieuwe bouwlocaties mee worden verkregen of de benodigde arbeidstekorten mee worden gemitigeerd. Het Rijk treedt in deze op als aanjager en stimulator van de innovatie. De structurele toepassing van de opgedane kennis wordt vervolgens waar relevant overgenomen door de sector. Op deze wijze kan het Rijk efficiënt een structurele verandering in de sector bewerkstelligen, met een incidentele ondersteuning.</w:t>
            </w:r>
          </w:p>
        </w:tc>
      </w:tr>
      <w:tr w:rsidRPr="00946C18" w:rsidR="00342FD5" w:rsidTr="661E2C6A" w14:paraId="3FCE1C62" w14:textId="77777777">
        <w:trPr>
          <w:trHeight w:val="801"/>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655750" w:rsidR="00342FD5" w:rsidP="00342FD5" w:rsidRDefault="00342FD5" w14:paraId="36028058" w14:textId="77777777">
            <w:pPr>
              <w:spacing w:line="240" w:lineRule="auto"/>
              <w:ind w:left="103" w:right="1066"/>
              <w:rPr>
                <w:rFonts w:eastAsia="Verdana" w:cs="Calibri"/>
                <w:b/>
                <w:noProof/>
                <w:color w:val="auto"/>
                <w:sz w:val="16"/>
                <w:szCs w:val="16"/>
                <w:lang w:val="nl-NL"/>
              </w:rPr>
            </w:pPr>
          </w:p>
          <w:p w:rsidRPr="00946C18" w:rsidR="00342FD5" w:rsidP="00342FD5" w:rsidRDefault="00342FD5" w14:paraId="19028205" w14:textId="77777777">
            <w:pPr>
              <w:numPr>
                <w:ilvl w:val="0"/>
                <w:numId w:val="15"/>
              </w:numPr>
              <w:autoSpaceDN/>
              <w:spacing w:after="160" w:line="240" w:lineRule="auto"/>
              <w:ind w:right="231"/>
              <w:rPr>
                <w:rFonts w:eastAsia="Verdana" w:cs="Calibri"/>
                <w:noProof/>
                <w:color w:val="auto"/>
                <w:sz w:val="16"/>
                <w:szCs w:val="16"/>
              </w:rPr>
            </w:pPr>
            <w:r w:rsidRPr="00946C18">
              <w:rPr>
                <w:rFonts w:eastAsia="Verdana" w:cs="Calibri"/>
                <w:b/>
                <w:noProof/>
                <w:color w:val="auto"/>
                <w:sz w:val="16"/>
                <w:szCs w:val="16"/>
              </w:rPr>
              <w:t>Evaluatieparagraaf</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00342FD5" w:rsidP="00342FD5" w:rsidRDefault="00342FD5" w14:paraId="1042A953" w14:textId="77777777">
            <w:pPr>
              <w:spacing w:line="213" w:lineRule="exact"/>
              <w:ind w:left="29"/>
              <w:rPr>
                <w:rFonts w:eastAsia="Verdana" w:cs="Calibri"/>
                <w:noProof/>
                <w:color w:val="auto"/>
                <w:sz w:val="16"/>
                <w:szCs w:val="16"/>
                <w:lang w:val="nl-NL"/>
              </w:rPr>
            </w:pPr>
            <w:proofErr w:type="gramStart"/>
            <w:r w:rsidRPr="00F06DA4">
              <w:rPr>
                <w:sz w:val="16"/>
                <w:szCs w:val="16"/>
                <w:lang w:val="nl-NL"/>
              </w:rPr>
              <w:t>Conform</w:t>
            </w:r>
            <w:proofErr w:type="gramEnd"/>
            <w:r w:rsidRPr="00F06DA4">
              <w:rPr>
                <w:sz w:val="16"/>
                <w:szCs w:val="16"/>
                <w:lang w:val="nl-NL"/>
              </w:rPr>
              <w:t xml:space="preserve"> de Regeling periodiek evaluatieonderzoek rapporteert de minister eens in de vier tot zeven jaar over het </w:t>
            </w:r>
            <w:r>
              <w:rPr>
                <w:sz w:val="16"/>
                <w:szCs w:val="16"/>
                <w:lang w:val="nl-NL"/>
              </w:rPr>
              <w:t>opgedane</w:t>
            </w:r>
            <w:r w:rsidRPr="00F06DA4">
              <w:rPr>
                <w:sz w:val="16"/>
                <w:szCs w:val="16"/>
                <w:lang w:val="nl-NL"/>
              </w:rPr>
              <w:t xml:space="preserve"> inzicht in de (voorwaarden voor) de doelmatigheid en de doeltreffendheid van de maatregelen en over de mogelijkheden om de (kans op) doeltreffendheid en doelmatig van het beleid te vergroten. Voor de thema’s Woningmarkt en Woningbouw zal in 2028 de volgende periodieke rapportage aan de Kamer worden aangeboden</w:t>
            </w:r>
          </w:p>
          <w:p w:rsidR="00342FD5" w:rsidP="00342FD5" w:rsidRDefault="00342FD5" w14:paraId="68668EC5" w14:textId="77777777">
            <w:pPr>
              <w:spacing w:line="213" w:lineRule="exact"/>
              <w:ind w:left="29"/>
              <w:rPr>
                <w:rFonts w:eastAsia="Verdana" w:cs="Calibri"/>
                <w:noProof/>
                <w:color w:val="auto"/>
                <w:sz w:val="16"/>
                <w:szCs w:val="16"/>
                <w:lang w:val="nl-NL"/>
              </w:rPr>
            </w:pPr>
          </w:p>
          <w:p w:rsidR="00342FD5" w:rsidP="00342FD5" w:rsidRDefault="00342FD5" w14:paraId="41800F8E" w14:textId="77777777">
            <w:pPr>
              <w:spacing w:line="213" w:lineRule="exact"/>
              <w:ind w:left="29"/>
              <w:rPr>
                <w:rFonts w:eastAsia="Verdana" w:cs="Calibri"/>
                <w:noProof/>
                <w:color w:val="auto"/>
                <w:sz w:val="16"/>
                <w:szCs w:val="16"/>
                <w:lang w:val="nl-NL"/>
              </w:rPr>
            </w:pPr>
            <w:r w:rsidRPr="00B24001">
              <w:rPr>
                <w:rFonts w:eastAsia="Verdana" w:cs="Calibri"/>
                <w:noProof/>
                <w:color w:val="auto"/>
                <w:sz w:val="16"/>
                <w:szCs w:val="16"/>
                <w:lang w:val="nl-NL"/>
              </w:rPr>
              <w:t xml:space="preserve">In dit synthese-onderzoek zal aandacht zijn voor deze financiële impuls vanuit het hoofdlijnenakkoord. De komende jaren zullen onderdelen van deze </w:t>
            </w:r>
            <w:r>
              <w:rPr>
                <w:rFonts w:eastAsia="Verdana" w:cs="Calibri"/>
                <w:noProof/>
                <w:color w:val="auto"/>
                <w:sz w:val="16"/>
                <w:szCs w:val="16"/>
                <w:lang w:val="nl-NL"/>
              </w:rPr>
              <w:t>middelen</w:t>
            </w:r>
            <w:r w:rsidRPr="00B24001">
              <w:rPr>
                <w:rFonts w:eastAsia="Verdana" w:cs="Calibri"/>
                <w:noProof/>
                <w:color w:val="auto"/>
                <w:sz w:val="16"/>
                <w:szCs w:val="16"/>
                <w:lang w:val="nl-NL"/>
              </w:rPr>
              <w:t xml:space="preserve"> daarom als voorbereiding op deze periodieke rapportage separaat geëvalueerd worden. </w:t>
            </w:r>
            <w:r>
              <w:rPr>
                <w:rFonts w:eastAsia="Verdana" w:cs="Calibri"/>
                <w:noProof/>
                <w:color w:val="auto"/>
                <w:sz w:val="16"/>
                <w:szCs w:val="16"/>
                <w:lang w:val="nl-NL"/>
              </w:rPr>
              <w:t xml:space="preserve">Welke onderdelen dit zijn wordt nog nader bepaald. </w:t>
            </w:r>
            <w:r w:rsidRPr="00B24001">
              <w:rPr>
                <w:rFonts w:eastAsia="Verdana" w:cs="Calibri"/>
                <w:noProof/>
                <w:color w:val="auto"/>
                <w:sz w:val="16"/>
                <w:szCs w:val="16"/>
                <w:lang w:val="nl-NL"/>
              </w:rPr>
              <w:t>Op de Strategische Evaluatie Agenda van 2026 wordt hiervoor een eerste concrete evaluatieprogrammering opgenomen.</w:t>
            </w:r>
          </w:p>
          <w:p w:rsidR="00342FD5" w:rsidP="00342FD5" w:rsidRDefault="00342FD5" w14:paraId="68E19B51" w14:textId="77777777">
            <w:pPr>
              <w:spacing w:line="213" w:lineRule="exact"/>
              <w:ind w:left="29"/>
              <w:rPr>
                <w:rFonts w:eastAsia="Verdana" w:cs="Calibri"/>
                <w:noProof/>
                <w:color w:val="auto"/>
                <w:sz w:val="16"/>
                <w:szCs w:val="16"/>
                <w:lang w:val="nl-NL"/>
              </w:rPr>
            </w:pPr>
          </w:p>
          <w:p w:rsidR="00342FD5" w:rsidP="00342FD5" w:rsidRDefault="00342FD5" w14:paraId="32105F5F" w14:textId="77777777">
            <w:pPr>
              <w:spacing w:line="213" w:lineRule="exact"/>
              <w:ind w:left="29"/>
              <w:rPr>
                <w:rFonts w:eastAsia="Verdana" w:cs="Calibri"/>
                <w:noProof/>
                <w:color w:val="auto"/>
                <w:sz w:val="16"/>
                <w:szCs w:val="16"/>
                <w:lang w:val="nl-NL"/>
              </w:rPr>
            </w:pPr>
            <w:r>
              <w:rPr>
                <w:rFonts w:eastAsia="Verdana" w:cs="Calibri"/>
                <w:noProof/>
                <w:color w:val="auto"/>
                <w:sz w:val="16"/>
                <w:szCs w:val="16"/>
                <w:lang w:val="nl-NL"/>
              </w:rPr>
              <w:t xml:space="preserve">Naast dat de financiele impulsen onderdeel zijn van het synthese-onderzoek, is er in de individuele trajecten uitgebreid aandacht voor monitoring en evaluatie. </w:t>
            </w:r>
            <w:r w:rsidRPr="005262FB">
              <w:rPr>
                <w:rFonts w:eastAsia="Verdana" w:cs="Calibri"/>
                <w:noProof/>
                <w:color w:val="auto"/>
                <w:sz w:val="16"/>
                <w:szCs w:val="16"/>
                <w:lang w:val="nl-NL"/>
              </w:rPr>
              <w:t xml:space="preserve">Tijdens een </w:t>
            </w:r>
            <w:r>
              <w:rPr>
                <w:rFonts w:eastAsia="Verdana" w:cs="Calibri"/>
                <w:noProof/>
                <w:color w:val="auto"/>
                <w:sz w:val="16"/>
                <w:szCs w:val="16"/>
                <w:lang w:val="nl-NL"/>
              </w:rPr>
              <w:t>innovatietraject</w:t>
            </w:r>
            <w:r w:rsidRPr="005262FB">
              <w:rPr>
                <w:rFonts w:eastAsia="Verdana" w:cs="Calibri"/>
                <w:noProof/>
                <w:color w:val="auto"/>
                <w:sz w:val="16"/>
                <w:szCs w:val="16"/>
                <w:lang w:val="nl-NL"/>
              </w:rPr>
              <w:t xml:space="preserve"> zijn de effecten van </w:t>
            </w:r>
            <w:r>
              <w:rPr>
                <w:rFonts w:eastAsia="Verdana" w:cs="Calibri"/>
                <w:noProof/>
                <w:color w:val="auto"/>
                <w:sz w:val="16"/>
                <w:szCs w:val="16"/>
                <w:lang w:val="nl-NL"/>
              </w:rPr>
              <w:t>betreffende i</w:t>
            </w:r>
            <w:r w:rsidRPr="005262FB">
              <w:rPr>
                <w:rFonts w:eastAsia="Verdana" w:cs="Calibri"/>
                <w:noProof/>
                <w:color w:val="auto"/>
                <w:sz w:val="16"/>
                <w:szCs w:val="16"/>
                <w:lang w:val="nl-NL"/>
              </w:rPr>
              <w:t xml:space="preserve">nnovaties niet altijd goed te voorspellen. Het is daarom belangrijk om de kwaliteit van het </w:t>
            </w:r>
            <w:r w:rsidRPr="005262FB">
              <w:rPr>
                <w:rFonts w:eastAsia="Verdana" w:cs="Calibri"/>
                <w:noProof/>
                <w:color w:val="auto"/>
                <w:sz w:val="16"/>
                <w:szCs w:val="16"/>
                <w:lang w:val="nl-NL"/>
              </w:rPr>
              <w:lastRenderedPageBreak/>
              <w:t xml:space="preserve">innovatieproces en de opbrengsten continu te monitoren en te evalueren. </w:t>
            </w:r>
            <w:r>
              <w:rPr>
                <w:rFonts w:eastAsia="Verdana" w:cs="Calibri"/>
                <w:noProof/>
                <w:color w:val="auto"/>
                <w:sz w:val="16"/>
                <w:szCs w:val="16"/>
                <w:lang w:val="nl-NL"/>
              </w:rPr>
              <w:t>Een duidelijk plan a</w:t>
            </w:r>
            <w:r w:rsidRPr="005262FB">
              <w:rPr>
                <w:rFonts w:eastAsia="Verdana" w:cs="Calibri"/>
                <w:noProof/>
                <w:color w:val="auto"/>
                <w:sz w:val="16"/>
                <w:szCs w:val="16"/>
                <w:lang w:val="nl-NL"/>
              </w:rPr>
              <w:t xml:space="preserve">an het begin van een ontwikkeltraject </w:t>
            </w:r>
            <w:r>
              <w:rPr>
                <w:rFonts w:eastAsia="Verdana" w:cs="Calibri"/>
                <w:noProof/>
                <w:color w:val="auto"/>
                <w:sz w:val="16"/>
                <w:szCs w:val="16"/>
                <w:lang w:val="nl-NL"/>
              </w:rPr>
              <w:t>z</w:t>
            </w:r>
            <w:r w:rsidRPr="005262FB">
              <w:rPr>
                <w:rFonts w:eastAsia="Verdana" w:cs="Calibri"/>
                <w:noProof/>
                <w:color w:val="auto"/>
                <w:sz w:val="16"/>
                <w:szCs w:val="16"/>
                <w:lang w:val="nl-NL"/>
              </w:rPr>
              <w:t>org</w:t>
            </w:r>
            <w:r>
              <w:rPr>
                <w:rFonts w:eastAsia="Verdana" w:cs="Calibri"/>
                <w:noProof/>
                <w:color w:val="auto"/>
                <w:sz w:val="16"/>
                <w:szCs w:val="16"/>
                <w:lang w:val="nl-NL"/>
              </w:rPr>
              <w:t>t</w:t>
            </w:r>
            <w:r w:rsidRPr="005262FB">
              <w:rPr>
                <w:rFonts w:eastAsia="Verdana" w:cs="Calibri"/>
                <w:noProof/>
                <w:color w:val="auto"/>
                <w:sz w:val="16"/>
                <w:szCs w:val="16"/>
                <w:lang w:val="nl-NL"/>
              </w:rPr>
              <w:t xml:space="preserve"> dat het mogelijk is om geconstateerde onvolkomenheden te corrigeren of aan te passen.</w:t>
            </w:r>
          </w:p>
          <w:p w:rsidRPr="00655750" w:rsidR="00342FD5" w:rsidP="00342FD5" w:rsidRDefault="00342FD5" w14:paraId="39279D66" w14:textId="77777777">
            <w:pPr>
              <w:spacing w:line="213" w:lineRule="exact"/>
              <w:ind w:left="101"/>
              <w:rPr>
                <w:rFonts w:eastAsia="Verdana" w:cs="Calibri"/>
                <w:noProof/>
                <w:color w:val="auto"/>
                <w:sz w:val="16"/>
                <w:szCs w:val="16"/>
                <w:lang w:val="nl-NL"/>
              </w:rPr>
            </w:pPr>
          </w:p>
        </w:tc>
      </w:tr>
    </w:tbl>
    <w:p w:rsidR="00C70427" w:rsidRDefault="00C70427" w14:paraId="6123BCA2" w14:textId="77777777">
      <w:bookmarkStart w:name="_Hlk176940808" w:id="3"/>
    </w:p>
    <w:p w:rsidR="00C70427" w:rsidRDefault="00C70427" w14:paraId="3308754F" w14:textId="77777777">
      <w:pPr>
        <w:spacing w:line="240" w:lineRule="auto"/>
      </w:pPr>
      <w:r>
        <w:br w:type="page"/>
      </w:r>
    </w:p>
    <w:p w:rsidR="00E44EBA" w:rsidRDefault="00E44EBA" w14:paraId="66892519" w14:textId="77777777"/>
    <w:p w:rsidRPr="00C534BD" w:rsidR="001F7077" w:rsidP="00C534BD" w:rsidRDefault="0050663A" w14:paraId="36612246" w14:textId="77777777">
      <w:pPr>
        <w:pStyle w:val="Lijstalinea"/>
        <w:numPr>
          <w:ilvl w:val="0"/>
          <w:numId w:val="7"/>
        </w:numPr>
        <w:rPr>
          <w:b/>
          <w:bCs/>
        </w:rPr>
      </w:pPr>
      <w:r>
        <w:rPr>
          <w:b/>
          <w:bCs/>
        </w:rPr>
        <w:t>Uitvoering woningbouw</w:t>
      </w:r>
    </w:p>
    <w:p w:rsidR="00E44EBA" w:rsidRDefault="00E44EBA" w14:paraId="476CAA60" w14:textId="77777777"/>
    <w:tbl>
      <w:tblPr>
        <w:tblStyle w:val="NormalTable0"/>
        <w:tblW w:w="7395"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ayout w:type="fixed"/>
        <w:tblLook w:val="01E0" w:firstRow="1" w:lastRow="1" w:firstColumn="1" w:lastColumn="1" w:noHBand="0" w:noVBand="0"/>
      </w:tblPr>
      <w:tblGrid>
        <w:gridCol w:w="3339"/>
        <w:gridCol w:w="4056"/>
      </w:tblGrid>
      <w:tr w:rsidRPr="00946C18" w:rsidR="001F7077" w:rsidTr="00D20033" w14:paraId="4E3CC74B" w14:textId="77777777">
        <w:trPr>
          <w:trHeight w:val="543"/>
        </w:trPr>
        <w:tc>
          <w:tcPr>
            <w:tcW w:w="7395" w:type="dxa"/>
            <w:gridSpan w:val="2"/>
            <w:tcBorders>
              <w:top w:val="single" w:color="FFFFFF" w:sz="4" w:space="0"/>
              <w:left w:val="nil"/>
              <w:bottom w:val="single" w:color="FFFFFF" w:sz="4" w:space="0"/>
              <w:right w:val="single" w:color="FFFFFF" w:sz="4" w:space="0"/>
            </w:tcBorders>
            <w:shd w:val="clear" w:color="auto" w:fill="DEEAF6" w:themeFill="accent5" w:themeFillTint="33"/>
            <w:vAlign w:val="center"/>
            <w:hideMark/>
          </w:tcPr>
          <w:p w:rsidRPr="00946C18" w:rsidR="001F7077" w:rsidP="00BF6E39" w:rsidRDefault="001F7077" w14:paraId="2ED101A3" w14:textId="77777777">
            <w:pPr>
              <w:spacing w:line="240" w:lineRule="auto"/>
              <w:rPr>
                <w:rFonts w:eastAsia="Verdana" w:cs="Calibri"/>
                <w:b/>
                <w:noProof/>
                <w:color w:val="auto"/>
                <w:sz w:val="16"/>
                <w:szCs w:val="16"/>
              </w:rPr>
            </w:pPr>
            <w:r w:rsidRPr="00946C18">
              <w:rPr>
                <w:rFonts w:eastAsia="Verdana" w:cs="Calibri"/>
                <w:b/>
                <w:noProof/>
                <w:color w:val="auto"/>
                <w:sz w:val="16"/>
                <w:szCs w:val="16"/>
              </w:rPr>
              <w:t>Beleidskeuzes uitgelegd</w:t>
            </w:r>
            <w:r w:rsidRPr="00946C18">
              <w:rPr>
                <w:color w:val="auto"/>
              </w:rPr>
              <w:t xml:space="preserve"> </w:t>
            </w:r>
          </w:p>
          <w:p w:rsidRPr="00946C18" w:rsidR="001F7077" w:rsidP="00BF6E39" w:rsidRDefault="001F7077" w14:paraId="23389F1C" w14:textId="77777777">
            <w:pPr>
              <w:spacing w:line="240" w:lineRule="auto"/>
              <w:rPr>
                <w:rFonts w:eastAsia="Verdana" w:cs="Calibri"/>
                <w:noProof/>
                <w:color w:val="auto"/>
                <w:sz w:val="16"/>
                <w:szCs w:val="16"/>
              </w:rPr>
            </w:pPr>
          </w:p>
        </w:tc>
      </w:tr>
      <w:tr w:rsidRPr="00946C18" w:rsidR="001F7077" w:rsidTr="00D20033" w14:paraId="4992E36B" w14:textId="77777777">
        <w:trPr>
          <w:trHeight w:val="74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7C3010" w:rsidR="001F7077" w:rsidP="00BF6E39" w:rsidRDefault="001F7077" w14:paraId="0CB66516" w14:textId="77777777">
            <w:pPr>
              <w:spacing w:line="240" w:lineRule="auto"/>
              <w:ind w:left="103"/>
              <w:rPr>
                <w:rFonts w:eastAsia="Verdana" w:cs="Calibri"/>
                <w:b/>
                <w:noProof/>
                <w:color w:val="auto"/>
                <w:sz w:val="16"/>
                <w:szCs w:val="16"/>
              </w:rPr>
            </w:pPr>
          </w:p>
          <w:p w:rsidRPr="007C3010" w:rsidR="001F7077" w:rsidP="001F7077" w:rsidRDefault="001F7077" w14:paraId="4C50B27E" w14:textId="77777777">
            <w:pPr>
              <w:numPr>
                <w:ilvl w:val="0"/>
                <w:numId w:val="11"/>
              </w:numPr>
              <w:autoSpaceDN/>
              <w:spacing w:after="160" w:line="240" w:lineRule="auto"/>
              <w:rPr>
                <w:rFonts w:eastAsia="Verdana" w:cs="Calibri"/>
                <w:b/>
                <w:noProof/>
                <w:color w:val="auto"/>
                <w:sz w:val="16"/>
                <w:szCs w:val="16"/>
              </w:rPr>
            </w:pPr>
            <w:r w:rsidRPr="007C3010">
              <w:rPr>
                <w:rFonts w:eastAsia="Verdana" w:cs="Calibri"/>
                <w:b/>
                <w:noProof/>
                <w:color w:val="auto"/>
                <w:sz w:val="16"/>
                <w:szCs w:val="16"/>
              </w:rPr>
              <w:t xml:space="preserve">Doel(en) </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7C3010" w:rsidR="007A6C65" w:rsidP="007A6C65" w:rsidRDefault="007A6C65" w14:paraId="4EDC59C6" w14:textId="77777777">
            <w:pPr>
              <w:rPr>
                <w:sz w:val="16"/>
                <w:szCs w:val="16"/>
                <w:lang w:val="nl-NL"/>
              </w:rPr>
            </w:pPr>
            <w:r w:rsidRPr="007C3010">
              <w:rPr>
                <w:sz w:val="16"/>
                <w:szCs w:val="16"/>
                <w:lang w:val="nl-NL"/>
              </w:rPr>
              <w:t>Het terugdringen van de woningnood is een topprioriteit van dit kabinet.</w:t>
            </w:r>
            <w:r w:rsidRPr="007C3010" w:rsidR="00EE783A">
              <w:rPr>
                <w:sz w:val="16"/>
                <w:szCs w:val="16"/>
                <w:lang w:val="nl-NL"/>
              </w:rPr>
              <w:t xml:space="preserve"> </w:t>
            </w:r>
            <w:r w:rsidRPr="007C3010" w:rsidR="00EE783A">
              <w:rPr>
                <w:rFonts w:eastAsia="Verdana" w:cs="Calibri"/>
                <w:noProof/>
                <w:color w:val="auto"/>
                <w:sz w:val="16"/>
                <w:szCs w:val="16"/>
                <w:lang w:val="nl-NL"/>
              </w:rPr>
              <w:t xml:space="preserve">Het hoofddoel is om </w:t>
            </w:r>
            <w:r w:rsidRPr="007C3010" w:rsidR="00EE783A">
              <w:rPr>
                <w:rStyle w:val="cf01"/>
                <w:rFonts w:ascii="Verdana" w:hAnsi="Verdana"/>
                <w:sz w:val="16"/>
                <w:szCs w:val="16"/>
                <w:lang w:val="nl-NL"/>
              </w:rPr>
              <w:t xml:space="preserve">100.000 woningen per jaar te </w:t>
            </w:r>
            <w:r w:rsidR="00400CC8">
              <w:rPr>
                <w:rStyle w:val="cf01"/>
                <w:rFonts w:ascii="Verdana" w:hAnsi="Verdana"/>
                <w:sz w:val="16"/>
                <w:szCs w:val="16"/>
                <w:lang w:val="nl-NL"/>
              </w:rPr>
              <w:t>realiseren</w:t>
            </w:r>
            <w:r w:rsidRPr="007C3010" w:rsidR="00EE783A">
              <w:rPr>
                <w:rStyle w:val="cf01"/>
                <w:rFonts w:ascii="Verdana" w:hAnsi="Verdana"/>
                <w:sz w:val="16"/>
                <w:szCs w:val="16"/>
                <w:lang w:val="nl-NL"/>
              </w:rPr>
              <w:t>.</w:t>
            </w:r>
            <w:r w:rsidRPr="007C3010" w:rsidR="00635E51">
              <w:rPr>
                <w:rStyle w:val="cf01"/>
                <w:rFonts w:ascii="Verdana" w:hAnsi="Verdana"/>
                <w:sz w:val="16"/>
                <w:szCs w:val="16"/>
                <w:lang w:val="nl-NL"/>
              </w:rPr>
              <w:t xml:space="preserve"> </w:t>
            </w:r>
            <w:r w:rsidRPr="007C3010">
              <w:rPr>
                <w:sz w:val="16"/>
                <w:szCs w:val="16"/>
                <w:lang w:val="nl-NL"/>
              </w:rPr>
              <w:t xml:space="preserve">Er is jarenlang te weinig gebouwd in verhouding tot de groei van de bevolking en kleinere huishoudens. Naast dat er meer en sneller gebouwd moet worden, wordt er ook gewerkt aan de betaalbaarheid en kwaliteit van woningen en de leefomgeving. Onder meer met het vereenvoudigen van de huurtoeslag, een aanpak voor funderingsschade, het maken van nieuwe Nationale Prestatieafspraken met woningcorporaties (NPA) en de voortzetting van het Nationaal Programma Leefbaarheid en Veiligheid (NPLV). Ook moeten er keuzes worden gemaakt in de Nederlandse schaarse ruimte voor onder andere wonen en werken, landbouw en defensie. </w:t>
            </w:r>
          </w:p>
          <w:p w:rsidRPr="007C3010" w:rsidR="001F7077" w:rsidP="00D20033" w:rsidRDefault="007A6C65" w14:paraId="766CDE23" w14:textId="77777777">
            <w:pPr>
              <w:rPr>
                <w:rFonts w:eastAsia="Verdana" w:cs="Calibri"/>
                <w:noProof/>
                <w:color w:val="auto"/>
                <w:sz w:val="16"/>
                <w:szCs w:val="16"/>
                <w:lang w:val="nl-NL"/>
              </w:rPr>
            </w:pPr>
            <w:r w:rsidRPr="007C3010">
              <w:rPr>
                <w:sz w:val="16"/>
                <w:szCs w:val="16"/>
                <w:lang w:val="nl-NL"/>
              </w:rPr>
              <w:t xml:space="preserve">Om de kabinetsplannen uit te werken en uit te voeren is er een aparte reeks opgenomen voor uitvoeringskosten. </w:t>
            </w:r>
          </w:p>
        </w:tc>
      </w:tr>
      <w:tr w:rsidRPr="00946C18" w:rsidR="001F7077" w:rsidTr="00D20033" w14:paraId="64F73C60" w14:textId="77777777">
        <w:trPr>
          <w:trHeight w:val="2500"/>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1F7077" w:rsidP="00BF6E39" w:rsidRDefault="001F7077" w14:paraId="232B5FB5" w14:textId="77777777">
            <w:pPr>
              <w:spacing w:line="240" w:lineRule="auto"/>
              <w:ind w:left="103" w:right="231"/>
              <w:rPr>
                <w:rFonts w:eastAsia="Verdana" w:cs="Calibri"/>
                <w:b/>
                <w:noProof/>
                <w:color w:val="auto"/>
                <w:sz w:val="16"/>
                <w:szCs w:val="16"/>
                <w:lang w:val="nl-NL"/>
              </w:rPr>
            </w:pPr>
          </w:p>
          <w:p w:rsidRPr="00946C18" w:rsidR="001F7077" w:rsidP="001F7077" w:rsidRDefault="001F7077" w14:paraId="52036271" w14:textId="77777777">
            <w:pPr>
              <w:numPr>
                <w:ilvl w:val="0"/>
                <w:numId w:val="11"/>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Beleidsinstrument(en)</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50663A" w:rsidR="001F7077" w:rsidP="00603436" w:rsidRDefault="00984451" w14:paraId="66E47206" w14:textId="77777777">
            <w:pPr>
              <w:rPr>
                <w:rFonts w:eastAsia="Verdana" w:cs="Calibri"/>
                <w:noProof/>
                <w:color w:val="auto"/>
                <w:sz w:val="16"/>
                <w:szCs w:val="16"/>
                <w:lang w:val="nl-NL"/>
              </w:rPr>
            </w:pPr>
            <w:r w:rsidRPr="00984451">
              <w:rPr>
                <w:sz w:val="16"/>
                <w:szCs w:val="16"/>
                <w:lang w:val="nl-NL"/>
              </w:rPr>
              <w:t xml:space="preserve">Bij de uitwerking van de nieuwe woningbouwmaatregelen wordt ook de nadere uitwerking van de uitvoeringskosten bezien. Bij de Voorjaarsnota 2025 </w:t>
            </w:r>
            <w:r>
              <w:rPr>
                <w:sz w:val="16"/>
                <w:szCs w:val="16"/>
                <w:lang w:val="nl-NL"/>
              </w:rPr>
              <w:t>zal de verdere verdeling van deze middelen over de verschillende begrotingsonderdelen zichtbaar zijn.</w:t>
            </w:r>
            <w:r w:rsidRPr="00984451">
              <w:rPr>
                <w:sz w:val="16"/>
                <w:szCs w:val="16"/>
                <w:lang w:val="nl-NL"/>
              </w:rPr>
              <w:t xml:space="preserve"> Het gaat hier om uitvoeringskosten die betrekking hebben op de verschillende maatregelen die in deze kamerbrief genoemd worden (zie hiervoor de andere kaders “Beleidskeuzes uitgelegd”</w:t>
            </w:r>
            <w:r w:rsidR="00D20033">
              <w:rPr>
                <w:sz w:val="16"/>
                <w:szCs w:val="16"/>
                <w:lang w:val="nl-NL"/>
              </w:rPr>
              <w:t>)</w:t>
            </w:r>
            <w:r w:rsidRPr="00984451">
              <w:rPr>
                <w:sz w:val="16"/>
                <w:szCs w:val="16"/>
                <w:lang w:val="nl-NL"/>
              </w:rPr>
              <w:t xml:space="preserve">. </w:t>
            </w:r>
          </w:p>
        </w:tc>
      </w:tr>
      <w:tr w:rsidRPr="00946C18" w:rsidR="001F7077" w:rsidTr="00D20033" w14:paraId="13197CEE" w14:textId="77777777">
        <w:trPr>
          <w:trHeight w:val="65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1F7077" w:rsidP="00BF6E39" w:rsidRDefault="001F7077" w14:paraId="7BD413CD" w14:textId="77777777">
            <w:pPr>
              <w:spacing w:line="240" w:lineRule="auto"/>
              <w:ind w:left="463" w:right="231"/>
              <w:rPr>
                <w:rFonts w:eastAsia="Verdana" w:cs="Calibri"/>
                <w:b/>
                <w:noProof/>
                <w:color w:val="auto"/>
                <w:sz w:val="16"/>
                <w:szCs w:val="16"/>
                <w:lang w:val="nl-NL"/>
              </w:rPr>
            </w:pPr>
          </w:p>
          <w:p w:rsidRPr="007461E2" w:rsidR="001F7077" w:rsidP="001F7077" w:rsidRDefault="001F7077" w14:paraId="12089304" w14:textId="77777777">
            <w:pPr>
              <w:numPr>
                <w:ilvl w:val="0"/>
                <w:numId w:val="11"/>
              </w:numPr>
              <w:autoSpaceDN/>
              <w:spacing w:after="160" w:line="240" w:lineRule="auto"/>
              <w:ind w:right="231"/>
              <w:rPr>
                <w:rFonts w:eastAsia="Verdana" w:cs="Calibri"/>
                <w:b/>
                <w:noProof/>
                <w:color w:val="auto"/>
                <w:sz w:val="16"/>
                <w:szCs w:val="16"/>
                <w:lang w:val="nl-NL"/>
              </w:rPr>
            </w:pPr>
            <w:r w:rsidRPr="007461E2">
              <w:rPr>
                <w:rFonts w:eastAsia="Verdana" w:cs="Calibri"/>
                <w:b/>
                <w:noProof/>
                <w:color w:val="auto"/>
                <w:sz w:val="16"/>
                <w:szCs w:val="16"/>
                <w:lang w:val="nl-NL"/>
              </w:rPr>
              <w:t>A. Financiële gevolgen voor het Rijk</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7461E2" w:rsidR="001F7077" w:rsidP="00D20033" w:rsidRDefault="007A6C65" w14:paraId="6DFCB786" w14:textId="77777777">
            <w:pPr>
              <w:rPr>
                <w:rFonts w:eastAsia="Verdana" w:cs="Calibri"/>
                <w:noProof/>
                <w:color w:val="auto"/>
                <w:sz w:val="16"/>
                <w:szCs w:val="16"/>
                <w:lang w:val="nl-NL"/>
              </w:rPr>
            </w:pPr>
            <w:r w:rsidRPr="00F06DA4">
              <w:rPr>
                <w:sz w:val="16"/>
                <w:szCs w:val="16"/>
                <w:lang w:val="nl-NL" w:eastAsia="nl-NL"/>
              </w:rPr>
              <w:t>De uitgaven voor uitvoering woningbouw worden verantwoord op artikel 1.2 Woningbouw van de VRO-begroting. Hiervoor is tot en met 2032 cumulatief € 136 mln. beschikbaar.</w:t>
            </w:r>
          </w:p>
        </w:tc>
      </w:tr>
      <w:tr w:rsidRPr="00946C18" w:rsidR="001F7077" w:rsidTr="00D20033" w14:paraId="17FA7C55" w14:textId="77777777">
        <w:trPr>
          <w:trHeight w:val="72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7461E2" w:rsidR="001F7077" w:rsidP="00BF6E39" w:rsidRDefault="001F7077" w14:paraId="53DA63A4" w14:textId="77777777">
            <w:pPr>
              <w:spacing w:line="240" w:lineRule="auto"/>
              <w:ind w:left="463" w:right="231"/>
              <w:rPr>
                <w:rFonts w:eastAsia="Verdana" w:cs="Calibri"/>
                <w:b/>
                <w:noProof/>
                <w:color w:val="auto"/>
                <w:sz w:val="16"/>
                <w:szCs w:val="16"/>
                <w:lang w:val="nl-NL"/>
              </w:rPr>
            </w:pPr>
          </w:p>
          <w:p w:rsidRPr="007461E2" w:rsidR="001F7077" w:rsidP="00BF6E39" w:rsidRDefault="001F7077" w14:paraId="7C2D78B8" w14:textId="77777777">
            <w:pPr>
              <w:spacing w:line="240" w:lineRule="auto"/>
              <w:ind w:left="463" w:right="231"/>
              <w:rPr>
                <w:rFonts w:eastAsia="Verdana" w:cs="Calibri"/>
                <w:b/>
                <w:noProof/>
                <w:color w:val="auto"/>
                <w:sz w:val="16"/>
                <w:szCs w:val="16"/>
                <w:lang w:val="nl-NL"/>
              </w:rPr>
            </w:pPr>
            <w:r w:rsidRPr="007461E2">
              <w:rPr>
                <w:rFonts w:eastAsia="Verdana" w:cs="Calibri"/>
                <w:b/>
                <w:noProof/>
                <w:color w:val="auto"/>
                <w:sz w:val="16"/>
                <w:szCs w:val="16"/>
                <w:lang w:val="nl-NL"/>
              </w:rPr>
              <w:t xml:space="preserve">B. Financiële gevolgen voor maatschappelijke sectoren </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7461E2" w:rsidR="001F7077" w:rsidP="00D20033" w:rsidRDefault="007A6C65" w14:paraId="777D2B7E" w14:textId="77777777">
            <w:pPr>
              <w:rPr>
                <w:rFonts w:eastAsia="Verdana" w:cs="Calibri"/>
                <w:noProof/>
                <w:color w:val="auto"/>
                <w:sz w:val="16"/>
                <w:szCs w:val="16"/>
                <w:lang w:val="nl-NL"/>
              </w:rPr>
            </w:pPr>
            <w:r w:rsidRPr="00F06DA4">
              <w:rPr>
                <w:sz w:val="16"/>
                <w:szCs w:val="16"/>
                <w:lang w:val="nl-NL"/>
              </w:rPr>
              <w:t xml:space="preserve">Niet van toepassing. </w:t>
            </w:r>
          </w:p>
        </w:tc>
      </w:tr>
      <w:tr w:rsidRPr="00946C18" w:rsidR="001F7077" w:rsidTr="00D20033" w14:paraId="72545820" w14:textId="77777777">
        <w:trPr>
          <w:trHeight w:val="778"/>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7461E2" w:rsidR="001F7077" w:rsidP="00BF6E39" w:rsidRDefault="001F7077" w14:paraId="7F809095" w14:textId="77777777">
            <w:pPr>
              <w:spacing w:line="240" w:lineRule="auto"/>
              <w:ind w:left="463" w:right="231"/>
              <w:rPr>
                <w:rFonts w:eastAsia="Verdana" w:cs="Calibri"/>
                <w:b/>
                <w:noProof/>
                <w:color w:val="auto"/>
                <w:sz w:val="16"/>
                <w:szCs w:val="16"/>
                <w:lang w:val="nl-NL"/>
              </w:rPr>
            </w:pPr>
          </w:p>
          <w:p w:rsidRPr="00946C18" w:rsidR="001F7077" w:rsidP="001F7077" w:rsidRDefault="001F7077" w14:paraId="02379DD1" w14:textId="77777777">
            <w:pPr>
              <w:numPr>
                <w:ilvl w:val="0"/>
                <w:numId w:val="11"/>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doeltreffendheid</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50663A" w:rsidR="001F7077" w:rsidP="00D20033" w:rsidRDefault="007A6C65" w14:paraId="2AAE0DCE" w14:textId="77777777">
            <w:pPr>
              <w:rPr>
                <w:rFonts w:eastAsia="Verdana" w:cs="Calibri"/>
                <w:noProof/>
                <w:color w:val="auto"/>
                <w:sz w:val="16"/>
                <w:szCs w:val="16"/>
                <w:lang w:val="nl-NL"/>
              </w:rPr>
            </w:pPr>
            <w:r w:rsidRPr="00F06DA4">
              <w:rPr>
                <w:sz w:val="16"/>
                <w:szCs w:val="16"/>
                <w:lang w:val="nl-NL"/>
              </w:rPr>
              <w:t xml:space="preserve">De middelen zijn bedoeld voor de uitwerking en uitvoering van het beleid van het ministerie van VRO. Een doeltreffende besteding van middelen is onderdeel van de uitwerking van het beleid. </w:t>
            </w:r>
          </w:p>
        </w:tc>
      </w:tr>
      <w:tr w:rsidRPr="00946C18" w:rsidR="001F7077" w:rsidTr="00D20033" w14:paraId="5567055B" w14:textId="77777777">
        <w:trPr>
          <w:trHeight w:val="80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1F7077" w:rsidP="00BF6E39" w:rsidRDefault="001F7077" w14:paraId="28C5AEA0" w14:textId="77777777">
            <w:pPr>
              <w:spacing w:line="240" w:lineRule="auto"/>
              <w:rPr>
                <w:rFonts w:eastAsia="Verdana" w:cs="Calibri"/>
                <w:i/>
                <w:noProof/>
                <w:color w:val="auto"/>
                <w:sz w:val="16"/>
                <w:szCs w:val="16"/>
                <w:lang w:val="nl-NL"/>
              </w:rPr>
            </w:pPr>
          </w:p>
          <w:p w:rsidRPr="00946C18" w:rsidR="001F7077" w:rsidP="001F7077" w:rsidRDefault="001F7077" w14:paraId="42C8F249" w14:textId="77777777">
            <w:pPr>
              <w:numPr>
                <w:ilvl w:val="0"/>
                <w:numId w:val="11"/>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doelmatigheid</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50663A" w:rsidR="001F7077" w:rsidP="00D20033" w:rsidRDefault="007A6C65" w14:paraId="3203C345" w14:textId="77777777">
            <w:pPr>
              <w:rPr>
                <w:rFonts w:eastAsia="Verdana" w:cs="Calibri"/>
                <w:noProof/>
                <w:color w:val="auto"/>
                <w:sz w:val="16"/>
                <w:szCs w:val="16"/>
                <w:lang w:val="nl-NL"/>
              </w:rPr>
            </w:pPr>
            <w:r w:rsidRPr="00F06DA4">
              <w:rPr>
                <w:sz w:val="16"/>
                <w:szCs w:val="16"/>
                <w:lang w:val="nl-NL"/>
              </w:rPr>
              <w:t xml:space="preserve">De middelen zijn bedoeld voor de uitwerking en uitvoering van het beleid van het ministerie van VRO. Een doeltreffende besteding van middelen is onderdeel van de uitwerking van het beleid. </w:t>
            </w:r>
          </w:p>
        </w:tc>
      </w:tr>
      <w:tr w:rsidRPr="00946C18" w:rsidR="001F7077" w:rsidTr="00D20033" w14:paraId="2FEE2E02" w14:textId="77777777">
        <w:trPr>
          <w:trHeight w:val="80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1F7077" w:rsidP="00BF6E39" w:rsidRDefault="001F7077" w14:paraId="6C456559" w14:textId="77777777">
            <w:pPr>
              <w:spacing w:line="240" w:lineRule="auto"/>
              <w:ind w:left="103" w:right="1066"/>
              <w:rPr>
                <w:rFonts w:eastAsia="Verdana" w:cs="Calibri"/>
                <w:b/>
                <w:noProof/>
                <w:color w:val="auto"/>
                <w:sz w:val="16"/>
                <w:szCs w:val="16"/>
                <w:lang w:val="nl-NL"/>
              </w:rPr>
            </w:pPr>
          </w:p>
          <w:p w:rsidRPr="00946C18" w:rsidR="001F7077" w:rsidP="001F7077" w:rsidRDefault="001F7077" w14:paraId="3D4DF9BF" w14:textId="77777777">
            <w:pPr>
              <w:numPr>
                <w:ilvl w:val="0"/>
                <w:numId w:val="11"/>
              </w:numPr>
              <w:autoSpaceDN/>
              <w:spacing w:after="160" w:line="240" w:lineRule="auto"/>
              <w:ind w:right="231"/>
              <w:rPr>
                <w:rFonts w:eastAsia="Verdana" w:cs="Calibri"/>
                <w:noProof/>
                <w:color w:val="auto"/>
                <w:sz w:val="16"/>
                <w:szCs w:val="16"/>
              </w:rPr>
            </w:pPr>
            <w:r w:rsidRPr="00946C18">
              <w:rPr>
                <w:rFonts w:eastAsia="Verdana" w:cs="Calibri"/>
                <w:b/>
                <w:noProof/>
                <w:color w:val="auto"/>
                <w:sz w:val="16"/>
                <w:szCs w:val="16"/>
              </w:rPr>
              <w:t>Evaluatieparagraaf</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F06DA4" w:rsidR="007A6C65" w:rsidP="007A6C65" w:rsidRDefault="007A6C65" w14:paraId="7372FC4F" w14:textId="77777777">
            <w:pPr>
              <w:rPr>
                <w:sz w:val="16"/>
                <w:szCs w:val="16"/>
                <w:lang w:val="nl-NL"/>
              </w:rPr>
            </w:pPr>
            <w:proofErr w:type="gramStart"/>
            <w:r w:rsidRPr="00F06DA4">
              <w:rPr>
                <w:sz w:val="16"/>
                <w:szCs w:val="16"/>
                <w:lang w:val="nl-NL"/>
              </w:rPr>
              <w:t>Conform</w:t>
            </w:r>
            <w:proofErr w:type="gramEnd"/>
            <w:r w:rsidRPr="00F06DA4">
              <w:rPr>
                <w:sz w:val="16"/>
                <w:szCs w:val="16"/>
                <w:lang w:val="nl-NL"/>
              </w:rPr>
              <w:t xml:space="preserve"> de Regeling periodiek evaluatieonderzoek rapporteert de minister eens in de vier tot zeven jaar over het </w:t>
            </w:r>
            <w:r w:rsidR="00984451">
              <w:rPr>
                <w:sz w:val="16"/>
                <w:szCs w:val="16"/>
                <w:lang w:val="nl-NL"/>
              </w:rPr>
              <w:t>opgedane</w:t>
            </w:r>
            <w:r w:rsidRPr="00F06DA4">
              <w:rPr>
                <w:sz w:val="16"/>
                <w:szCs w:val="16"/>
                <w:lang w:val="nl-NL"/>
              </w:rPr>
              <w:t xml:space="preserve"> inzicht in de (voorwaarden voor) de doelmatigheid en de doeltreffendheid van de maatregelen en over de mogelijkheden om de (kans op) doeltreffendheid en doelmatig van het beleid te vergroten. Voor de thema’s Woningmarkt en Woningbouw zal in 2028 de volgende periodieke rapportage aan de Kamer worden aangeboden. </w:t>
            </w:r>
          </w:p>
          <w:p w:rsidRPr="0050663A" w:rsidR="001F7077" w:rsidP="00BF6E39" w:rsidRDefault="001F7077" w14:paraId="1D46606E" w14:textId="77777777">
            <w:pPr>
              <w:spacing w:line="213" w:lineRule="exact"/>
              <w:ind w:left="101"/>
              <w:rPr>
                <w:rFonts w:eastAsia="Verdana" w:cs="Calibri"/>
                <w:noProof/>
                <w:color w:val="auto"/>
                <w:sz w:val="16"/>
                <w:szCs w:val="16"/>
                <w:lang w:val="nl-NL"/>
              </w:rPr>
            </w:pPr>
          </w:p>
        </w:tc>
      </w:tr>
    </w:tbl>
    <w:p w:rsidR="00C70427" w:rsidRDefault="00C70427" w14:paraId="5F67D898" w14:textId="77777777"/>
    <w:p w:rsidR="00C70427" w:rsidRDefault="00C70427" w14:paraId="2DED1F34" w14:textId="77777777">
      <w:pPr>
        <w:spacing w:line="240" w:lineRule="auto"/>
      </w:pPr>
      <w:r>
        <w:br w:type="page"/>
      </w:r>
    </w:p>
    <w:p w:rsidR="00E44EBA" w:rsidRDefault="00E44EBA" w14:paraId="7CD2DB83" w14:textId="77777777"/>
    <w:p w:rsidRPr="00C534BD" w:rsidR="0050663A" w:rsidP="0050663A" w:rsidRDefault="0050663A" w14:paraId="403C37B0" w14:textId="77777777">
      <w:pPr>
        <w:pStyle w:val="Lijstalinea"/>
        <w:numPr>
          <w:ilvl w:val="0"/>
          <w:numId w:val="7"/>
        </w:numPr>
        <w:rPr>
          <w:b/>
          <w:bCs/>
        </w:rPr>
      </w:pPr>
      <w:r>
        <w:rPr>
          <w:b/>
          <w:bCs/>
        </w:rPr>
        <w:t>Grootschalige woningbouwgebieden</w:t>
      </w:r>
    </w:p>
    <w:p w:rsidR="0050663A" w:rsidP="0050663A" w:rsidRDefault="0050663A" w14:paraId="61312198" w14:textId="77777777"/>
    <w:tbl>
      <w:tblPr>
        <w:tblStyle w:val="NormalTable0"/>
        <w:tblW w:w="7395"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ayout w:type="fixed"/>
        <w:tblLook w:val="01E0" w:firstRow="1" w:lastRow="1" w:firstColumn="1" w:lastColumn="1" w:noHBand="0" w:noVBand="0"/>
      </w:tblPr>
      <w:tblGrid>
        <w:gridCol w:w="3339"/>
        <w:gridCol w:w="4056"/>
      </w:tblGrid>
      <w:tr w:rsidRPr="00946C18" w:rsidR="0050663A" w:rsidTr="661E2C6A" w14:paraId="35138794" w14:textId="77777777">
        <w:trPr>
          <w:trHeight w:val="543"/>
        </w:trPr>
        <w:tc>
          <w:tcPr>
            <w:tcW w:w="7395" w:type="dxa"/>
            <w:gridSpan w:val="2"/>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vAlign w:val="center"/>
            <w:hideMark/>
          </w:tcPr>
          <w:p w:rsidRPr="00946C18" w:rsidR="0050663A" w:rsidP="004F79C9" w:rsidRDefault="0050663A" w14:paraId="34E2A913" w14:textId="77777777">
            <w:pPr>
              <w:spacing w:line="240" w:lineRule="auto"/>
              <w:rPr>
                <w:rFonts w:eastAsia="Verdana" w:cs="Calibri"/>
                <w:b/>
                <w:noProof/>
                <w:color w:val="auto"/>
                <w:sz w:val="16"/>
                <w:szCs w:val="16"/>
              </w:rPr>
            </w:pPr>
            <w:r w:rsidRPr="00946C18">
              <w:rPr>
                <w:rFonts w:eastAsia="Verdana" w:cs="Calibri"/>
                <w:b/>
                <w:noProof/>
                <w:color w:val="auto"/>
                <w:sz w:val="16"/>
                <w:szCs w:val="16"/>
              </w:rPr>
              <w:t>Beleidskeuzes uitgelegd</w:t>
            </w:r>
            <w:r w:rsidRPr="00946C18">
              <w:rPr>
                <w:color w:val="auto"/>
              </w:rPr>
              <w:t xml:space="preserve"> </w:t>
            </w:r>
          </w:p>
          <w:p w:rsidRPr="00946C18" w:rsidR="0050663A" w:rsidP="004F79C9" w:rsidRDefault="0050663A" w14:paraId="767D041B" w14:textId="77777777">
            <w:pPr>
              <w:spacing w:line="240" w:lineRule="auto"/>
              <w:rPr>
                <w:rFonts w:eastAsia="Verdana" w:cs="Calibri"/>
                <w:noProof/>
                <w:color w:val="auto"/>
                <w:sz w:val="16"/>
                <w:szCs w:val="16"/>
              </w:rPr>
            </w:pPr>
          </w:p>
        </w:tc>
      </w:tr>
      <w:tr w:rsidRPr="00946C18" w:rsidR="0050663A" w:rsidTr="661E2C6A" w14:paraId="56062416" w14:textId="77777777">
        <w:trPr>
          <w:trHeight w:val="741"/>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946C18" w:rsidR="0050663A" w:rsidP="004F79C9" w:rsidRDefault="0050663A" w14:paraId="494517B3" w14:textId="77777777">
            <w:pPr>
              <w:spacing w:line="240" w:lineRule="auto"/>
              <w:ind w:left="103"/>
              <w:rPr>
                <w:rFonts w:eastAsia="Verdana" w:cs="Calibri"/>
                <w:b/>
                <w:noProof/>
                <w:color w:val="auto"/>
                <w:sz w:val="16"/>
                <w:szCs w:val="16"/>
              </w:rPr>
            </w:pPr>
          </w:p>
          <w:p w:rsidRPr="0085424F" w:rsidR="0050663A" w:rsidP="0085424F" w:rsidRDefault="0050663A" w14:paraId="7AAB0D2F" w14:textId="77777777">
            <w:pPr>
              <w:pStyle w:val="Lijstalinea"/>
              <w:numPr>
                <w:ilvl w:val="0"/>
                <w:numId w:val="13"/>
              </w:numPr>
              <w:autoSpaceDN/>
              <w:spacing w:after="160" w:line="240" w:lineRule="auto"/>
              <w:rPr>
                <w:rFonts w:eastAsia="Verdana" w:cs="Calibri"/>
                <w:b/>
                <w:noProof/>
                <w:color w:val="auto"/>
                <w:sz w:val="16"/>
                <w:szCs w:val="16"/>
              </w:rPr>
            </w:pPr>
            <w:r w:rsidRPr="0085424F">
              <w:rPr>
                <w:rFonts w:eastAsia="Verdana" w:cs="Calibri"/>
                <w:b/>
                <w:noProof/>
                <w:color w:val="auto"/>
                <w:sz w:val="16"/>
                <w:szCs w:val="16"/>
              </w:rPr>
              <w:t xml:space="preserve">Doel(en) </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995C05" w:rsidP="00995C05" w:rsidRDefault="00995C05" w14:paraId="0F25B824" w14:textId="77777777">
            <w:pPr>
              <w:spacing w:before="10" w:line="218" w:lineRule="exact"/>
              <w:ind w:left="101" w:right="154"/>
              <w:rPr>
                <w:rFonts w:eastAsia="Verdana" w:cs="Calibri"/>
                <w:noProof/>
                <w:color w:val="auto"/>
                <w:sz w:val="16"/>
                <w:szCs w:val="16"/>
                <w:lang w:val="nl-NL"/>
              </w:rPr>
            </w:pPr>
            <w:r w:rsidRPr="00B25C76">
              <w:rPr>
                <w:rFonts w:eastAsia="Verdana" w:cs="Calibri"/>
                <w:noProof/>
                <w:color w:val="auto"/>
                <w:sz w:val="16"/>
                <w:szCs w:val="16"/>
                <w:lang w:val="nl-NL"/>
              </w:rPr>
              <w:t>Grootschalige woningbouw</w:t>
            </w:r>
            <w:r w:rsidR="00D63CC0">
              <w:rPr>
                <w:rFonts w:eastAsia="Verdana" w:cs="Calibri"/>
                <w:noProof/>
                <w:color w:val="auto"/>
                <w:sz w:val="16"/>
                <w:szCs w:val="16"/>
                <w:lang w:val="nl-NL"/>
              </w:rPr>
              <w:t>gebieden</w:t>
            </w:r>
            <w:r w:rsidRPr="00B25C76">
              <w:rPr>
                <w:rFonts w:eastAsia="Verdana" w:cs="Calibri"/>
                <w:noProof/>
                <w:color w:val="auto"/>
                <w:sz w:val="16"/>
                <w:szCs w:val="16"/>
                <w:lang w:val="nl-NL"/>
              </w:rPr>
              <w:t xml:space="preserve"> zijn nodig omdat in een aantal gebieden in Nederland het woningtekort zo groot is, dat alleen kleine en middelgrote locaties met goede betaalbare woningen onvoldoende zijn om toe te groeien naar de realisatie van 100.000 woningen per jaar. Dit is benoemd als politiek doel in het Hoofdlijnenakkoord</w:t>
            </w:r>
            <w:r w:rsidR="00D63CC0">
              <w:rPr>
                <w:rFonts w:eastAsia="Verdana" w:cs="Calibri"/>
                <w:noProof/>
                <w:color w:val="auto"/>
                <w:sz w:val="16"/>
                <w:szCs w:val="16"/>
                <w:lang w:val="nl-NL"/>
              </w:rPr>
              <w:t xml:space="preserve"> en vervolgens uitgewerkt in het regeerprogramma</w:t>
            </w:r>
            <w:r w:rsidRPr="00B25C76">
              <w:rPr>
                <w:rFonts w:eastAsia="Verdana" w:cs="Calibri"/>
                <w:noProof/>
                <w:color w:val="auto"/>
                <w:sz w:val="16"/>
                <w:szCs w:val="16"/>
                <w:lang w:val="nl-NL"/>
              </w:rPr>
              <w:t>. Ca. 40% van de nieuwe woningen t/m 2033 ligt binnen de grootschalige woningbouw</w:t>
            </w:r>
            <w:r w:rsidR="00D63CC0">
              <w:rPr>
                <w:rFonts w:eastAsia="Verdana" w:cs="Calibri"/>
                <w:noProof/>
                <w:color w:val="auto"/>
                <w:sz w:val="16"/>
                <w:szCs w:val="16"/>
                <w:lang w:val="nl-NL"/>
              </w:rPr>
              <w:t>gebieden</w:t>
            </w:r>
            <w:r w:rsidRPr="00B25C76">
              <w:rPr>
                <w:rFonts w:eastAsia="Verdana" w:cs="Calibri"/>
                <w:noProof/>
                <w:color w:val="auto"/>
                <w:sz w:val="16"/>
                <w:szCs w:val="16"/>
                <w:lang w:val="nl-NL"/>
              </w:rPr>
              <w:t>. Het gaat om</w:t>
            </w:r>
            <w:r w:rsidR="00D63CC0">
              <w:rPr>
                <w:rFonts w:eastAsia="Verdana" w:cs="Calibri"/>
                <w:noProof/>
                <w:color w:val="auto"/>
                <w:sz w:val="16"/>
                <w:szCs w:val="16"/>
                <w:lang w:val="nl-NL"/>
              </w:rPr>
              <w:t xml:space="preserve"> het realiseren van</w:t>
            </w:r>
            <w:r w:rsidRPr="00B25C76">
              <w:rPr>
                <w:rFonts w:eastAsia="Verdana" w:cs="Calibri"/>
                <w:noProof/>
                <w:color w:val="auto"/>
                <w:sz w:val="16"/>
                <w:szCs w:val="16"/>
                <w:lang w:val="nl-NL"/>
              </w:rPr>
              <w:t xml:space="preserve"> gehele wijken en buurten</w:t>
            </w:r>
            <w:r w:rsidR="00D63CC0">
              <w:rPr>
                <w:rFonts w:eastAsia="Verdana" w:cs="Calibri"/>
                <w:noProof/>
                <w:color w:val="auto"/>
                <w:sz w:val="16"/>
                <w:szCs w:val="16"/>
                <w:lang w:val="nl-NL"/>
              </w:rPr>
              <w:t xml:space="preserve">, oftewel </w:t>
            </w:r>
            <w:r w:rsidRPr="00B25C76">
              <w:rPr>
                <w:rFonts w:eastAsia="Verdana" w:cs="Calibri"/>
                <w:noProof/>
                <w:color w:val="auto"/>
                <w:sz w:val="16"/>
                <w:szCs w:val="16"/>
                <w:lang w:val="nl-NL"/>
              </w:rPr>
              <w:t xml:space="preserve">bredere gebiedsontwikkeling. De ontwikkeling van deze gebieden vraagt – naast private investeringen – ook om publieke investeringen. </w:t>
            </w:r>
          </w:p>
          <w:p w:rsidRPr="00B25C76" w:rsidR="00995C05" w:rsidP="00995C05" w:rsidRDefault="00995C05" w14:paraId="3515FE7E" w14:textId="77777777">
            <w:pPr>
              <w:spacing w:before="10" w:line="218" w:lineRule="exact"/>
              <w:ind w:left="101" w:right="154"/>
              <w:rPr>
                <w:rFonts w:eastAsia="Verdana" w:cs="Calibri"/>
                <w:noProof/>
                <w:color w:val="auto"/>
                <w:sz w:val="16"/>
                <w:szCs w:val="16"/>
                <w:lang w:val="nl-NL"/>
              </w:rPr>
            </w:pPr>
            <w:r w:rsidRPr="00B25C76">
              <w:rPr>
                <w:rFonts w:eastAsia="Verdana" w:cs="Calibri"/>
                <w:noProof/>
                <w:color w:val="auto"/>
                <w:sz w:val="16"/>
                <w:szCs w:val="16"/>
                <w:lang w:val="nl-NL"/>
              </w:rPr>
              <w:t xml:space="preserve">Het doel van deze regeling is om gemeenten in staat te stellen gebiedsmaatregelen te realiseren die als randvoorwaarden noodzakelijk zijn om </w:t>
            </w:r>
            <w:r w:rsidR="007A6C65">
              <w:rPr>
                <w:rFonts w:eastAsia="Verdana" w:cs="Calibri"/>
                <w:noProof/>
                <w:color w:val="auto"/>
                <w:sz w:val="16"/>
                <w:szCs w:val="16"/>
                <w:lang w:val="nl-NL"/>
              </w:rPr>
              <w:t xml:space="preserve">de huidige 17 en toekomstige </w:t>
            </w:r>
            <w:r w:rsidRPr="00B25C76">
              <w:rPr>
                <w:rFonts w:eastAsia="Verdana" w:cs="Calibri"/>
                <w:noProof/>
                <w:color w:val="auto"/>
                <w:sz w:val="16"/>
                <w:szCs w:val="16"/>
                <w:lang w:val="nl-NL"/>
              </w:rPr>
              <w:t>grootschalige woningbouw</w:t>
            </w:r>
            <w:r w:rsidR="00D63CC0">
              <w:rPr>
                <w:rFonts w:eastAsia="Verdana" w:cs="Calibri"/>
                <w:noProof/>
                <w:color w:val="auto"/>
                <w:sz w:val="16"/>
                <w:szCs w:val="16"/>
                <w:lang w:val="nl-NL"/>
              </w:rPr>
              <w:t>gebieden</w:t>
            </w:r>
            <w:r w:rsidR="007A6C65">
              <w:rPr>
                <w:rFonts w:eastAsia="Verdana" w:cs="Calibri"/>
                <w:noProof/>
                <w:color w:val="auto"/>
                <w:sz w:val="16"/>
                <w:szCs w:val="16"/>
                <w:lang w:val="nl-NL"/>
              </w:rPr>
              <w:t xml:space="preserve"> verder</w:t>
            </w:r>
            <w:r w:rsidRPr="00B25C76">
              <w:rPr>
                <w:rFonts w:eastAsia="Verdana" w:cs="Calibri"/>
                <w:noProof/>
                <w:color w:val="auto"/>
                <w:sz w:val="16"/>
                <w:szCs w:val="16"/>
                <w:lang w:val="nl-NL"/>
              </w:rPr>
              <w:t xml:space="preserve"> te ontwikkel</w:t>
            </w:r>
            <w:r w:rsidR="007A6C65">
              <w:rPr>
                <w:rFonts w:eastAsia="Verdana" w:cs="Calibri"/>
                <w:noProof/>
                <w:color w:val="auto"/>
                <w:sz w:val="16"/>
                <w:szCs w:val="16"/>
                <w:lang w:val="nl-NL"/>
              </w:rPr>
              <w:t>en</w:t>
            </w:r>
            <w:r w:rsidRPr="00B25C76">
              <w:rPr>
                <w:rFonts w:eastAsia="Verdana" w:cs="Calibri"/>
                <w:noProof/>
                <w:color w:val="auto"/>
                <w:sz w:val="16"/>
                <w:szCs w:val="16"/>
                <w:lang w:val="nl-NL"/>
              </w:rPr>
              <w:t xml:space="preserve"> en de bouw van woningen te realiseren. Denk hierbij ook aan het vinden van een goede balans tussen wonen en werken, bereikbaarheid, een klimaatbestendige inrichting van gebieden en de openbare ruimte. </w:t>
            </w:r>
          </w:p>
          <w:p w:rsidRPr="00B25C76" w:rsidR="00995C05" w:rsidP="661E2C6A" w:rsidRDefault="661E2C6A" w14:paraId="27D0F134" w14:textId="77777777">
            <w:pPr>
              <w:spacing w:before="10" w:line="218" w:lineRule="exact"/>
              <w:ind w:left="101" w:right="154"/>
              <w:rPr>
                <w:rFonts w:eastAsia="Verdana" w:cs="Calibri"/>
                <w:noProof/>
                <w:color w:val="auto"/>
                <w:sz w:val="16"/>
                <w:szCs w:val="16"/>
                <w:lang w:val="nl-NL"/>
              </w:rPr>
            </w:pPr>
            <w:r w:rsidRPr="661E2C6A">
              <w:rPr>
                <w:rFonts w:eastAsia="Verdana" w:cs="Calibri"/>
                <w:noProof/>
                <w:color w:val="auto"/>
                <w:sz w:val="16"/>
                <w:szCs w:val="16"/>
                <w:lang w:val="nl-NL"/>
              </w:rPr>
              <w:t xml:space="preserve">De financiële bijdrage vanuit het Rijk is nodig om een deel van het publieke tekort op de gebiedsontwikkeling te dekken en daarmee de realisatie van de woningen (versneld) tot stand te laten komen. Zonder bijdrage moeten ambities zodanig worden bijgesteld dat de scope van het project moet worden aangepast. </w:t>
            </w:r>
            <w:r w:rsidRPr="00EE255A" w:rsidR="00EE255A">
              <w:rPr>
                <w:rFonts w:eastAsia="Verdana" w:cs="Calibri"/>
                <w:noProof/>
                <w:color w:val="auto"/>
                <w:sz w:val="16"/>
                <w:szCs w:val="16"/>
                <w:lang w:val="nl-NL"/>
              </w:rPr>
              <w:t>Deze aanpassing van scope kan leiden tot minder woningen als de hinderbeperkende maatregelen niet kunnen worden beperkt door het toepassen van innovaties (zie kader 1)  of het nemen van maatregelen of aanpassingen in de regelgeving om hinder te beperken (dit kader). Ook kan het een (nadelig) effect hebben op het aandeel betaalbare woningen omdat het niet te financieren deel afgewenteld wordt op de prijssegmenten. Daarnaast kan het uitblijven van een rijksbijdrage leiden tot vertraging omdat gemeenten en (markt)partijen door beperkt weerstandsvermogen de financiële risico’s niet kunnen dragen van de gebiedsontwikkeling.</w:t>
            </w:r>
          </w:p>
          <w:p w:rsidRPr="00995C05" w:rsidR="0050663A" w:rsidP="00995C05" w:rsidRDefault="00995C05" w14:paraId="15C23208" w14:textId="77777777">
            <w:pPr>
              <w:spacing w:before="10" w:line="218" w:lineRule="exact"/>
              <w:ind w:left="101" w:right="154"/>
              <w:rPr>
                <w:rFonts w:eastAsia="Verdana" w:cs="Calibri"/>
                <w:noProof/>
                <w:color w:val="auto"/>
                <w:sz w:val="16"/>
                <w:szCs w:val="16"/>
                <w:lang w:val="nl-NL"/>
              </w:rPr>
            </w:pPr>
            <w:r w:rsidRPr="00995C05">
              <w:rPr>
                <w:rFonts w:eastAsia="Verdana" w:cs="Calibri"/>
                <w:noProof/>
                <w:color w:val="auto"/>
                <w:sz w:val="16"/>
                <w:szCs w:val="16"/>
                <w:lang w:val="nl-NL"/>
              </w:rPr>
              <w:t xml:space="preserve">Tegelijkertijd wordt op landelijk niveau verder </w:t>
            </w:r>
            <w:r w:rsidRPr="00995C05">
              <w:rPr>
                <w:rFonts w:eastAsia="Verdana" w:cs="Calibri"/>
                <w:noProof/>
                <w:color w:val="auto"/>
                <w:sz w:val="16"/>
                <w:szCs w:val="16"/>
                <w:lang w:val="nl-NL"/>
              </w:rPr>
              <w:lastRenderedPageBreak/>
              <w:t>gewerkt aan uitwerking van het mogelijke instrumentarium op het gebied van intensievere rijksbetrokkenheid en actief grondbeleid. Het IBO rapport ‘Woningbouw en Grond’ biedt hiervoor een waardevolle basis. Specifiek heeft de grondfaciliteit als doel het stimuleren van actief grondbeleid door gemeenten, bijvoorbeeld het strategisch verwerven van grondposities in gebiedsontwikkelingen. Actief grondbeleid leidt tot versterking van de publieke regierol en versnelling van de gebiedstransformatie. Financiële deelname van het Rijk via de grondfaciliteit in het gemeentelijke grondbeleid verlaagt het risic</w:t>
            </w:r>
            <w:r w:rsidR="007A6C65">
              <w:rPr>
                <w:rFonts w:eastAsia="Verdana" w:cs="Calibri"/>
                <w:noProof/>
                <w:color w:val="auto"/>
                <w:sz w:val="16"/>
                <w:szCs w:val="16"/>
                <w:lang w:val="nl-NL"/>
              </w:rPr>
              <w:t>o</w:t>
            </w:r>
            <w:r w:rsidRPr="00995C05">
              <w:rPr>
                <w:rFonts w:eastAsia="Verdana" w:cs="Calibri"/>
                <w:noProof/>
                <w:color w:val="auto"/>
                <w:sz w:val="16"/>
                <w:szCs w:val="16"/>
                <w:lang w:val="nl-NL"/>
              </w:rPr>
              <w:t xml:space="preserve"> van de investering en de druk op de gemeentefinanciën. Aan een dergelijke bijdrage verbindt het Rijk nadere sturingsafspraken, eventueel in de vorm van intensievere rijksbetrokkenheid.</w:t>
            </w:r>
          </w:p>
        </w:tc>
      </w:tr>
      <w:tr w:rsidRPr="00946C18" w:rsidR="0050663A" w:rsidTr="661E2C6A" w14:paraId="0CF5AA71" w14:textId="77777777">
        <w:trPr>
          <w:trHeight w:val="565"/>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995C05" w:rsidR="0050663A" w:rsidP="004F79C9" w:rsidRDefault="0050663A" w14:paraId="44A34F43" w14:textId="77777777">
            <w:pPr>
              <w:spacing w:line="240" w:lineRule="auto"/>
              <w:ind w:left="103" w:right="231"/>
              <w:rPr>
                <w:rFonts w:eastAsia="Verdana" w:cs="Calibri"/>
                <w:b/>
                <w:noProof/>
                <w:color w:val="auto"/>
                <w:sz w:val="16"/>
                <w:szCs w:val="16"/>
                <w:lang w:val="nl-NL"/>
              </w:rPr>
            </w:pPr>
          </w:p>
          <w:p w:rsidRPr="00946C18" w:rsidR="0050663A" w:rsidP="0085424F" w:rsidRDefault="0050663A" w14:paraId="48248D10" w14:textId="77777777">
            <w:pPr>
              <w:numPr>
                <w:ilvl w:val="0"/>
                <w:numId w:val="13"/>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Beleidsinstrument(en)</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995C05" w:rsidP="00995C05" w:rsidRDefault="007A6C65" w14:paraId="3D4482D8" w14:textId="77777777">
            <w:pPr>
              <w:spacing w:line="218" w:lineRule="exact"/>
              <w:ind w:left="101" w:right="543"/>
              <w:rPr>
                <w:rFonts w:eastAsia="Verdana" w:cs="Calibri"/>
                <w:noProof/>
                <w:color w:val="auto"/>
                <w:sz w:val="16"/>
                <w:szCs w:val="16"/>
                <w:lang w:val="nl-NL"/>
              </w:rPr>
            </w:pPr>
            <w:r>
              <w:rPr>
                <w:rFonts w:eastAsia="Verdana" w:cs="Calibri"/>
                <w:noProof/>
                <w:color w:val="auto"/>
                <w:sz w:val="16"/>
                <w:szCs w:val="16"/>
                <w:lang w:val="nl-NL"/>
              </w:rPr>
              <w:t xml:space="preserve">1. </w:t>
            </w:r>
            <w:r w:rsidR="00B24001">
              <w:rPr>
                <w:rFonts w:eastAsia="Verdana" w:cs="Calibri"/>
                <w:noProof/>
                <w:color w:val="auto"/>
                <w:sz w:val="16"/>
                <w:szCs w:val="16"/>
                <w:lang w:val="nl-NL"/>
              </w:rPr>
              <w:t>Met het Gebiedsbudget maakt het rijk schaalspronginvesteringen mogelijk in grootschalige woningbouwgebieden</w:t>
            </w:r>
            <w:r>
              <w:rPr>
                <w:rFonts w:eastAsia="Verdana" w:cs="Calibri"/>
                <w:noProof/>
                <w:color w:val="auto"/>
                <w:sz w:val="16"/>
                <w:szCs w:val="16"/>
                <w:lang w:val="nl-NL"/>
              </w:rPr>
              <w:t xml:space="preserve">. </w:t>
            </w:r>
            <w:r w:rsidR="005262FB">
              <w:rPr>
                <w:rFonts w:eastAsia="Verdana" w:cs="Calibri"/>
                <w:noProof/>
                <w:color w:val="auto"/>
                <w:sz w:val="16"/>
                <w:szCs w:val="16"/>
                <w:lang w:val="nl-NL"/>
              </w:rPr>
              <w:t xml:space="preserve">Dit gaat bijvoorbeeld </w:t>
            </w:r>
            <w:r w:rsidR="007576C0">
              <w:rPr>
                <w:rFonts w:eastAsia="Verdana" w:cs="Calibri"/>
                <w:noProof/>
                <w:color w:val="auto"/>
                <w:sz w:val="16"/>
                <w:szCs w:val="16"/>
                <w:lang w:val="nl-NL"/>
              </w:rPr>
              <w:t xml:space="preserve">om </w:t>
            </w:r>
            <w:r w:rsidR="003C7FA7">
              <w:rPr>
                <w:rFonts w:eastAsia="Verdana" w:cs="Calibri"/>
                <w:noProof/>
                <w:color w:val="auto"/>
                <w:sz w:val="16"/>
                <w:szCs w:val="16"/>
                <w:lang w:val="nl-NL"/>
              </w:rPr>
              <w:t xml:space="preserve">investeringen in </w:t>
            </w:r>
            <w:r w:rsidR="00342FD5">
              <w:rPr>
                <w:rFonts w:eastAsia="Verdana" w:cs="Calibri"/>
                <w:noProof/>
                <w:color w:val="auto"/>
                <w:sz w:val="16"/>
                <w:szCs w:val="16"/>
                <w:lang w:val="nl-NL"/>
              </w:rPr>
              <w:t>openbare ruimte en het wegnemen van hindergevende bedrijvigheid.</w:t>
            </w:r>
            <w:r w:rsidR="003C7FA7">
              <w:rPr>
                <w:rFonts w:eastAsia="Verdana" w:cs="Calibri"/>
                <w:noProof/>
                <w:color w:val="auto"/>
                <w:sz w:val="16"/>
                <w:szCs w:val="16"/>
                <w:lang w:val="nl-NL"/>
              </w:rPr>
              <w:t xml:space="preserve"> </w:t>
            </w:r>
            <w:r w:rsidRPr="00B25C76" w:rsidR="00995C05">
              <w:rPr>
                <w:rFonts w:eastAsia="Verdana" w:cs="Calibri"/>
                <w:noProof/>
                <w:color w:val="auto"/>
                <w:sz w:val="16"/>
                <w:szCs w:val="16"/>
                <w:lang w:val="nl-NL"/>
              </w:rPr>
              <w:t>Over het aanwenden van de middelen en de te leveren prestaties maken we wederzijds bindende afspraken tussen het Rijk, medeoverheden en andere betrokken partijen in heel Nederland voor zowel de korte als de langere termijn. De wederzijds bindende afspraken worden bestuurlijk vastgelegd. We monitoren deze afspraken en spreken elkaar zo nodig aan. In het uiterste geval kunnen de Rijksmiddelen worden teruggevorderd als er geen realisatie plaatsvindt binnen de afgesproken termijn.</w:t>
            </w:r>
          </w:p>
          <w:p w:rsidR="007A6C65" w:rsidP="00995C05" w:rsidRDefault="00995C05" w14:paraId="085C5EC1"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De voortgang van de uitvoering van de gebiedsontwikkelingen (en daarbinnen de gebiedsmaatregelen) is onderwerp van gesprek binnen de governance en/of overlegstructuren die er met de grootschalige woningbouwgebieden zijn en/of worden ingericht.</w:t>
            </w:r>
            <w:r w:rsidR="00B24001">
              <w:rPr>
                <w:rFonts w:eastAsia="Verdana" w:cs="Calibri"/>
                <w:noProof/>
                <w:color w:val="auto"/>
                <w:sz w:val="16"/>
                <w:szCs w:val="16"/>
                <w:lang w:val="nl-NL"/>
              </w:rPr>
              <w:t xml:space="preserve"> </w:t>
            </w:r>
            <w:r w:rsidRPr="00995C05">
              <w:rPr>
                <w:rFonts w:eastAsia="Verdana" w:cs="Calibri"/>
                <w:noProof/>
                <w:color w:val="auto"/>
                <w:sz w:val="16"/>
                <w:szCs w:val="16"/>
                <w:lang w:val="nl-NL"/>
              </w:rPr>
              <w:t xml:space="preserve">Bij de verdere uitwerking wordt bezien via welk instrument de bijdrage het effectiefst naar medeoverheden kan worden gealloceerd. </w:t>
            </w:r>
          </w:p>
          <w:p w:rsidRPr="00995C05" w:rsidR="0050663A" w:rsidP="00995C05" w:rsidRDefault="007A6C65" w14:paraId="5AABD420" w14:textId="77777777">
            <w:pPr>
              <w:spacing w:line="218" w:lineRule="exact"/>
              <w:ind w:left="101" w:right="543"/>
              <w:rPr>
                <w:rFonts w:eastAsia="Verdana" w:cs="Calibri"/>
                <w:noProof/>
                <w:color w:val="auto"/>
                <w:sz w:val="16"/>
                <w:szCs w:val="16"/>
                <w:lang w:val="nl-NL"/>
              </w:rPr>
            </w:pPr>
            <w:r>
              <w:rPr>
                <w:rFonts w:eastAsia="Verdana" w:cs="Calibri"/>
                <w:noProof/>
                <w:color w:val="auto"/>
                <w:sz w:val="16"/>
                <w:szCs w:val="16"/>
                <w:lang w:val="nl-NL"/>
              </w:rPr>
              <w:t>2. Intensiveren rijksbetrokkenheid.</w:t>
            </w:r>
            <w:r w:rsidRPr="00995C05" w:rsidR="00995C05">
              <w:rPr>
                <w:rFonts w:eastAsia="Verdana" w:cs="Calibri"/>
                <w:noProof/>
                <w:color w:val="auto"/>
                <w:sz w:val="16"/>
                <w:szCs w:val="16"/>
                <w:lang w:val="nl-NL"/>
              </w:rPr>
              <w:t xml:space="preserve"> </w:t>
            </w:r>
            <w:r w:rsidRPr="000557A3" w:rsidR="00B24001">
              <w:rPr>
                <w:rFonts w:eastAsia="Verdana" w:cs="Calibri"/>
                <w:noProof/>
                <w:color w:val="auto"/>
                <w:sz w:val="16"/>
                <w:szCs w:val="16"/>
                <w:lang w:val="nl-NL"/>
              </w:rPr>
              <w:t xml:space="preserve">Voor een succesvolle realisatie van woningbouwplannen spelen overheden, met name gemeenten, een belangrijke rol op de grondmarkt. Door het verwerven, ontwikkelen en uitgeven van eigendomsposities kunnen zij invloed uitoefenen op de programmering en </w:t>
            </w:r>
            <w:r w:rsidRPr="000557A3" w:rsidR="00B24001">
              <w:rPr>
                <w:rFonts w:eastAsia="Verdana" w:cs="Calibri"/>
                <w:noProof/>
                <w:color w:val="auto"/>
                <w:sz w:val="16"/>
                <w:szCs w:val="16"/>
                <w:lang w:val="nl-NL"/>
              </w:rPr>
              <w:lastRenderedPageBreak/>
              <w:t>fasering van woningbouw. Het vroegtijdig opstellen en uitvoeren van een grondstrategie bij woningbouwplannen helpt waarde binnen een gebied houden. Een gemeente vestigt dan bijvoorbeeld een voorkeursrecht of verwerft grond zonder dat er al vastomlijnde woningbouwplannen zijn. Actief grondbeleid van Nederlandse gemeenten is na de financiele crisis van 2008 minder prominent geworden. Veel gemeenten beschikken niet over de middelen, financiële positie en/of ‘risk appetite’ om de bijkomende risico's op eigen kracht te dragen en zijn mede daardoor terughoudend in grondaankopen. Conform de aanbeveling uit het IBO wordt onderzocht hoe een rijksgrondfaciliteit gemeenten kan ondersteunen om grondposities in te nemen, zodat het rijks risico’s deelt met gemeenten.</w:t>
            </w:r>
          </w:p>
        </w:tc>
      </w:tr>
      <w:tr w:rsidRPr="00946C18" w:rsidR="0050663A" w:rsidTr="661E2C6A" w14:paraId="749D79A5" w14:textId="77777777">
        <w:trPr>
          <w:trHeight w:val="655"/>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995C05" w:rsidR="0050663A" w:rsidP="004F79C9" w:rsidRDefault="0050663A" w14:paraId="47986A39" w14:textId="77777777">
            <w:pPr>
              <w:spacing w:line="240" w:lineRule="auto"/>
              <w:ind w:left="463" w:right="231"/>
              <w:rPr>
                <w:rFonts w:eastAsia="Verdana" w:cs="Calibri"/>
                <w:b/>
                <w:noProof/>
                <w:color w:val="auto"/>
                <w:sz w:val="16"/>
                <w:szCs w:val="16"/>
                <w:lang w:val="nl-NL"/>
              </w:rPr>
            </w:pPr>
          </w:p>
          <w:p w:rsidRPr="007461E2" w:rsidR="0050663A" w:rsidP="0085424F" w:rsidRDefault="0050663A" w14:paraId="3D2FD6E3" w14:textId="77777777">
            <w:pPr>
              <w:numPr>
                <w:ilvl w:val="0"/>
                <w:numId w:val="13"/>
              </w:numPr>
              <w:autoSpaceDN/>
              <w:spacing w:after="160" w:line="240" w:lineRule="auto"/>
              <w:ind w:right="231"/>
              <w:rPr>
                <w:rFonts w:eastAsia="Verdana" w:cs="Calibri"/>
                <w:b/>
                <w:noProof/>
                <w:color w:val="auto"/>
                <w:sz w:val="16"/>
                <w:szCs w:val="16"/>
                <w:lang w:val="nl-NL"/>
              </w:rPr>
            </w:pPr>
            <w:r w:rsidRPr="007461E2">
              <w:rPr>
                <w:rFonts w:eastAsia="Verdana" w:cs="Calibri"/>
                <w:b/>
                <w:noProof/>
                <w:color w:val="auto"/>
                <w:sz w:val="16"/>
                <w:szCs w:val="16"/>
                <w:lang w:val="nl-NL"/>
              </w:rPr>
              <w:t>A. Financiële gevolgen voor het Rijk</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7461E2" w:rsidR="0050663A" w:rsidP="004F79C9" w:rsidRDefault="00995C05" w14:paraId="6F53958F" w14:textId="77777777">
            <w:pPr>
              <w:spacing w:before="3" w:line="218" w:lineRule="exact"/>
              <w:ind w:left="101" w:right="945"/>
              <w:rPr>
                <w:rFonts w:eastAsia="Verdana" w:cs="Calibri"/>
                <w:noProof/>
                <w:color w:val="auto"/>
                <w:sz w:val="16"/>
                <w:szCs w:val="16"/>
                <w:lang w:val="nl-NL"/>
              </w:rPr>
            </w:pPr>
            <w:r w:rsidRPr="00995C05">
              <w:rPr>
                <w:rFonts w:eastAsia="Verdana" w:cs="Calibri"/>
                <w:noProof/>
                <w:color w:val="auto"/>
                <w:sz w:val="16"/>
                <w:szCs w:val="16"/>
                <w:lang w:val="nl-NL"/>
              </w:rPr>
              <w:t xml:space="preserve">De uitgaven voor grootschalige woningbouw en grond worden verantwoord op artikel 1.2 Woningbouw van de VRO-begroting. Cumulatief wordt van 2025 tot en met 2029 circa € 1,25 mld. beschikbaar gesteld (inclusief btw). Op de </w:t>
            </w:r>
            <w:r w:rsidR="00603436">
              <w:rPr>
                <w:rFonts w:eastAsia="Verdana" w:cs="Calibri"/>
                <w:noProof/>
                <w:color w:val="auto"/>
                <w:sz w:val="16"/>
                <w:szCs w:val="16"/>
                <w:lang w:val="nl-NL"/>
              </w:rPr>
              <w:t>Aanvullende Post van het Ministerie van Financiën</w:t>
            </w:r>
            <w:r w:rsidRPr="00995C05">
              <w:rPr>
                <w:rFonts w:eastAsia="Verdana" w:cs="Calibri"/>
                <w:noProof/>
                <w:color w:val="auto"/>
                <w:sz w:val="16"/>
                <w:szCs w:val="16"/>
                <w:lang w:val="nl-NL"/>
              </w:rPr>
              <w:t xml:space="preserve"> is</w:t>
            </w:r>
            <w:r w:rsidR="00603436">
              <w:rPr>
                <w:rFonts w:eastAsia="Verdana" w:cs="Calibri"/>
                <w:noProof/>
                <w:color w:val="auto"/>
                <w:sz w:val="16"/>
                <w:szCs w:val="16"/>
                <w:lang w:val="nl-NL"/>
              </w:rPr>
              <w:t xml:space="preserve"> daarnaast</w:t>
            </w:r>
            <w:r w:rsidRPr="00995C05">
              <w:rPr>
                <w:rFonts w:eastAsia="Verdana" w:cs="Calibri"/>
                <w:noProof/>
                <w:color w:val="auto"/>
                <w:sz w:val="16"/>
                <w:szCs w:val="16"/>
                <w:lang w:val="nl-NL"/>
              </w:rPr>
              <w:t xml:space="preserve"> 5x €</w:t>
            </w:r>
            <w:r w:rsidR="00635E51">
              <w:rPr>
                <w:rFonts w:eastAsia="Verdana" w:cs="Calibri"/>
                <w:noProof/>
                <w:color w:val="auto"/>
                <w:sz w:val="16"/>
                <w:szCs w:val="16"/>
                <w:lang w:val="nl-NL"/>
              </w:rPr>
              <w:t xml:space="preserve"> </w:t>
            </w:r>
            <w:r w:rsidRPr="00995C05">
              <w:rPr>
                <w:rFonts w:eastAsia="Verdana" w:cs="Calibri"/>
                <w:noProof/>
                <w:color w:val="auto"/>
                <w:sz w:val="16"/>
                <w:szCs w:val="16"/>
                <w:lang w:val="nl-NL"/>
              </w:rPr>
              <w:t xml:space="preserve">500 mln. </w:t>
            </w:r>
            <w:r w:rsidR="00603436">
              <w:rPr>
                <w:rFonts w:eastAsia="Verdana" w:cs="Calibri"/>
                <w:noProof/>
                <w:color w:val="auto"/>
                <w:sz w:val="16"/>
                <w:szCs w:val="16"/>
                <w:lang w:val="nl-NL"/>
              </w:rPr>
              <w:t>gereserveerd ten behoeve van het Ministerie van IenW</w:t>
            </w:r>
            <w:r w:rsidRPr="00995C05" w:rsidR="00603436">
              <w:rPr>
                <w:rFonts w:eastAsia="Verdana" w:cs="Calibri"/>
                <w:noProof/>
                <w:color w:val="auto"/>
                <w:sz w:val="16"/>
                <w:szCs w:val="16"/>
                <w:lang w:val="nl-NL"/>
              </w:rPr>
              <w:t xml:space="preserve"> </w:t>
            </w:r>
            <w:r w:rsidRPr="00995C05">
              <w:rPr>
                <w:rFonts w:eastAsia="Verdana" w:cs="Calibri"/>
                <w:noProof/>
                <w:color w:val="auto"/>
                <w:sz w:val="16"/>
                <w:szCs w:val="16"/>
                <w:lang w:val="nl-NL"/>
              </w:rPr>
              <w:t>voor de ontsluiting van woningbouwprojecten. Een deel van deze middelen kan ook voor de grootschalige woningbouw</w:t>
            </w:r>
            <w:r w:rsidR="00D6249F">
              <w:rPr>
                <w:rFonts w:eastAsia="Verdana" w:cs="Calibri"/>
                <w:noProof/>
                <w:color w:val="auto"/>
                <w:sz w:val="16"/>
                <w:szCs w:val="16"/>
                <w:lang w:val="nl-NL"/>
              </w:rPr>
              <w:t>gebieden</w:t>
            </w:r>
            <w:r w:rsidRPr="00995C05">
              <w:rPr>
                <w:rFonts w:eastAsia="Verdana" w:cs="Calibri"/>
                <w:noProof/>
                <w:color w:val="auto"/>
                <w:sz w:val="16"/>
                <w:szCs w:val="16"/>
                <w:lang w:val="nl-NL"/>
              </w:rPr>
              <w:t xml:space="preserve"> worden ingezet.</w:t>
            </w:r>
          </w:p>
        </w:tc>
      </w:tr>
      <w:tr w:rsidRPr="00946C18" w:rsidR="0050663A" w:rsidTr="661E2C6A" w14:paraId="14836E2B" w14:textId="77777777">
        <w:trPr>
          <w:trHeight w:val="725"/>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7461E2" w:rsidR="0050663A" w:rsidP="004F79C9" w:rsidRDefault="0050663A" w14:paraId="5850A1F5" w14:textId="77777777">
            <w:pPr>
              <w:spacing w:line="240" w:lineRule="auto"/>
              <w:ind w:left="463" w:right="231"/>
              <w:rPr>
                <w:rFonts w:eastAsia="Verdana" w:cs="Calibri"/>
                <w:b/>
                <w:noProof/>
                <w:color w:val="auto"/>
                <w:sz w:val="16"/>
                <w:szCs w:val="16"/>
                <w:lang w:val="nl-NL"/>
              </w:rPr>
            </w:pPr>
          </w:p>
          <w:p w:rsidRPr="007461E2" w:rsidR="0050663A" w:rsidP="004F79C9" w:rsidRDefault="0050663A" w14:paraId="286206F4" w14:textId="77777777">
            <w:pPr>
              <w:spacing w:line="240" w:lineRule="auto"/>
              <w:ind w:left="463" w:right="231"/>
              <w:rPr>
                <w:rFonts w:eastAsia="Verdana" w:cs="Calibri"/>
                <w:b/>
                <w:noProof/>
                <w:color w:val="auto"/>
                <w:sz w:val="16"/>
                <w:szCs w:val="16"/>
                <w:lang w:val="nl-NL"/>
              </w:rPr>
            </w:pPr>
            <w:r w:rsidRPr="007461E2">
              <w:rPr>
                <w:rFonts w:eastAsia="Verdana" w:cs="Calibri"/>
                <w:b/>
                <w:noProof/>
                <w:color w:val="auto"/>
                <w:sz w:val="16"/>
                <w:szCs w:val="16"/>
                <w:lang w:val="nl-NL"/>
              </w:rPr>
              <w:t xml:space="preserve">B. Financiële gevolgen voor maatschappelijke sectoren </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995C05" w:rsidP="00995C05" w:rsidRDefault="00995C05" w14:paraId="53B1750A" w14:textId="77777777">
            <w:pPr>
              <w:spacing w:line="240" w:lineRule="auto"/>
              <w:ind w:left="101" w:right="308"/>
              <w:rPr>
                <w:rFonts w:eastAsia="Verdana" w:cs="Calibri"/>
                <w:noProof/>
                <w:color w:val="auto"/>
                <w:sz w:val="16"/>
                <w:szCs w:val="16"/>
                <w:lang w:val="nl-NL"/>
              </w:rPr>
            </w:pPr>
            <w:r w:rsidRPr="00B25C76">
              <w:rPr>
                <w:rFonts w:eastAsia="Verdana" w:cs="Calibri"/>
                <w:noProof/>
                <w:color w:val="auto"/>
                <w:sz w:val="16"/>
                <w:szCs w:val="16"/>
                <w:lang w:val="nl-NL"/>
              </w:rPr>
              <w:t xml:space="preserve">Medeoverheden (zoals provincies, gemeenten en waterschappen) dragen financieel bij aan de grootschalige gebiedsontwikkelingen (via cofinanciering). Gemeenten wordt gevraagd de overeenkomsten/deals door te vertalen naar afspraken met de markt en corporaties. De overige tekorten worden door de gemeente en/of andere partijen gedekt. Hierdoor zal er in vrijwel alle projecten sprake zijn van cofinanciering. We houden bij of deze afspraken nagekomen worden en spreken elkaar zo nodig aan. In het uiterste geval kunnen Rijksmiddelen worden teruggevorderd. </w:t>
            </w:r>
          </w:p>
          <w:p w:rsidRPr="00995C05" w:rsidR="0050663A" w:rsidP="00995C05" w:rsidRDefault="00995C05" w14:paraId="59E3D586" w14:textId="77777777">
            <w:pPr>
              <w:spacing w:line="240" w:lineRule="auto"/>
              <w:ind w:left="101" w:right="308"/>
              <w:rPr>
                <w:rFonts w:eastAsia="Verdana" w:cs="Calibri"/>
                <w:noProof/>
                <w:color w:val="auto"/>
                <w:sz w:val="16"/>
                <w:szCs w:val="16"/>
                <w:lang w:val="nl-NL"/>
              </w:rPr>
            </w:pPr>
            <w:r w:rsidRPr="00995C05">
              <w:rPr>
                <w:rFonts w:eastAsia="Verdana" w:cs="Calibri"/>
                <w:noProof/>
                <w:color w:val="auto"/>
                <w:sz w:val="16"/>
                <w:szCs w:val="16"/>
                <w:lang w:val="nl-NL"/>
              </w:rPr>
              <w:t xml:space="preserve">Financiële deelname van het Rijk via de grondfaciliteit in het gemeentelijke grondbeleid verlaagt het risicoprofiel van de investering en de druk op de gemeentefinanciën. Aan een dergelijke bijdrage verbindt het Rijk nadere sturingsafspraken, eventueel in de vorm van </w:t>
            </w:r>
            <w:r w:rsidRPr="00995C05">
              <w:rPr>
                <w:rFonts w:eastAsia="Verdana" w:cs="Calibri"/>
                <w:noProof/>
                <w:color w:val="auto"/>
                <w:sz w:val="16"/>
                <w:szCs w:val="16"/>
                <w:lang w:val="nl-NL"/>
              </w:rPr>
              <w:lastRenderedPageBreak/>
              <w:t>intensievere rijksbetrokkenheid.</w:t>
            </w:r>
          </w:p>
        </w:tc>
      </w:tr>
      <w:tr w:rsidRPr="00946C18" w:rsidR="0050663A" w:rsidTr="661E2C6A" w14:paraId="3BC8454C" w14:textId="77777777">
        <w:trPr>
          <w:trHeight w:val="778"/>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7461E2" w:rsidR="0050663A" w:rsidP="004F79C9" w:rsidRDefault="0050663A" w14:paraId="11261E19" w14:textId="77777777">
            <w:pPr>
              <w:spacing w:line="240" w:lineRule="auto"/>
              <w:ind w:left="463" w:right="231"/>
              <w:rPr>
                <w:rFonts w:eastAsia="Verdana" w:cs="Calibri"/>
                <w:b/>
                <w:noProof/>
                <w:color w:val="auto"/>
                <w:sz w:val="16"/>
                <w:szCs w:val="16"/>
                <w:lang w:val="nl-NL"/>
              </w:rPr>
            </w:pPr>
          </w:p>
          <w:p w:rsidRPr="00946C18" w:rsidR="0050663A" w:rsidP="0085424F" w:rsidRDefault="0050663A" w14:paraId="7E5D5A94" w14:textId="77777777">
            <w:pPr>
              <w:numPr>
                <w:ilvl w:val="0"/>
                <w:numId w:val="13"/>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doeltreffendheid</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995C05" w:rsidP="00995C05" w:rsidRDefault="00995C05" w14:paraId="5E68D421" w14:textId="77777777">
            <w:pPr>
              <w:spacing w:before="4" w:line="218" w:lineRule="exact"/>
              <w:ind w:left="101" w:right="166"/>
              <w:rPr>
                <w:rFonts w:eastAsia="Verdana" w:cs="Calibri"/>
                <w:noProof/>
                <w:color w:val="auto"/>
                <w:sz w:val="16"/>
                <w:szCs w:val="16"/>
                <w:lang w:val="nl-NL"/>
              </w:rPr>
            </w:pPr>
            <w:r w:rsidRPr="00B25C76">
              <w:rPr>
                <w:rFonts w:eastAsia="Verdana" w:cs="Calibri"/>
                <w:noProof/>
                <w:color w:val="auto"/>
                <w:sz w:val="16"/>
                <w:szCs w:val="16"/>
                <w:lang w:val="nl-NL"/>
              </w:rPr>
              <w:t>De middelen zijn bedoeld om versneld grootschalige woningbouwgebieden te realiseren. Door meer gebieden rijp te maken voor bouwactiviteiten wordt de aanbodcurve vergroot, wat leidt tot meer betaalbare woningen. De Rijksbijdrage werkt hierbij als een hefboom. Ook het Rebel rapport naar de 14 grootschalige gebieden toont aan dat een dekking van de publieke onrendabele top in deze gebieden een multiplier op de publieke investeringen kent.</w:t>
            </w:r>
          </w:p>
          <w:p w:rsidRPr="00B25C76" w:rsidR="00995C05" w:rsidP="00995C05" w:rsidRDefault="00995C05" w14:paraId="769ED345" w14:textId="77777777">
            <w:pPr>
              <w:spacing w:before="4" w:line="218" w:lineRule="exact"/>
              <w:ind w:left="101" w:right="166"/>
              <w:rPr>
                <w:rFonts w:eastAsia="Verdana" w:cs="Calibri"/>
                <w:noProof/>
                <w:color w:val="auto"/>
                <w:sz w:val="16"/>
                <w:szCs w:val="16"/>
                <w:lang w:val="nl-NL"/>
              </w:rPr>
            </w:pPr>
            <w:r w:rsidRPr="00B25C76">
              <w:rPr>
                <w:rFonts w:eastAsia="Verdana" w:cs="Calibri"/>
                <w:noProof/>
                <w:color w:val="auto"/>
                <w:sz w:val="16"/>
                <w:szCs w:val="16"/>
                <w:lang w:val="nl-NL"/>
              </w:rPr>
              <w:t>In totaal gaat het om een toename van 70.000 nieuwe woningen in (nieuwe) grootschalige woningbouw</w:t>
            </w:r>
            <w:r w:rsidR="00D6249F">
              <w:rPr>
                <w:rFonts w:eastAsia="Verdana" w:cs="Calibri"/>
                <w:noProof/>
                <w:color w:val="auto"/>
                <w:sz w:val="16"/>
                <w:szCs w:val="16"/>
                <w:lang w:val="nl-NL"/>
              </w:rPr>
              <w:t>gebieden</w:t>
            </w:r>
            <w:r w:rsidRPr="00B25C76">
              <w:rPr>
                <w:rFonts w:eastAsia="Verdana" w:cs="Calibri"/>
                <w:noProof/>
                <w:color w:val="auto"/>
                <w:sz w:val="16"/>
                <w:szCs w:val="16"/>
                <w:lang w:val="nl-NL"/>
              </w:rPr>
              <w:t xml:space="preserve"> tot en met 2033. Hiermee worden </w:t>
            </w:r>
            <w:r w:rsidR="007A6C65">
              <w:rPr>
                <w:rFonts w:eastAsia="Verdana" w:cs="Calibri"/>
                <w:noProof/>
                <w:color w:val="auto"/>
                <w:sz w:val="16"/>
                <w:szCs w:val="16"/>
                <w:lang w:val="nl-NL"/>
              </w:rPr>
              <w:t>inclusief de reeds bestaande afspraken</w:t>
            </w:r>
            <w:r w:rsidRPr="00B25C76" w:rsidR="007A6C65">
              <w:rPr>
                <w:rFonts w:eastAsia="Verdana" w:cs="Calibri"/>
                <w:noProof/>
                <w:color w:val="auto"/>
                <w:sz w:val="16"/>
                <w:szCs w:val="16"/>
                <w:lang w:val="nl-NL"/>
              </w:rPr>
              <w:t xml:space="preserve"> </w:t>
            </w:r>
            <w:r w:rsidRPr="00B25C76">
              <w:rPr>
                <w:rFonts w:eastAsia="Verdana" w:cs="Calibri"/>
                <w:noProof/>
                <w:color w:val="auto"/>
                <w:sz w:val="16"/>
                <w:szCs w:val="16"/>
                <w:lang w:val="nl-NL"/>
              </w:rPr>
              <w:t>ca. 400.000 woningen gerealiseerd in grootschalige Woningbouw</w:t>
            </w:r>
            <w:r w:rsidR="00D6249F">
              <w:rPr>
                <w:rFonts w:eastAsia="Verdana" w:cs="Calibri"/>
                <w:noProof/>
                <w:color w:val="auto"/>
                <w:sz w:val="16"/>
                <w:szCs w:val="16"/>
                <w:lang w:val="nl-NL"/>
              </w:rPr>
              <w:t>gebieden</w:t>
            </w:r>
            <w:r w:rsidRPr="00B25C76">
              <w:rPr>
                <w:rFonts w:eastAsia="Verdana" w:cs="Calibri"/>
                <w:noProof/>
                <w:color w:val="auto"/>
                <w:sz w:val="16"/>
                <w:szCs w:val="16"/>
                <w:lang w:val="nl-NL"/>
              </w:rPr>
              <w:t xml:space="preserve"> (40% van het totaal van 1.000.000 woningen t/m 2033). Dit is exclusief potentiële woningen binnen de nieuwe zoeklocaties.</w:t>
            </w:r>
          </w:p>
          <w:p w:rsidRPr="00995C05" w:rsidR="0050663A" w:rsidP="00995C05" w:rsidRDefault="00995C05" w14:paraId="461C03BD" w14:textId="77777777">
            <w:pPr>
              <w:spacing w:before="4" w:line="218" w:lineRule="exact"/>
              <w:ind w:left="101" w:right="166"/>
              <w:rPr>
                <w:rFonts w:eastAsia="Verdana" w:cs="Calibri"/>
                <w:noProof/>
                <w:color w:val="auto"/>
                <w:sz w:val="16"/>
                <w:szCs w:val="16"/>
                <w:lang w:val="nl-NL"/>
              </w:rPr>
            </w:pPr>
            <w:r w:rsidRPr="00995C05">
              <w:rPr>
                <w:rFonts w:eastAsia="Verdana" w:cs="Calibri"/>
                <w:noProof/>
                <w:color w:val="auto"/>
                <w:sz w:val="16"/>
                <w:szCs w:val="16"/>
                <w:lang w:val="nl-NL"/>
              </w:rPr>
              <w:t>Het IBO-rapport woningbouw en grond ‘Op grond kun je bouwen’ ziet de grondfaciliteit als een kansrijke maatregel om gemeenten te ondersteunen bij het realiseren van grootschalige woningbouw.</w:t>
            </w:r>
            <w:r w:rsidR="003C7FA7">
              <w:rPr>
                <w:rFonts w:eastAsia="Verdana" w:cs="Calibri"/>
                <w:noProof/>
                <w:color w:val="auto"/>
                <w:sz w:val="16"/>
                <w:szCs w:val="16"/>
                <w:lang w:val="nl-NL"/>
              </w:rPr>
              <w:t xml:space="preserve"> Een grondfaciliteit kan financiele riscio’s delen met gemeenten, waardoor zij wel in staat zijn om actief grondbeleid te voeren en meer invloed hebben op de omvang en haalbaarheid van woningbouwprojecten. </w:t>
            </w:r>
          </w:p>
        </w:tc>
      </w:tr>
      <w:tr w:rsidRPr="00946C18" w:rsidR="0050663A" w:rsidTr="661E2C6A" w14:paraId="71EAB842" w14:textId="77777777">
        <w:trPr>
          <w:trHeight w:val="801"/>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995C05" w:rsidR="0050663A" w:rsidP="004F79C9" w:rsidRDefault="0050663A" w14:paraId="0D175412" w14:textId="77777777">
            <w:pPr>
              <w:spacing w:line="240" w:lineRule="auto"/>
              <w:rPr>
                <w:rFonts w:eastAsia="Verdana" w:cs="Calibri"/>
                <w:i/>
                <w:noProof/>
                <w:color w:val="auto"/>
                <w:sz w:val="16"/>
                <w:szCs w:val="16"/>
                <w:lang w:val="nl-NL"/>
              </w:rPr>
            </w:pPr>
          </w:p>
          <w:p w:rsidRPr="00946C18" w:rsidR="0050663A" w:rsidP="0085424F" w:rsidRDefault="0050663A" w14:paraId="5300F9C0" w14:textId="77777777">
            <w:pPr>
              <w:numPr>
                <w:ilvl w:val="0"/>
                <w:numId w:val="13"/>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doelmatigheid</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B25C76" w:rsidR="00995C05" w:rsidP="00995C05" w:rsidRDefault="00995C05" w14:paraId="677A11F7"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Bij de verdere uitwerking wordt bezien via welk instrument de bijdrage het effectiefst naar medeoverheden kan worden gealloceerd. Voor het gebiedsbudget wordt op dit moment onderzocht hoe gestuurd kan worden op de doelen en de voorwaarden. Bij de verdeling van de middelen kan bijvoorbeeld getoetst worden op doelmatigheid en doeltreffendheid bij het beoordelen van de business cases van de woningbouwlocaties en/of het toepassen van een afweegkader. </w:t>
            </w:r>
          </w:p>
          <w:p w:rsidRPr="00995C05" w:rsidR="0050663A" w:rsidP="00995C05" w:rsidRDefault="00995C05" w14:paraId="51101B0E" w14:textId="77777777">
            <w:pPr>
              <w:spacing w:line="213" w:lineRule="exact"/>
              <w:ind w:left="101"/>
              <w:rPr>
                <w:rFonts w:eastAsia="Verdana" w:cs="Calibri"/>
                <w:noProof/>
                <w:color w:val="auto"/>
                <w:sz w:val="16"/>
                <w:szCs w:val="16"/>
                <w:lang w:val="nl-NL"/>
              </w:rPr>
            </w:pPr>
            <w:r w:rsidRPr="00995C05">
              <w:rPr>
                <w:rFonts w:eastAsia="Verdana" w:cs="Calibri"/>
                <w:noProof/>
                <w:color w:val="auto"/>
                <w:sz w:val="16"/>
                <w:szCs w:val="16"/>
                <w:lang w:val="nl-NL"/>
              </w:rPr>
              <w:t>Het instrumentarium voor deelname (zoals de grondfaciliteit t.b.v. strategische grondaankopen) wordt nog verder uitgewerkt. Het Rijk wil daar in ieder geval nadere sturingsafspraken aan verbinden.</w:t>
            </w:r>
          </w:p>
        </w:tc>
      </w:tr>
      <w:tr w:rsidRPr="00946C18" w:rsidR="0050663A" w:rsidTr="661E2C6A" w14:paraId="5335D833" w14:textId="77777777">
        <w:trPr>
          <w:trHeight w:val="801"/>
        </w:trPr>
        <w:tc>
          <w:tcPr>
            <w:tcW w:w="333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995C05" w:rsidR="0050663A" w:rsidP="004F79C9" w:rsidRDefault="0050663A" w14:paraId="54ABA374" w14:textId="77777777">
            <w:pPr>
              <w:spacing w:line="240" w:lineRule="auto"/>
              <w:ind w:left="103" w:right="1066"/>
              <w:rPr>
                <w:rFonts w:eastAsia="Verdana" w:cs="Calibri"/>
                <w:b/>
                <w:noProof/>
                <w:color w:val="auto"/>
                <w:sz w:val="16"/>
                <w:szCs w:val="16"/>
                <w:lang w:val="nl-NL"/>
              </w:rPr>
            </w:pPr>
          </w:p>
          <w:p w:rsidRPr="00946C18" w:rsidR="0050663A" w:rsidP="0085424F" w:rsidRDefault="0050663A" w14:paraId="57AA6D22" w14:textId="77777777">
            <w:pPr>
              <w:numPr>
                <w:ilvl w:val="0"/>
                <w:numId w:val="13"/>
              </w:numPr>
              <w:autoSpaceDN/>
              <w:spacing w:after="160" w:line="240" w:lineRule="auto"/>
              <w:ind w:right="231"/>
              <w:rPr>
                <w:rFonts w:eastAsia="Verdana" w:cs="Calibri"/>
                <w:noProof/>
                <w:color w:val="auto"/>
                <w:sz w:val="16"/>
                <w:szCs w:val="16"/>
              </w:rPr>
            </w:pPr>
            <w:r w:rsidRPr="00946C18">
              <w:rPr>
                <w:rFonts w:eastAsia="Verdana" w:cs="Calibri"/>
                <w:b/>
                <w:noProof/>
                <w:color w:val="auto"/>
                <w:sz w:val="16"/>
                <w:szCs w:val="16"/>
              </w:rPr>
              <w:t>Evaluatieparagraaf</w:t>
            </w:r>
          </w:p>
        </w:tc>
        <w:tc>
          <w:tcPr>
            <w:tcW w:w="4056"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00B24001" w:rsidP="00B24001" w:rsidRDefault="00B24001" w14:paraId="4029A2F1" w14:textId="77777777">
            <w:pPr>
              <w:spacing w:line="213" w:lineRule="exact"/>
              <w:ind w:left="101"/>
              <w:rPr>
                <w:rFonts w:eastAsia="Verdana" w:cs="Calibri"/>
                <w:noProof/>
                <w:color w:val="auto"/>
                <w:sz w:val="16"/>
                <w:szCs w:val="16"/>
                <w:lang w:val="nl-NL"/>
              </w:rPr>
            </w:pPr>
            <w:r w:rsidRPr="0050663A">
              <w:rPr>
                <w:rFonts w:eastAsia="Verdana" w:cs="Calibri"/>
                <w:noProof/>
                <w:color w:val="auto"/>
                <w:sz w:val="16"/>
                <w:szCs w:val="16"/>
                <w:lang w:val="nl-NL"/>
              </w:rPr>
              <w:t>Gezien de instrumenten nieuw zijn, wordt er na 1 of 2 jaar een tussentijdse evaluatie uitgevoerd. De verwachting is dat de evaluatie nieuwe inzichten geeft om de doelmatigheid verder te verbeteren, naarmate er ook meer ervaring is met de instrumenten.</w:t>
            </w:r>
          </w:p>
          <w:p w:rsidR="00B24001" w:rsidP="00995C05" w:rsidRDefault="00B24001" w14:paraId="185CDF7B" w14:textId="77777777">
            <w:pPr>
              <w:spacing w:line="213" w:lineRule="exact"/>
              <w:ind w:left="101"/>
              <w:rPr>
                <w:rFonts w:eastAsia="Verdana" w:cs="Calibri"/>
                <w:noProof/>
                <w:color w:val="auto"/>
                <w:sz w:val="16"/>
                <w:szCs w:val="16"/>
                <w:lang w:val="nl-NL"/>
              </w:rPr>
            </w:pPr>
          </w:p>
          <w:p w:rsidRPr="00B25C76" w:rsidR="00995C05" w:rsidP="00995C05" w:rsidRDefault="00995C05" w14:paraId="3DF622B0"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Voor de inzet van deze middelen en te leveren </w:t>
            </w:r>
            <w:r w:rsidRPr="00B25C76">
              <w:rPr>
                <w:rFonts w:eastAsia="Verdana" w:cs="Calibri"/>
                <w:noProof/>
                <w:color w:val="auto"/>
                <w:sz w:val="16"/>
                <w:szCs w:val="16"/>
                <w:lang w:val="nl-NL"/>
              </w:rPr>
              <w:lastRenderedPageBreak/>
              <w:t xml:space="preserve">prestaties maken we wederzijds bindende afspraken met de betrokken partijen. Deze afspraken vormen de basis voor een jaarlijkse toets op de uitvoering en een evaluatie bij beëindiging/oplevering. </w:t>
            </w:r>
          </w:p>
          <w:p w:rsidR="002464D5" w:rsidP="00995C05" w:rsidRDefault="00995C05" w14:paraId="269D8BD6" w14:textId="77777777">
            <w:pPr>
              <w:spacing w:line="213" w:lineRule="exact"/>
              <w:ind w:left="101"/>
              <w:rPr>
                <w:rFonts w:eastAsia="Verdana" w:cs="Calibri"/>
                <w:noProof/>
                <w:color w:val="auto"/>
                <w:sz w:val="16"/>
                <w:szCs w:val="16"/>
                <w:lang w:val="nl-NL"/>
              </w:rPr>
            </w:pPr>
            <w:r w:rsidRPr="00995C05">
              <w:rPr>
                <w:rFonts w:eastAsia="Verdana" w:cs="Calibri"/>
                <w:noProof/>
                <w:color w:val="auto"/>
                <w:sz w:val="16"/>
                <w:szCs w:val="16"/>
                <w:lang w:val="nl-NL"/>
              </w:rPr>
              <w:t>Voor de monitoring is een Dashboard ontwikkeld die de voortgang en uitvoering van de grootschalige woningbouw</w:t>
            </w:r>
            <w:r w:rsidR="00D6249F">
              <w:rPr>
                <w:rFonts w:eastAsia="Verdana" w:cs="Calibri"/>
                <w:noProof/>
                <w:color w:val="auto"/>
                <w:sz w:val="16"/>
                <w:szCs w:val="16"/>
                <w:lang w:val="nl-NL"/>
              </w:rPr>
              <w:t>gebieden</w:t>
            </w:r>
            <w:r w:rsidRPr="00995C05">
              <w:rPr>
                <w:rFonts w:eastAsia="Verdana" w:cs="Calibri"/>
                <w:noProof/>
                <w:color w:val="auto"/>
                <w:sz w:val="16"/>
                <w:szCs w:val="16"/>
                <w:lang w:val="nl-NL"/>
              </w:rPr>
              <w:t xml:space="preserve"> in beeld brengt. Deze wordt tweemaal per jaar geactualiseerd en is input voor o.a. verantwoording naar de Kamer en voor de overleggen en gesprekken die de gebiedsregisseurs voeren met de locaties. </w:t>
            </w:r>
          </w:p>
          <w:p w:rsidR="002464D5" w:rsidP="00995C05" w:rsidRDefault="002464D5" w14:paraId="050A58AD" w14:textId="77777777">
            <w:pPr>
              <w:spacing w:line="213" w:lineRule="exact"/>
              <w:ind w:left="101"/>
              <w:rPr>
                <w:rFonts w:eastAsia="Verdana" w:cs="Calibri"/>
                <w:noProof/>
                <w:color w:val="auto"/>
                <w:sz w:val="16"/>
                <w:szCs w:val="16"/>
                <w:lang w:val="nl-NL"/>
              </w:rPr>
            </w:pPr>
          </w:p>
          <w:p w:rsidRPr="00410E65" w:rsidR="002464D5" w:rsidP="002464D5" w:rsidRDefault="002464D5" w14:paraId="78F8A6B5" w14:textId="77777777">
            <w:pPr>
              <w:spacing w:line="213" w:lineRule="exact"/>
              <w:ind w:left="101"/>
              <w:rPr>
                <w:rFonts w:eastAsia="Verdana" w:cs="Calibri"/>
                <w:noProof/>
                <w:color w:val="auto"/>
                <w:sz w:val="16"/>
                <w:szCs w:val="16"/>
                <w:lang w:val="nl-NL"/>
              </w:rPr>
            </w:pPr>
            <w:r w:rsidRPr="00410E65">
              <w:rPr>
                <w:rFonts w:eastAsia="Verdana" w:cs="Calibri"/>
                <w:noProof/>
                <w:color w:val="auto"/>
                <w:sz w:val="16"/>
                <w:szCs w:val="16"/>
                <w:lang w:val="nl-NL"/>
              </w:rPr>
              <w:t xml:space="preserve">Op de Strategische Evaluatie Agenda is zichtbaar dat in 2027 de periodieke rapportage Woningmarkt en Woningbouw van start </w:t>
            </w:r>
            <w:r w:rsidR="00951D2A">
              <w:rPr>
                <w:rFonts w:eastAsia="Verdana" w:cs="Calibri"/>
                <w:noProof/>
                <w:color w:val="auto"/>
                <w:sz w:val="16"/>
                <w:szCs w:val="16"/>
                <w:lang w:val="nl-NL"/>
              </w:rPr>
              <w:t>gaat</w:t>
            </w:r>
            <w:r w:rsidRPr="00410E65">
              <w:rPr>
                <w:rFonts w:eastAsia="Verdana" w:cs="Calibri"/>
                <w:noProof/>
                <w:color w:val="auto"/>
                <w:sz w:val="16"/>
                <w:szCs w:val="16"/>
                <w:lang w:val="nl-NL"/>
              </w:rPr>
              <w:t xml:space="preserve">. </w:t>
            </w:r>
            <w:r w:rsidRPr="00410E65" w:rsidR="00AE76B3">
              <w:rPr>
                <w:rFonts w:eastAsia="Verdana" w:cs="Calibri"/>
                <w:noProof/>
                <w:color w:val="auto"/>
                <w:sz w:val="16"/>
                <w:szCs w:val="16"/>
                <w:lang w:val="nl-NL"/>
              </w:rPr>
              <w:t>In 2028 wordt deze aan de Tweede Kamer aangeboden.</w:t>
            </w:r>
          </w:p>
          <w:p w:rsidRPr="00995C05" w:rsidR="0050663A" w:rsidP="004E665D" w:rsidRDefault="002464D5" w14:paraId="762060FE" w14:textId="77777777">
            <w:pPr>
              <w:spacing w:line="213" w:lineRule="exact"/>
              <w:ind w:left="101"/>
              <w:rPr>
                <w:rFonts w:eastAsia="Verdana" w:cs="Calibri"/>
                <w:noProof/>
                <w:color w:val="auto"/>
                <w:sz w:val="16"/>
                <w:szCs w:val="16"/>
                <w:lang w:val="nl-NL"/>
              </w:rPr>
            </w:pPr>
            <w:r w:rsidRPr="00410E65">
              <w:rPr>
                <w:rFonts w:eastAsia="Verdana" w:cs="Calibri"/>
                <w:noProof/>
                <w:color w:val="auto"/>
                <w:sz w:val="16"/>
                <w:szCs w:val="16"/>
                <w:lang w:val="nl-NL"/>
              </w:rPr>
              <w:t>In dit synthese-onderzoek zal aandacht zijn voor deze financiële impuls vanuit het hoofdlijnenakkoord. De komende jaren z</w:t>
            </w:r>
            <w:r w:rsidR="000C5F35">
              <w:rPr>
                <w:rFonts w:eastAsia="Verdana" w:cs="Calibri"/>
                <w:noProof/>
                <w:color w:val="auto"/>
                <w:sz w:val="16"/>
                <w:szCs w:val="16"/>
                <w:lang w:val="nl-NL"/>
              </w:rPr>
              <w:t xml:space="preserve">al er in ieder geval een onafhankelijke evaluatie plaatsvinden naar de gemeentelijke </w:t>
            </w:r>
            <w:r w:rsidRPr="00410E65" w:rsidR="000C5F35">
              <w:rPr>
                <w:rFonts w:eastAsia="Verdana" w:cs="Calibri"/>
                <w:noProof/>
                <w:color w:val="auto"/>
                <w:sz w:val="16"/>
                <w:szCs w:val="16"/>
                <w:lang w:val="nl-NL"/>
              </w:rPr>
              <w:t xml:space="preserve">ondersteuning om randvoorwaardelijke gebiedsmaatregelen te kunnen treffen om grootschalie woningbouwlocaties te ontwikkelen. Ook de financiële deelname van het Rijk via de grondfaciliteit in het gemeentelijke grondbeleid zal worden geevalueerd. </w:t>
            </w:r>
            <w:r w:rsidRPr="00410E65">
              <w:rPr>
                <w:rFonts w:eastAsia="Verdana" w:cs="Calibri"/>
                <w:noProof/>
                <w:color w:val="auto"/>
                <w:sz w:val="16"/>
                <w:szCs w:val="16"/>
                <w:lang w:val="nl-NL"/>
              </w:rPr>
              <w:t xml:space="preserve">Op de Strategische Evaluatie Agenda van 2026 wordt hiervoor een eerste concrete evaluatieprogrammering </w:t>
            </w:r>
            <w:r w:rsidRPr="004E665D">
              <w:rPr>
                <w:rFonts w:eastAsia="Verdana" w:cs="Calibri"/>
                <w:noProof/>
                <w:color w:val="auto"/>
                <w:sz w:val="16"/>
                <w:szCs w:val="16"/>
                <w:lang w:val="nl-NL"/>
              </w:rPr>
              <w:t>opgenomen.</w:t>
            </w:r>
            <w:r w:rsidRPr="00995C05" w:rsidR="00995C05">
              <w:rPr>
                <w:rFonts w:eastAsia="Verdana" w:cs="Calibri"/>
                <w:noProof/>
                <w:color w:val="auto"/>
                <w:sz w:val="16"/>
                <w:szCs w:val="16"/>
                <w:lang w:val="nl-NL"/>
              </w:rPr>
              <w:t xml:space="preserve"> </w:t>
            </w:r>
          </w:p>
        </w:tc>
      </w:tr>
    </w:tbl>
    <w:p w:rsidR="00C70427" w:rsidP="0050663A" w:rsidRDefault="00C70427" w14:paraId="53B3F3F8" w14:textId="77777777"/>
    <w:p w:rsidR="00C70427" w:rsidRDefault="00C70427" w14:paraId="39A349F6" w14:textId="77777777">
      <w:pPr>
        <w:spacing w:line="240" w:lineRule="auto"/>
      </w:pPr>
      <w:r>
        <w:br w:type="page"/>
      </w:r>
    </w:p>
    <w:p w:rsidR="0050663A" w:rsidP="0050663A" w:rsidRDefault="0050663A" w14:paraId="4859262D" w14:textId="77777777"/>
    <w:p w:rsidRPr="0050663A" w:rsidR="0050663A" w:rsidP="0050663A" w:rsidRDefault="0050663A" w14:paraId="1F1A74F3" w14:textId="77777777">
      <w:pPr>
        <w:pStyle w:val="Lijstalinea"/>
        <w:numPr>
          <w:ilvl w:val="0"/>
          <w:numId w:val="7"/>
        </w:numPr>
        <w:rPr>
          <w:b/>
          <w:bCs/>
        </w:rPr>
      </w:pPr>
      <w:r w:rsidRPr="0050663A">
        <w:rPr>
          <w:b/>
          <w:bCs/>
        </w:rPr>
        <w:t>Woningbouwimpuls 2.0 en realisatiestimulans</w:t>
      </w:r>
    </w:p>
    <w:p w:rsidR="0050663A" w:rsidP="0050663A" w:rsidRDefault="0050663A" w14:paraId="550557A2" w14:textId="77777777"/>
    <w:tbl>
      <w:tblPr>
        <w:tblStyle w:val="NormalTable0"/>
        <w:tblW w:w="7395"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ayout w:type="fixed"/>
        <w:tblLook w:val="01E0" w:firstRow="1" w:lastRow="1" w:firstColumn="1" w:lastColumn="1" w:noHBand="0" w:noVBand="0"/>
      </w:tblPr>
      <w:tblGrid>
        <w:gridCol w:w="3339"/>
        <w:gridCol w:w="4056"/>
      </w:tblGrid>
      <w:tr w:rsidRPr="00946C18" w:rsidR="0050663A" w:rsidTr="00395375" w14:paraId="1BC4C794" w14:textId="77777777">
        <w:trPr>
          <w:trHeight w:val="543"/>
        </w:trPr>
        <w:tc>
          <w:tcPr>
            <w:tcW w:w="7395" w:type="dxa"/>
            <w:gridSpan w:val="2"/>
            <w:tcBorders>
              <w:top w:val="single" w:color="FFFFFF" w:sz="4" w:space="0"/>
              <w:left w:val="nil"/>
              <w:bottom w:val="single" w:color="FFFFFF" w:sz="4" w:space="0"/>
              <w:right w:val="single" w:color="FFFFFF" w:sz="4" w:space="0"/>
            </w:tcBorders>
            <w:shd w:val="clear" w:color="auto" w:fill="DEEAF6" w:themeFill="accent5" w:themeFillTint="33"/>
            <w:vAlign w:val="center"/>
            <w:hideMark/>
          </w:tcPr>
          <w:p w:rsidRPr="00946C18" w:rsidR="0050663A" w:rsidP="004F79C9" w:rsidRDefault="0050663A" w14:paraId="48FFB506" w14:textId="77777777">
            <w:pPr>
              <w:spacing w:line="240" w:lineRule="auto"/>
              <w:rPr>
                <w:rFonts w:eastAsia="Verdana" w:cs="Calibri"/>
                <w:b/>
                <w:noProof/>
                <w:color w:val="auto"/>
                <w:sz w:val="16"/>
                <w:szCs w:val="16"/>
              </w:rPr>
            </w:pPr>
            <w:r w:rsidRPr="00946C18">
              <w:rPr>
                <w:rFonts w:eastAsia="Verdana" w:cs="Calibri"/>
                <w:b/>
                <w:noProof/>
                <w:color w:val="auto"/>
                <w:sz w:val="16"/>
                <w:szCs w:val="16"/>
              </w:rPr>
              <w:t>Beleidskeuzes uitgelegd</w:t>
            </w:r>
            <w:r w:rsidRPr="00946C18">
              <w:rPr>
                <w:color w:val="auto"/>
              </w:rPr>
              <w:t xml:space="preserve"> </w:t>
            </w:r>
          </w:p>
          <w:p w:rsidRPr="00946C18" w:rsidR="0050663A" w:rsidP="004F79C9" w:rsidRDefault="0050663A" w14:paraId="14D0727C" w14:textId="77777777">
            <w:pPr>
              <w:spacing w:line="240" w:lineRule="auto"/>
              <w:rPr>
                <w:rFonts w:eastAsia="Verdana" w:cs="Calibri"/>
                <w:noProof/>
                <w:color w:val="auto"/>
                <w:sz w:val="16"/>
                <w:szCs w:val="16"/>
              </w:rPr>
            </w:pPr>
          </w:p>
        </w:tc>
      </w:tr>
      <w:tr w:rsidRPr="00946C18" w:rsidR="0050663A" w:rsidTr="00395375" w14:paraId="46B26886" w14:textId="77777777">
        <w:trPr>
          <w:trHeight w:val="74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946C18" w:rsidR="0050663A" w:rsidP="004F79C9" w:rsidRDefault="0050663A" w14:paraId="67294C02" w14:textId="77777777">
            <w:pPr>
              <w:spacing w:line="240" w:lineRule="auto"/>
              <w:ind w:left="103"/>
              <w:rPr>
                <w:rFonts w:eastAsia="Verdana" w:cs="Calibri"/>
                <w:b/>
                <w:noProof/>
                <w:color w:val="auto"/>
                <w:sz w:val="16"/>
                <w:szCs w:val="16"/>
              </w:rPr>
            </w:pPr>
          </w:p>
          <w:p w:rsidRPr="00946C18" w:rsidR="0050663A" w:rsidP="00F32CB9" w:rsidRDefault="0050663A" w14:paraId="3655E15D" w14:textId="77777777">
            <w:pPr>
              <w:numPr>
                <w:ilvl w:val="0"/>
                <w:numId w:val="14"/>
              </w:numPr>
              <w:autoSpaceDN/>
              <w:spacing w:after="160" w:line="240" w:lineRule="auto"/>
              <w:rPr>
                <w:rFonts w:eastAsia="Verdana" w:cs="Calibri"/>
                <w:b/>
                <w:noProof/>
                <w:color w:val="auto"/>
                <w:sz w:val="16"/>
                <w:szCs w:val="16"/>
              </w:rPr>
            </w:pPr>
            <w:r w:rsidRPr="00946C18">
              <w:rPr>
                <w:rFonts w:eastAsia="Verdana" w:cs="Calibri"/>
                <w:b/>
                <w:noProof/>
                <w:color w:val="auto"/>
                <w:sz w:val="16"/>
                <w:szCs w:val="16"/>
              </w:rPr>
              <w:t xml:space="preserve">Doel(en) </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003D0A58" w:rsidP="0050663A" w:rsidRDefault="007A6C65" w14:paraId="17B37133" w14:textId="77777777">
            <w:pPr>
              <w:spacing w:before="10" w:line="218" w:lineRule="exact"/>
              <w:ind w:left="101" w:right="154"/>
              <w:rPr>
                <w:rFonts w:eastAsia="Verdana" w:cs="Calibri"/>
                <w:noProof/>
                <w:color w:val="auto"/>
                <w:sz w:val="16"/>
                <w:szCs w:val="16"/>
                <w:lang w:val="nl-NL"/>
              </w:rPr>
            </w:pPr>
            <w:r w:rsidRPr="004D6931">
              <w:rPr>
                <w:rFonts w:eastAsia="Verdana" w:cs="Calibri"/>
                <w:noProof/>
                <w:color w:val="auto"/>
                <w:sz w:val="16"/>
                <w:szCs w:val="16"/>
                <w:lang w:val="nl-NL"/>
              </w:rPr>
              <w:t xml:space="preserve">Het hoofddoel is om </w:t>
            </w:r>
            <w:r w:rsidRPr="004D6931">
              <w:rPr>
                <w:rStyle w:val="cf01"/>
                <w:rFonts w:ascii="Verdana" w:hAnsi="Verdana"/>
                <w:sz w:val="16"/>
                <w:szCs w:val="16"/>
                <w:lang w:val="nl-NL"/>
              </w:rPr>
              <w:t xml:space="preserve">100.000 woningen per jaar te </w:t>
            </w:r>
            <w:r w:rsidR="00400CC8">
              <w:rPr>
                <w:rStyle w:val="cf01"/>
                <w:rFonts w:ascii="Verdana" w:hAnsi="Verdana"/>
                <w:sz w:val="16"/>
                <w:szCs w:val="16"/>
                <w:lang w:val="nl-NL"/>
              </w:rPr>
              <w:t>realiseren</w:t>
            </w:r>
            <w:r w:rsidRPr="004D6931">
              <w:rPr>
                <w:rStyle w:val="cf01"/>
                <w:rFonts w:ascii="Verdana" w:hAnsi="Verdana"/>
                <w:sz w:val="16"/>
                <w:szCs w:val="16"/>
                <w:lang w:val="nl-NL"/>
              </w:rPr>
              <w:t xml:space="preserve">. </w:t>
            </w:r>
            <w:r w:rsidRPr="004D6931" w:rsidR="0050663A">
              <w:rPr>
                <w:rFonts w:eastAsia="Verdana" w:cs="Calibri"/>
                <w:noProof/>
                <w:color w:val="auto"/>
                <w:sz w:val="16"/>
                <w:szCs w:val="16"/>
                <w:lang w:val="nl-NL"/>
              </w:rPr>
              <w:t>Met</w:t>
            </w:r>
            <w:r w:rsidRPr="00B25C76" w:rsidR="0050663A">
              <w:rPr>
                <w:rFonts w:eastAsia="Verdana" w:cs="Calibri"/>
                <w:noProof/>
                <w:color w:val="auto"/>
                <w:sz w:val="16"/>
                <w:szCs w:val="16"/>
                <w:lang w:val="nl-NL"/>
              </w:rPr>
              <w:t xml:space="preserve"> een Rijksbijdrage in de aankomende 5 jaar wordt beoogd de bouwproductie meerjarig te ondersteunen. De bijdrage is gericht op betaalbare woningen die op korte termijn worden gerealiseerd, maar met het structurele karakter van de ondersteuning </w:t>
            </w:r>
            <w:r w:rsidR="003D0A58">
              <w:rPr>
                <w:rFonts w:eastAsia="Verdana" w:cs="Calibri"/>
                <w:noProof/>
                <w:color w:val="auto"/>
                <w:sz w:val="16"/>
                <w:szCs w:val="16"/>
                <w:lang w:val="nl-NL"/>
              </w:rPr>
              <w:t>kan</w:t>
            </w:r>
            <w:r w:rsidRPr="00B25C76" w:rsidR="0050663A">
              <w:rPr>
                <w:rFonts w:eastAsia="Verdana" w:cs="Calibri"/>
                <w:noProof/>
                <w:color w:val="auto"/>
                <w:sz w:val="16"/>
                <w:szCs w:val="16"/>
                <w:lang w:val="nl-NL"/>
              </w:rPr>
              <w:t xml:space="preserve"> ook een lange(re) termijneffect</w:t>
            </w:r>
            <w:r w:rsidR="003D0A58">
              <w:rPr>
                <w:rFonts w:eastAsia="Verdana" w:cs="Calibri"/>
                <w:noProof/>
                <w:color w:val="auto"/>
                <w:sz w:val="16"/>
                <w:szCs w:val="16"/>
                <w:lang w:val="nl-NL"/>
              </w:rPr>
              <w:t xml:space="preserve"> krijgen als er ook structurele middelen beschikbaar zijn</w:t>
            </w:r>
            <w:r w:rsidRPr="00B25C76" w:rsidR="0050663A">
              <w:rPr>
                <w:rFonts w:eastAsia="Verdana" w:cs="Calibri"/>
                <w:noProof/>
                <w:color w:val="auto"/>
                <w:sz w:val="16"/>
                <w:szCs w:val="16"/>
                <w:lang w:val="nl-NL"/>
              </w:rPr>
              <w:t xml:space="preserve">. </w:t>
            </w:r>
          </w:p>
          <w:p w:rsidR="003D0A58" w:rsidP="0050663A" w:rsidRDefault="003D0A58" w14:paraId="5A0A5EC8" w14:textId="77777777">
            <w:pPr>
              <w:spacing w:before="10" w:line="218" w:lineRule="exact"/>
              <w:ind w:left="101" w:right="154"/>
              <w:rPr>
                <w:rFonts w:eastAsia="Verdana" w:cs="Calibri"/>
                <w:noProof/>
                <w:color w:val="auto"/>
                <w:sz w:val="16"/>
                <w:szCs w:val="16"/>
                <w:lang w:val="nl-NL"/>
              </w:rPr>
            </w:pPr>
          </w:p>
          <w:p w:rsidR="003D0A58" w:rsidP="003D0A58" w:rsidRDefault="0050663A" w14:paraId="5AE313C5" w14:textId="77777777">
            <w:pPr>
              <w:spacing w:before="10" w:line="218" w:lineRule="exact"/>
              <w:ind w:left="101" w:right="154"/>
              <w:rPr>
                <w:rFonts w:eastAsia="Verdana" w:cs="Calibri"/>
                <w:noProof/>
                <w:color w:val="auto"/>
                <w:sz w:val="16"/>
                <w:szCs w:val="16"/>
                <w:lang w:val="nl-NL"/>
              </w:rPr>
            </w:pPr>
            <w:r w:rsidRPr="00B25C76">
              <w:rPr>
                <w:rFonts w:eastAsia="Verdana" w:cs="Calibri"/>
                <w:noProof/>
                <w:color w:val="auto"/>
                <w:sz w:val="16"/>
                <w:szCs w:val="16"/>
                <w:lang w:val="nl-NL"/>
              </w:rPr>
              <w:t>Met een relatief beperkte bijdrage t.o.v. de totale investering maakt het Rijk impact op het tempo en de kwaliteit van de woningbouwrealisatie. We gaan met de Rijksbijdrage de komende jaren inzetten op de volgende doelen:</w:t>
            </w:r>
          </w:p>
          <w:p w:rsidRPr="00B25C76" w:rsidR="0050663A" w:rsidP="003D0A58" w:rsidRDefault="003D0A58" w14:paraId="547A42BC" w14:textId="77777777">
            <w:pPr>
              <w:spacing w:before="10" w:line="218" w:lineRule="exact"/>
              <w:ind w:left="101" w:right="154"/>
              <w:rPr>
                <w:rFonts w:eastAsia="Verdana" w:cs="Calibri"/>
                <w:noProof/>
                <w:color w:val="auto"/>
                <w:sz w:val="16"/>
                <w:szCs w:val="16"/>
                <w:lang w:val="nl-NL"/>
              </w:rPr>
            </w:pPr>
            <w:r>
              <w:rPr>
                <w:rFonts w:eastAsia="Verdana" w:cs="Calibri"/>
                <w:noProof/>
                <w:color w:val="auto"/>
                <w:sz w:val="16"/>
                <w:szCs w:val="16"/>
                <w:lang w:val="nl-NL"/>
              </w:rPr>
              <w:t xml:space="preserve">1. </w:t>
            </w:r>
            <w:r w:rsidRPr="00B25C76" w:rsidR="0050663A">
              <w:rPr>
                <w:rFonts w:eastAsia="Verdana" w:cs="Calibri"/>
                <w:noProof/>
                <w:color w:val="auto"/>
                <w:sz w:val="16"/>
                <w:szCs w:val="16"/>
                <w:lang w:val="nl-NL"/>
              </w:rPr>
              <w:t xml:space="preserve">Het stimuleren van de realisatie van betaalbare woningen en specifieke woonvormen: </w:t>
            </w:r>
            <w:r>
              <w:rPr>
                <w:rFonts w:eastAsia="Verdana" w:cs="Calibri"/>
                <w:noProof/>
                <w:color w:val="auto"/>
                <w:sz w:val="16"/>
                <w:szCs w:val="16"/>
                <w:lang w:val="nl-NL"/>
              </w:rPr>
              <w:br/>
            </w:r>
            <w:r w:rsidRPr="00B25C76" w:rsidR="0050663A">
              <w:rPr>
                <w:rFonts w:eastAsia="Verdana" w:cs="Calibri"/>
                <w:noProof/>
                <w:color w:val="auto"/>
                <w:sz w:val="16"/>
                <w:szCs w:val="16"/>
                <w:lang w:val="nl-NL"/>
              </w:rPr>
              <w:t>a</w:t>
            </w:r>
            <w:r>
              <w:rPr>
                <w:rFonts w:eastAsia="Verdana" w:cs="Calibri"/>
                <w:noProof/>
                <w:color w:val="auto"/>
                <w:sz w:val="16"/>
                <w:szCs w:val="16"/>
                <w:lang w:val="nl-NL"/>
              </w:rPr>
              <w:t>)</w:t>
            </w:r>
            <w:r w:rsidRPr="00B25C76" w:rsidR="0050663A">
              <w:rPr>
                <w:rFonts w:eastAsia="Verdana" w:cs="Calibri"/>
                <w:noProof/>
                <w:color w:val="auto"/>
                <w:sz w:val="16"/>
                <w:szCs w:val="16"/>
                <w:lang w:val="nl-NL"/>
              </w:rPr>
              <w:tab/>
            </w:r>
            <w:r>
              <w:rPr>
                <w:rFonts w:eastAsia="Verdana" w:cs="Calibri"/>
                <w:noProof/>
                <w:color w:val="auto"/>
                <w:sz w:val="16"/>
                <w:szCs w:val="16"/>
                <w:lang w:val="nl-NL"/>
              </w:rPr>
              <w:t>ca.</w:t>
            </w:r>
            <w:r w:rsidRPr="00B25C76" w:rsidR="0050663A">
              <w:rPr>
                <w:rFonts w:eastAsia="Verdana" w:cs="Calibri"/>
                <w:noProof/>
                <w:color w:val="auto"/>
                <w:sz w:val="16"/>
                <w:szCs w:val="16"/>
                <w:lang w:val="nl-NL"/>
              </w:rPr>
              <w:t xml:space="preserve"> 227.500 betaalbare woningen tot 2029, waarvan</w:t>
            </w:r>
          </w:p>
          <w:p w:rsidRPr="00B25C76" w:rsidR="0050663A" w:rsidP="0050663A" w:rsidRDefault="003D0A58" w14:paraId="715EFBCA" w14:textId="77777777">
            <w:pPr>
              <w:spacing w:before="10" w:line="218" w:lineRule="exact"/>
              <w:ind w:left="101" w:right="154"/>
              <w:rPr>
                <w:rFonts w:eastAsia="Verdana" w:cs="Calibri"/>
                <w:noProof/>
                <w:color w:val="auto"/>
                <w:sz w:val="16"/>
                <w:szCs w:val="16"/>
                <w:lang w:val="nl-NL"/>
              </w:rPr>
            </w:pPr>
            <w:r>
              <w:rPr>
                <w:rFonts w:eastAsia="Verdana" w:cs="Calibri"/>
                <w:noProof/>
                <w:color w:val="auto"/>
                <w:sz w:val="16"/>
                <w:szCs w:val="16"/>
                <w:lang w:val="nl-NL"/>
              </w:rPr>
              <w:t>b)</w:t>
            </w:r>
            <w:r w:rsidRPr="00B25C76" w:rsidR="0050663A">
              <w:rPr>
                <w:rFonts w:eastAsia="Verdana" w:cs="Calibri"/>
                <w:noProof/>
                <w:color w:val="auto"/>
                <w:sz w:val="16"/>
                <w:szCs w:val="16"/>
                <w:lang w:val="nl-NL"/>
              </w:rPr>
              <w:tab/>
              <w:t>ca. 25.500 zorggeschikte woningen binnen de sociale huursector.</w:t>
            </w:r>
          </w:p>
          <w:p w:rsidRPr="00B25C76" w:rsidR="0050663A" w:rsidP="0050663A" w:rsidRDefault="003D0A58" w14:paraId="63EE57E3" w14:textId="77777777">
            <w:pPr>
              <w:spacing w:before="10" w:line="218" w:lineRule="exact"/>
              <w:ind w:left="101" w:right="154"/>
              <w:rPr>
                <w:rFonts w:eastAsia="Verdana" w:cs="Calibri"/>
                <w:noProof/>
                <w:color w:val="auto"/>
                <w:sz w:val="16"/>
                <w:szCs w:val="16"/>
                <w:lang w:val="nl-NL"/>
              </w:rPr>
            </w:pPr>
            <w:r>
              <w:rPr>
                <w:rFonts w:eastAsia="Verdana" w:cs="Calibri"/>
                <w:noProof/>
                <w:color w:val="auto"/>
                <w:sz w:val="16"/>
                <w:szCs w:val="16"/>
                <w:lang w:val="nl-NL"/>
              </w:rPr>
              <w:t>c)</w:t>
            </w:r>
            <w:r w:rsidRPr="00B25C76" w:rsidR="0050663A">
              <w:rPr>
                <w:rFonts w:eastAsia="Verdana" w:cs="Calibri"/>
                <w:noProof/>
                <w:color w:val="auto"/>
                <w:sz w:val="16"/>
                <w:szCs w:val="16"/>
                <w:lang w:val="nl-NL"/>
              </w:rPr>
              <w:tab/>
              <w:t>Ca. 63.500 geclusterde woningen.</w:t>
            </w:r>
          </w:p>
          <w:p w:rsidRPr="0050663A" w:rsidR="0050663A" w:rsidP="0050663A" w:rsidRDefault="0050663A" w14:paraId="49AE81B2" w14:textId="77777777">
            <w:pPr>
              <w:spacing w:before="10" w:line="218" w:lineRule="exact"/>
              <w:ind w:left="101" w:right="154"/>
              <w:rPr>
                <w:rFonts w:eastAsia="Verdana" w:cs="Calibri"/>
                <w:noProof/>
                <w:color w:val="auto"/>
                <w:sz w:val="16"/>
                <w:szCs w:val="16"/>
                <w:lang w:val="nl-NL"/>
              </w:rPr>
            </w:pPr>
            <w:r w:rsidRPr="0050663A">
              <w:rPr>
                <w:rFonts w:eastAsia="Verdana" w:cs="Calibri"/>
                <w:noProof/>
                <w:color w:val="auto"/>
                <w:sz w:val="16"/>
                <w:szCs w:val="16"/>
                <w:lang w:val="nl-NL"/>
              </w:rPr>
              <w:t>2.</w:t>
            </w:r>
            <w:r w:rsidRPr="0050663A">
              <w:rPr>
                <w:rFonts w:eastAsia="Verdana" w:cs="Calibri"/>
                <w:noProof/>
                <w:color w:val="auto"/>
                <w:sz w:val="16"/>
                <w:szCs w:val="16"/>
                <w:lang w:val="nl-NL"/>
              </w:rPr>
              <w:tab/>
              <w:t>Ruimte geven aan gemeenten om met partijen op een zo efficiënt mogelijke manier plannen vorm te geven, zonder een grote administratieve last op partijen te leggen.</w:t>
            </w:r>
          </w:p>
        </w:tc>
      </w:tr>
      <w:tr w:rsidRPr="00946C18" w:rsidR="0050663A" w:rsidTr="00395375" w14:paraId="312C1F71" w14:textId="77777777">
        <w:trPr>
          <w:trHeight w:val="56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50663A" w:rsidP="004F79C9" w:rsidRDefault="0050663A" w14:paraId="4560B4DF" w14:textId="77777777">
            <w:pPr>
              <w:spacing w:line="240" w:lineRule="auto"/>
              <w:ind w:left="103" w:right="231"/>
              <w:rPr>
                <w:rFonts w:eastAsia="Verdana" w:cs="Calibri"/>
                <w:b/>
                <w:noProof/>
                <w:color w:val="auto"/>
                <w:sz w:val="16"/>
                <w:szCs w:val="16"/>
                <w:lang w:val="nl-NL"/>
              </w:rPr>
            </w:pPr>
          </w:p>
          <w:p w:rsidRPr="00946C18" w:rsidR="0050663A" w:rsidP="00F32CB9" w:rsidRDefault="0050663A" w14:paraId="2A07A0D6" w14:textId="77777777">
            <w:pPr>
              <w:numPr>
                <w:ilvl w:val="0"/>
                <w:numId w:val="14"/>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Beleidsinstrument(en)</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003D0A58" w:rsidP="003D0A58" w:rsidRDefault="0050663A" w14:paraId="01B1F2B6"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Het doel om sneller en meer betaalbare woningen te realiseren wordt bereikt met:</w:t>
            </w:r>
          </w:p>
          <w:p w:rsidRPr="003D0A58" w:rsidR="003D0A58" w:rsidP="003D0A58" w:rsidRDefault="003D0A58" w14:paraId="22B8CFBD" w14:textId="77777777">
            <w:pPr>
              <w:spacing w:line="218" w:lineRule="exact"/>
              <w:ind w:left="101" w:right="543"/>
              <w:rPr>
                <w:rFonts w:eastAsia="Verdana" w:cs="Calibri"/>
                <w:noProof/>
                <w:color w:val="auto"/>
                <w:sz w:val="16"/>
                <w:szCs w:val="16"/>
                <w:lang w:val="nl-NL"/>
              </w:rPr>
            </w:pPr>
            <w:r>
              <w:rPr>
                <w:rFonts w:eastAsia="Verdana" w:cs="Calibri"/>
                <w:noProof/>
                <w:color w:val="auto"/>
                <w:sz w:val="16"/>
                <w:szCs w:val="16"/>
                <w:lang w:val="nl-NL"/>
              </w:rPr>
              <w:t xml:space="preserve">1) </w:t>
            </w:r>
            <w:r w:rsidRPr="003D0A58" w:rsidR="0050663A">
              <w:rPr>
                <w:rFonts w:eastAsia="Verdana" w:cs="Calibri"/>
                <w:noProof/>
                <w:color w:val="auto"/>
                <w:sz w:val="16"/>
                <w:szCs w:val="16"/>
                <w:lang w:val="nl-NL"/>
              </w:rPr>
              <w:t xml:space="preserve">De realisatiestimulans: </w:t>
            </w:r>
            <w:r w:rsidRPr="003D0A58">
              <w:rPr>
                <w:rFonts w:eastAsia="Verdana" w:cs="Calibri"/>
                <w:noProof/>
                <w:color w:val="auto"/>
                <w:sz w:val="16"/>
                <w:szCs w:val="16"/>
                <w:lang w:val="nl-NL"/>
              </w:rPr>
              <w:t>G</w:t>
            </w:r>
            <w:r w:rsidRPr="003D0A58" w:rsidR="00E343DB">
              <w:rPr>
                <w:rFonts w:eastAsia="Verdana" w:cs="Calibri"/>
                <w:noProof/>
                <w:color w:val="auto"/>
                <w:sz w:val="16"/>
                <w:szCs w:val="16"/>
                <w:lang w:val="nl-NL"/>
              </w:rPr>
              <w:t xml:space="preserve">emeenten ontvangen </w:t>
            </w:r>
            <w:r w:rsidRPr="003D0A58">
              <w:rPr>
                <w:rFonts w:eastAsia="Verdana" w:cs="Calibri"/>
                <w:noProof/>
                <w:color w:val="auto"/>
                <w:sz w:val="16"/>
                <w:szCs w:val="16"/>
                <w:lang w:val="nl-NL"/>
              </w:rPr>
              <w:t xml:space="preserve">jaarlijks een </w:t>
            </w:r>
            <w:r w:rsidRPr="003D0A58" w:rsidR="0050663A">
              <w:rPr>
                <w:rFonts w:eastAsia="Verdana" w:cs="Calibri"/>
                <w:noProof/>
                <w:color w:val="auto"/>
                <w:sz w:val="16"/>
                <w:szCs w:val="16"/>
                <w:lang w:val="nl-NL"/>
              </w:rPr>
              <w:t>bijdrage</w:t>
            </w:r>
            <w:r w:rsidRPr="003D0A58">
              <w:rPr>
                <w:rFonts w:eastAsia="Verdana" w:cs="Calibri"/>
                <w:noProof/>
                <w:color w:val="auto"/>
                <w:sz w:val="16"/>
                <w:szCs w:val="16"/>
                <w:lang w:val="nl-NL"/>
              </w:rPr>
              <w:t xml:space="preserve"> van het rijk op basis van het totaal aantal gerealiseerde betaalbare woningen in het jaar voorafgaand aan de</w:t>
            </w:r>
            <w:r w:rsidR="00635E51">
              <w:rPr>
                <w:rFonts w:eastAsia="Verdana" w:cs="Calibri"/>
                <w:noProof/>
                <w:color w:val="auto"/>
                <w:sz w:val="16"/>
                <w:szCs w:val="16"/>
                <w:lang w:val="nl-NL"/>
              </w:rPr>
              <w:t xml:space="preserve"> </w:t>
            </w:r>
            <w:r w:rsidRPr="003D0A58">
              <w:rPr>
                <w:rFonts w:eastAsia="Verdana" w:cs="Calibri"/>
                <w:noProof/>
                <w:color w:val="auto"/>
                <w:sz w:val="16"/>
                <w:szCs w:val="16"/>
                <w:lang w:val="nl-NL"/>
              </w:rPr>
              <w:t xml:space="preserve">uitkering. </w:t>
            </w:r>
            <w:r w:rsidRPr="003D0A58" w:rsidR="0050663A">
              <w:rPr>
                <w:rFonts w:eastAsia="Verdana" w:cs="Calibri"/>
                <w:noProof/>
                <w:color w:val="auto"/>
                <w:sz w:val="16"/>
                <w:szCs w:val="16"/>
                <w:lang w:val="nl-NL"/>
              </w:rPr>
              <w:t xml:space="preserve">De </w:t>
            </w:r>
            <w:r w:rsidRPr="003D0A58">
              <w:rPr>
                <w:rFonts w:eastAsia="Verdana" w:cs="Calibri"/>
                <w:noProof/>
                <w:color w:val="auto"/>
                <w:sz w:val="16"/>
                <w:szCs w:val="16"/>
                <w:lang w:val="nl-NL"/>
              </w:rPr>
              <w:t xml:space="preserve">verdeelsleutel op basis van realisatie </w:t>
            </w:r>
            <w:r w:rsidRPr="003D0A58" w:rsidR="0050663A">
              <w:rPr>
                <w:rFonts w:eastAsia="Verdana" w:cs="Calibri"/>
                <w:noProof/>
                <w:color w:val="auto"/>
                <w:sz w:val="16"/>
                <w:szCs w:val="16"/>
                <w:lang w:val="nl-NL"/>
              </w:rPr>
              <w:t xml:space="preserve">voorkomt onnodige administratieve lasten. Met de realisatiestimulans worden ook kleine en simpele(re) projecten verspreid over heel het land gestimuleerd. </w:t>
            </w:r>
            <w:r w:rsidRPr="003D0A58">
              <w:rPr>
                <w:rFonts w:eastAsia="Verdana" w:cs="Calibri"/>
                <w:noProof/>
                <w:color w:val="auto"/>
                <w:sz w:val="16"/>
                <w:szCs w:val="16"/>
                <w:lang w:val="nl-NL"/>
              </w:rPr>
              <w:t xml:space="preserve">Voor specifieke opgaven kunnen aanvullende </w:t>
            </w:r>
            <w:r w:rsidRPr="003D0A58" w:rsidR="0050663A">
              <w:rPr>
                <w:rFonts w:eastAsia="Verdana" w:cs="Calibri"/>
                <w:noProof/>
                <w:color w:val="auto"/>
                <w:sz w:val="16"/>
                <w:szCs w:val="16"/>
                <w:lang w:val="nl-NL"/>
              </w:rPr>
              <w:t xml:space="preserve">opslagen </w:t>
            </w:r>
            <w:r w:rsidRPr="003D0A58">
              <w:rPr>
                <w:rFonts w:eastAsia="Verdana" w:cs="Calibri"/>
                <w:noProof/>
                <w:color w:val="auto"/>
                <w:sz w:val="16"/>
                <w:szCs w:val="16"/>
                <w:lang w:val="nl-NL"/>
              </w:rPr>
              <w:t xml:space="preserve">worden toegevoegd aan de bijdrage per gemeente, bijvoorbeeld </w:t>
            </w:r>
            <w:r w:rsidRPr="003D0A58" w:rsidR="0050663A">
              <w:rPr>
                <w:rFonts w:eastAsia="Verdana" w:cs="Calibri"/>
                <w:noProof/>
                <w:color w:val="auto"/>
                <w:sz w:val="16"/>
                <w:szCs w:val="16"/>
                <w:lang w:val="nl-NL"/>
              </w:rPr>
              <w:t>ten behoeve van de versterking van capaciteit</w:t>
            </w:r>
            <w:r w:rsidRPr="003D0A58">
              <w:rPr>
                <w:rFonts w:eastAsia="Verdana" w:cs="Calibri"/>
                <w:noProof/>
                <w:color w:val="auto"/>
                <w:sz w:val="16"/>
                <w:szCs w:val="16"/>
                <w:lang w:val="nl-NL"/>
              </w:rPr>
              <w:t xml:space="preserve"> of voor de realisatie van zorggeschikte woningen. </w:t>
            </w:r>
          </w:p>
          <w:p w:rsidRPr="003D0A58" w:rsidR="0050663A" w:rsidP="003D0A58" w:rsidRDefault="003D0A58" w14:paraId="2706522B" w14:textId="77777777">
            <w:pPr>
              <w:spacing w:line="218" w:lineRule="exact"/>
              <w:ind w:right="543"/>
              <w:rPr>
                <w:rFonts w:eastAsia="Verdana" w:cs="Calibri"/>
                <w:noProof/>
                <w:color w:val="auto"/>
                <w:sz w:val="16"/>
                <w:szCs w:val="16"/>
                <w:lang w:val="nl-NL"/>
              </w:rPr>
            </w:pPr>
            <w:r w:rsidRPr="003D0A58">
              <w:rPr>
                <w:rFonts w:eastAsia="Verdana" w:cs="Calibri"/>
                <w:noProof/>
                <w:color w:val="auto"/>
                <w:sz w:val="16"/>
                <w:szCs w:val="16"/>
                <w:lang w:val="nl-NL"/>
              </w:rPr>
              <w:t xml:space="preserve"> </w:t>
            </w:r>
          </w:p>
          <w:p w:rsidR="003D0A58" w:rsidP="0050663A" w:rsidRDefault="0050663A" w14:paraId="388AF132"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 xml:space="preserve">De middelen worden met een generieke verdeelsleutel gealloceerd naar de </w:t>
            </w:r>
            <w:r w:rsidRPr="00B25C76">
              <w:rPr>
                <w:rFonts w:eastAsia="Verdana" w:cs="Calibri"/>
                <w:noProof/>
                <w:color w:val="auto"/>
                <w:sz w:val="16"/>
                <w:szCs w:val="16"/>
                <w:lang w:val="nl-NL"/>
              </w:rPr>
              <w:lastRenderedPageBreak/>
              <w:t>gemeenten. Nadere uitwerking van het instrument moet uitwijzen hoe dat het meest effectief kan.</w:t>
            </w:r>
          </w:p>
          <w:p w:rsidRPr="00B25C76" w:rsidR="0050663A" w:rsidP="0050663A" w:rsidRDefault="0050663A" w14:paraId="4553E022"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 xml:space="preserve"> </w:t>
            </w:r>
          </w:p>
          <w:p w:rsidRPr="00B25C76" w:rsidR="0050663A" w:rsidP="0050663A" w:rsidRDefault="0050663A" w14:paraId="3DCA5171" w14:textId="77777777">
            <w:pPr>
              <w:spacing w:line="218" w:lineRule="exact"/>
              <w:ind w:left="101" w:right="543"/>
              <w:rPr>
                <w:rFonts w:eastAsia="Verdana" w:cs="Calibri"/>
                <w:noProof/>
                <w:color w:val="auto"/>
                <w:sz w:val="16"/>
                <w:szCs w:val="16"/>
                <w:lang w:val="nl-NL"/>
              </w:rPr>
            </w:pPr>
            <w:r w:rsidRPr="00B25C76">
              <w:rPr>
                <w:rFonts w:eastAsia="Verdana" w:cs="Calibri"/>
                <w:noProof/>
                <w:color w:val="auto"/>
                <w:sz w:val="16"/>
                <w:szCs w:val="16"/>
                <w:lang w:val="nl-NL"/>
              </w:rPr>
              <w:t>2)</w:t>
            </w:r>
            <w:r w:rsidR="003D0A58">
              <w:rPr>
                <w:rFonts w:eastAsia="Verdana" w:cs="Calibri"/>
                <w:noProof/>
                <w:color w:val="auto"/>
                <w:sz w:val="16"/>
                <w:szCs w:val="16"/>
                <w:lang w:val="nl-NL"/>
              </w:rPr>
              <w:t xml:space="preserve"> </w:t>
            </w:r>
            <w:r w:rsidRPr="00B25C76">
              <w:rPr>
                <w:rFonts w:eastAsia="Verdana" w:cs="Calibri"/>
                <w:noProof/>
                <w:color w:val="auto"/>
                <w:sz w:val="16"/>
                <w:szCs w:val="16"/>
                <w:lang w:val="nl-NL"/>
              </w:rPr>
              <w:t xml:space="preserve">Met </w:t>
            </w:r>
            <w:r w:rsidR="003D0A58">
              <w:rPr>
                <w:rFonts w:eastAsia="Verdana" w:cs="Calibri"/>
                <w:noProof/>
                <w:color w:val="auto"/>
                <w:sz w:val="16"/>
                <w:szCs w:val="16"/>
                <w:lang w:val="nl-NL"/>
              </w:rPr>
              <w:t>het voortzetten van de</w:t>
            </w:r>
            <w:r w:rsidRPr="00B25C76">
              <w:rPr>
                <w:rFonts w:eastAsia="Verdana" w:cs="Calibri"/>
                <w:noProof/>
                <w:color w:val="auto"/>
                <w:sz w:val="16"/>
                <w:szCs w:val="16"/>
                <w:lang w:val="nl-NL"/>
              </w:rPr>
              <w:t xml:space="preserve"> Woningbouwimpuls (Wbi) kunnen ingewikkelde projecten ondersteund worden waarvoor grote publieke investeringen nodig zijn. De Wbi is een uitzonderingsmaatregel die alleen beschikbaar is voor de ontwikkeling van specifieke locaties met publieke kostenniveaus die niet uit de grondexploitatie of uit het kostenverhaal te dekken zijn. Het gaat bijvoorbeeld om het uitplaatsen van hinderactiviteiten en het oplossen of uitkopen van niet meer gewenste functies. Zonder het oplossen van dit soort fysieke knelpunten, is het onmogelijk om op deze locaties woningen te realiseren. </w:t>
            </w:r>
          </w:p>
          <w:p w:rsidRPr="0050663A" w:rsidR="0050663A" w:rsidP="0050663A" w:rsidRDefault="0050663A" w14:paraId="15A334C5" w14:textId="77777777">
            <w:pPr>
              <w:spacing w:line="218" w:lineRule="exact"/>
              <w:ind w:left="101" w:right="543"/>
              <w:rPr>
                <w:rFonts w:eastAsia="Verdana" w:cs="Calibri"/>
                <w:noProof/>
                <w:color w:val="auto"/>
                <w:sz w:val="16"/>
                <w:szCs w:val="16"/>
                <w:lang w:val="nl-NL"/>
              </w:rPr>
            </w:pPr>
            <w:r w:rsidRPr="0050663A">
              <w:rPr>
                <w:rFonts w:eastAsia="Verdana" w:cs="Calibri"/>
                <w:noProof/>
                <w:color w:val="auto"/>
                <w:sz w:val="16"/>
                <w:szCs w:val="16"/>
                <w:lang w:val="nl-NL"/>
              </w:rPr>
              <w:t>Bij de verdere uitwerking wordt bezien via welk instrument de bijdrage het effectiefst bij medeoverheden kan worden gealloceerd.</w:t>
            </w:r>
          </w:p>
        </w:tc>
      </w:tr>
      <w:tr w:rsidRPr="00946C18" w:rsidR="0050663A" w:rsidTr="00395375" w14:paraId="08025D7D" w14:textId="77777777">
        <w:trPr>
          <w:trHeight w:val="65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50663A" w:rsidP="004F79C9" w:rsidRDefault="0050663A" w14:paraId="04BEFC89" w14:textId="77777777">
            <w:pPr>
              <w:spacing w:line="240" w:lineRule="auto"/>
              <w:ind w:left="463" w:right="231"/>
              <w:rPr>
                <w:rFonts w:eastAsia="Verdana" w:cs="Calibri"/>
                <w:b/>
                <w:noProof/>
                <w:color w:val="auto"/>
                <w:sz w:val="16"/>
                <w:szCs w:val="16"/>
                <w:lang w:val="nl-NL"/>
              </w:rPr>
            </w:pPr>
          </w:p>
          <w:p w:rsidRPr="007461E2" w:rsidR="0050663A" w:rsidP="00F32CB9" w:rsidRDefault="0050663A" w14:paraId="2DEAB603" w14:textId="77777777">
            <w:pPr>
              <w:numPr>
                <w:ilvl w:val="0"/>
                <w:numId w:val="14"/>
              </w:numPr>
              <w:autoSpaceDN/>
              <w:spacing w:after="160" w:line="240" w:lineRule="auto"/>
              <w:ind w:right="231"/>
              <w:rPr>
                <w:rFonts w:eastAsia="Verdana" w:cs="Calibri"/>
                <w:b/>
                <w:noProof/>
                <w:color w:val="auto"/>
                <w:sz w:val="16"/>
                <w:szCs w:val="16"/>
                <w:lang w:val="nl-NL"/>
              </w:rPr>
            </w:pPr>
            <w:r w:rsidRPr="007461E2">
              <w:rPr>
                <w:rFonts w:eastAsia="Verdana" w:cs="Calibri"/>
                <w:b/>
                <w:noProof/>
                <w:color w:val="auto"/>
                <w:sz w:val="16"/>
                <w:szCs w:val="16"/>
                <w:lang w:val="nl-NL"/>
              </w:rPr>
              <w:t>A. Financiële gevolgen voor het Rijk</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7461E2" w:rsidR="0050663A" w:rsidP="004F79C9" w:rsidRDefault="0050663A" w14:paraId="20556B4E" w14:textId="77777777">
            <w:pPr>
              <w:spacing w:before="3" w:line="218" w:lineRule="exact"/>
              <w:ind w:left="101" w:right="945"/>
              <w:rPr>
                <w:rFonts w:eastAsia="Verdana" w:cs="Calibri"/>
                <w:noProof/>
                <w:color w:val="auto"/>
                <w:sz w:val="16"/>
                <w:szCs w:val="16"/>
                <w:lang w:val="nl-NL"/>
              </w:rPr>
            </w:pPr>
            <w:r w:rsidRPr="0050663A">
              <w:rPr>
                <w:rFonts w:eastAsia="Verdana" w:cs="Calibri"/>
                <w:noProof/>
                <w:color w:val="auto"/>
                <w:sz w:val="16"/>
                <w:szCs w:val="16"/>
                <w:lang w:val="nl-NL"/>
              </w:rPr>
              <w:t>De uitgaven voor de Realisatiestimulans en de Woningbouwimpuls worden verantwoord op artikel 1.2 Woningbouw van de VRO-begroting. Voor de Realisatiestimulans is tot en met 2030 cumulatief circa € 2,5 mld. (inclusief btw) beschikbaar en voor de Woningbouwimpuls cumulatief € 470 mln. (inclusief btw).</w:t>
            </w:r>
          </w:p>
        </w:tc>
      </w:tr>
      <w:tr w:rsidRPr="00946C18" w:rsidR="0050663A" w:rsidTr="00395375" w14:paraId="693FC58B" w14:textId="77777777">
        <w:trPr>
          <w:trHeight w:val="72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7461E2" w:rsidR="0050663A" w:rsidP="004F79C9" w:rsidRDefault="0050663A" w14:paraId="5DC94931" w14:textId="77777777">
            <w:pPr>
              <w:spacing w:line="240" w:lineRule="auto"/>
              <w:ind w:left="463" w:right="231"/>
              <w:rPr>
                <w:rFonts w:eastAsia="Verdana" w:cs="Calibri"/>
                <w:b/>
                <w:noProof/>
                <w:color w:val="auto"/>
                <w:sz w:val="16"/>
                <w:szCs w:val="16"/>
                <w:lang w:val="nl-NL"/>
              </w:rPr>
            </w:pPr>
          </w:p>
          <w:p w:rsidRPr="007461E2" w:rsidR="0050663A" w:rsidP="004F79C9" w:rsidRDefault="0050663A" w14:paraId="0E09D344" w14:textId="77777777">
            <w:pPr>
              <w:spacing w:line="240" w:lineRule="auto"/>
              <w:ind w:left="463" w:right="231"/>
              <w:rPr>
                <w:rFonts w:eastAsia="Verdana" w:cs="Calibri"/>
                <w:b/>
                <w:noProof/>
                <w:color w:val="auto"/>
                <w:sz w:val="16"/>
                <w:szCs w:val="16"/>
                <w:lang w:val="nl-NL"/>
              </w:rPr>
            </w:pPr>
            <w:r w:rsidRPr="007461E2">
              <w:rPr>
                <w:rFonts w:eastAsia="Verdana" w:cs="Calibri"/>
                <w:b/>
                <w:noProof/>
                <w:color w:val="auto"/>
                <w:sz w:val="16"/>
                <w:szCs w:val="16"/>
                <w:lang w:val="nl-NL"/>
              </w:rPr>
              <w:t xml:space="preserve">B. Financiële gevolgen voor maatschappelijke sectoren </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00B24001" w:rsidP="0050663A" w:rsidRDefault="0050663A" w14:paraId="29FA91D9" w14:textId="77777777">
            <w:pPr>
              <w:spacing w:line="240" w:lineRule="auto"/>
              <w:ind w:left="101" w:right="308"/>
              <w:rPr>
                <w:rFonts w:eastAsia="Verdana" w:cs="Calibri"/>
                <w:noProof/>
                <w:color w:val="auto"/>
                <w:sz w:val="16"/>
                <w:szCs w:val="16"/>
                <w:lang w:val="nl-NL"/>
              </w:rPr>
            </w:pPr>
            <w:r w:rsidRPr="00B25C76">
              <w:rPr>
                <w:rFonts w:eastAsia="Verdana" w:cs="Calibri"/>
                <w:noProof/>
                <w:color w:val="auto"/>
                <w:sz w:val="16"/>
                <w:szCs w:val="16"/>
                <w:lang w:val="nl-NL"/>
              </w:rPr>
              <w:t>Gemeenten kunnen de middelen die zijn ontvangen vanuit de realisatiestimulans vrij besteden. Zo kunnen ze de middelen aanwenden passend bij de publieke kosten en knelpunten bij de woningbouwrealisatie in de betreffende gemeente. Gemeenten hebben zo meer autonomie om invulling te geven aan de woningbouwopgave zoals dat het beste past voor hun gemeente. Deze vrije besteding resulteert in minder rigiditeit en administratieve lasten. Hierdoor is er minder capaciteit nodig voor aanvragen en verantwoording, wat financieel ook scheelt.</w:t>
            </w:r>
            <w:r w:rsidR="00B24001">
              <w:rPr>
                <w:rFonts w:eastAsia="Verdana" w:cs="Calibri"/>
                <w:noProof/>
                <w:color w:val="auto"/>
                <w:sz w:val="16"/>
                <w:szCs w:val="16"/>
                <w:lang w:val="nl-NL"/>
              </w:rPr>
              <w:t xml:space="preserve"> Belangrijk daarbij is dat de lagere administratieve lasten nog wel in verhouding moeten staan met de kwaliteit van de verantwoording. De verantwoording dient ten alle tijden deugdelijk te zijn.</w:t>
            </w:r>
          </w:p>
          <w:p w:rsidR="00B24001" w:rsidP="0050663A" w:rsidRDefault="00B24001" w14:paraId="0CBA09E0" w14:textId="77777777">
            <w:pPr>
              <w:spacing w:line="240" w:lineRule="auto"/>
              <w:ind w:left="101" w:right="308"/>
              <w:rPr>
                <w:rFonts w:eastAsia="Verdana" w:cs="Calibri"/>
                <w:noProof/>
                <w:color w:val="auto"/>
                <w:sz w:val="16"/>
                <w:szCs w:val="16"/>
                <w:lang w:val="nl-NL"/>
              </w:rPr>
            </w:pPr>
          </w:p>
          <w:p w:rsidRPr="0050663A" w:rsidR="0050663A" w:rsidP="0050663A" w:rsidRDefault="0050663A" w14:paraId="58199A42" w14:textId="77777777">
            <w:pPr>
              <w:spacing w:line="240" w:lineRule="auto"/>
              <w:ind w:left="101" w:right="308"/>
              <w:rPr>
                <w:rFonts w:eastAsia="Verdana" w:cs="Calibri"/>
                <w:noProof/>
                <w:color w:val="auto"/>
                <w:sz w:val="16"/>
                <w:szCs w:val="16"/>
                <w:lang w:val="nl-NL"/>
              </w:rPr>
            </w:pPr>
            <w:r w:rsidRPr="00B25C76">
              <w:rPr>
                <w:rFonts w:eastAsia="Verdana" w:cs="Calibri"/>
                <w:noProof/>
                <w:color w:val="auto"/>
                <w:sz w:val="16"/>
                <w:szCs w:val="16"/>
                <w:lang w:val="nl-NL"/>
              </w:rPr>
              <w:t xml:space="preserve">Indien projecten rendabel zijn kan het “teveel” aan verkregen Rijksmiddelen worden ingezet voor knelpunten bij andere meer verlieslatende (woningbouw)projecten. Indien het project niet rendabel is vanwege hoge kosten voor verwerving, grondsanering </w:t>
            </w:r>
            <w:r w:rsidRPr="00B25C76">
              <w:rPr>
                <w:rFonts w:eastAsia="Verdana" w:cs="Calibri"/>
                <w:noProof/>
                <w:color w:val="auto"/>
                <w:sz w:val="16"/>
                <w:szCs w:val="16"/>
                <w:lang w:val="nl-NL"/>
              </w:rPr>
              <w:lastRenderedPageBreak/>
              <w:t>of uitplaatsing, dan heeft de gemeente nog de mogelijkheid aanvullend budget aan te vragen vanuit de Wbi. De overige tekorten worden door de gemeente zelf gedekt. Hierdoor zal er in vrijwel alle projecten sprake zijn van cofinanciering.</w:t>
            </w:r>
          </w:p>
        </w:tc>
      </w:tr>
      <w:tr w:rsidRPr="00946C18" w:rsidR="0050663A" w:rsidTr="00395375" w14:paraId="6356003D" w14:textId="77777777">
        <w:trPr>
          <w:trHeight w:val="778"/>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7461E2" w:rsidR="0050663A" w:rsidP="004F79C9" w:rsidRDefault="0050663A" w14:paraId="4E8A5118" w14:textId="77777777">
            <w:pPr>
              <w:spacing w:line="240" w:lineRule="auto"/>
              <w:ind w:left="463" w:right="231"/>
              <w:rPr>
                <w:rFonts w:eastAsia="Verdana" w:cs="Calibri"/>
                <w:b/>
                <w:noProof/>
                <w:color w:val="auto"/>
                <w:sz w:val="16"/>
                <w:szCs w:val="16"/>
                <w:lang w:val="nl-NL"/>
              </w:rPr>
            </w:pPr>
          </w:p>
          <w:p w:rsidRPr="00946C18" w:rsidR="0050663A" w:rsidP="00F32CB9" w:rsidRDefault="0050663A" w14:paraId="2B55D944" w14:textId="77777777">
            <w:pPr>
              <w:numPr>
                <w:ilvl w:val="0"/>
                <w:numId w:val="14"/>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doeltreffendheid</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B25C76" w:rsidR="0050663A" w:rsidP="0050663A" w:rsidRDefault="0050663A" w14:paraId="177CCD7D" w14:textId="77777777">
            <w:pPr>
              <w:spacing w:before="4" w:line="218" w:lineRule="exact"/>
              <w:ind w:left="101" w:right="166"/>
              <w:rPr>
                <w:rFonts w:eastAsia="Verdana" w:cs="Calibri"/>
                <w:noProof/>
                <w:color w:val="auto"/>
                <w:sz w:val="16"/>
                <w:szCs w:val="16"/>
                <w:lang w:val="nl-NL"/>
              </w:rPr>
            </w:pPr>
            <w:r w:rsidRPr="00B25C76">
              <w:rPr>
                <w:rFonts w:eastAsia="Verdana" w:cs="Calibri"/>
                <w:noProof/>
                <w:color w:val="auto"/>
                <w:sz w:val="16"/>
                <w:szCs w:val="16"/>
                <w:lang w:val="nl-NL"/>
              </w:rPr>
              <w:t xml:space="preserve">Met deze twee instrumenten </w:t>
            </w:r>
            <w:r w:rsidR="003D0A58">
              <w:rPr>
                <w:rFonts w:eastAsia="Verdana" w:cs="Calibri"/>
                <w:noProof/>
                <w:color w:val="auto"/>
                <w:sz w:val="16"/>
                <w:szCs w:val="16"/>
                <w:lang w:val="nl-NL"/>
              </w:rPr>
              <w:t xml:space="preserve">heeft </w:t>
            </w:r>
            <w:r w:rsidRPr="00B25C76">
              <w:rPr>
                <w:rFonts w:eastAsia="Verdana" w:cs="Calibri"/>
                <w:noProof/>
                <w:color w:val="auto"/>
                <w:sz w:val="16"/>
                <w:szCs w:val="16"/>
                <w:lang w:val="nl-NL"/>
              </w:rPr>
              <w:t>het Rijk</w:t>
            </w:r>
            <w:r w:rsidR="00635E51">
              <w:rPr>
                <w:rFonts w:eastAsia="Verdana" w:cs="Calibri"/>
                <w:noProof/>
                <w:color w:val="auto"/>
                <w:sz w:val="16"/>
                <w:szCs w:val="16"/>
                <w:lang w:val="nl-NL"/>
              </w:rPr>
              <w:t xml:space="preserve"> </w:t>
            </w:r>
            <w:r w:rsidRPr="00B25C76">
              <w:rPr>
                <w:rFonts w:eastAsia="Verdana" w:cs="Calibri"/>
                <w:noProof/>
                <w:color w:val="auto"/>
                <w:sz w:val="16"/>
                <w:szCs w:val="16"/>
                <w:lang w:val="nl-NL"/>
              </w:rPr>
              <w:t>meer zekerheid</w:t>
            </w:r>
            <w:r w:rsidR="003D0A58">
              <w:rPr>
                <w:rFonts w:eastAsia="Verdana" w:cs="Calibri"/>
                <w:noProof/>
                <w:color w:val="auto"/>
                <w:sz w:val="16"/>
                <w:szCs w:val="16"/>
                <w:lang w:val="nl-NL"/>
              </w:rPr>
              <w:t xml:space="preserve"> aan gemeenten</w:t>
            </w:r>
            <w:r w:rsidRPr="00B25C76">
              <w:rPr>
                <w:rFonts w:eastAsia="Verdana" w:cs="Calibri"/>
                <w:noProof/>
                <w:color w:val="auto"/>
                <w:sz w:val="16"/>
                <w:szCs w:val="16"/>
                <w:lang w:val="nl-NL"/>
              </w:rPr>
              <w:t xml:space="preserve"> over de financiële bijdrage. Door gemeenten langjarige zekerheid te geven, worden zij op hun beurt een stabielere partij voor marktpartijen, waardoor het makkelijker wordt om langjarige afspraken te maken over woningbouwproductie. Een dergelijke stimulans kan in een laagconjunctuur bovendien woningbouw op peil houden, wat de economie ten goede komt. Daarnaast kunnen er met deze twee instrumenten meer woningen in het betaalbare segment en van de gewenste kwaliteit worden gerealiseerd. Zo hebben meer woningzoekenden kans om een woning te vinden die bij hun behoefte past. </w:t>
            </w:r>
          </w:p>
          <w:p w:rsidRPr="00B25C76" w:rsidR="0050663A" w:rsidP="0050663A" w:rsidRDefault="0050663A" w14:paraId="29E3E856" w14:textId="77777777">
            <w:pPr>
              <w:spacing w:before="4" w:line="218" w:lineRule="exact"/>
              <w:ind w:left="101" w:right="166"/>
              <w:rPr>
                <w:rFonts w:eastAsia="Verdana" w:cs="Calibri"/>
                <w:noProof/>
                <w:color w:val="auto"/>
                <w:sz w:val="16"/>
                <w:szCs w:val="16"/>
                <w:lang w:val="nl-NL"/>
              </w:rPr>
            </w:pPr>
          </w:p>
          <w:p w:rsidRPr="00B25C76" w:rsidR="0050663A" w:rsidP="0050663A" w:rsidRDefault="0050663A" w14:paraId="2755005D" w14:textId="77777777">
            <w:pPr>
              <w:spacing w:before="4" w:line="218" w:lineRule="exact"/>
              <w:ind w:left="101" w:right="166"/>
              <w:rPr>
                <w:rFonts w:eastAsia="Verdana" w:cs="Calibri"/>
                <w:noProof/>
                <w:color w:val="auto"/>
                <w:sz w:val="16"/>
                <w:szCs w:val="16"/>
                <w:lang w:val="nl-NL"/>
              </w:rPr>
            </w:pPr>
            <w:r w:rsidRPr="00B25C76">
              <w:rPr>
                <w:rFonts w:eastAsia="Verdana" w:cs="Calibri"/>
                <w:noProof/>
                <w:color w:val="auto"/>
                <w:sz w:val="16"/>
                <w:szCs w:val="16"/>
                <w:lang w:val="nl-NL"/>
              </w:rPr>
              <w:t xml:space="preserve">De realisatiestimulans wordt pas overgeboekt als de woningen definitief gerealiseerd worden en geeft gemeenten daarmee een prikkel om resultaten te halen en een bijdrage te leveren aan de woningbouwopgaven. </w:t>
            </w:r>
          </w:p>
          <w:p w:rsidRPr="00B25C76" w:rsidR="0050663A" w:rsidP="0050663A" w:rsidRDefault="0050663A" w14:paraId="02FBB074" w14:textId="77777777">
            <w:pPr>
              <w:spacing w:before="4" w:line="218" w:lineRule="exact"/>
              <w:ind w:left="101" w:right="166"/>
              <w:rPr>
                <w:rFonts w:eastAsia="Verdana" w:cs="Calibri"/>
                <w:noProof/>
                <w:color w:val="auto"/>
                <w:sz w:val="16"/>
                <w:szCs w:val="16"/>
                <w:lang w:val="nl-NL"/>
              </w:rPr>
            </w:pPr>
          </w:p>
          <w:p w:rsidRPr="0050663A" w:rsidR="0050663A" w:rsidP="0050663A" w:rsidRDefault="0050663A" w14:paraId="0CACFC41" w14:textId="77777777">
            <w:pPr>
              <w:spacing w:before="4" w:line="218" w:lineRule="exact"/>
              <w:ind w:left="101" w:right="166"/>
              <w:rPr>
                <w:rFonts w:eastAsia="Verdana" w:cs="Calibri"/>
                <w:noProof/>
                <w:color w:val="auto"/>
                <w:sz w:val="16"/>
                <w:szCs w:val="16"/>
                <w:lang w:val="nl-NL"/>
              </w:rPr>
            </w:pPr>
            <w:r w:rsidRPr="0050663A">
              <w:rPr>
                <w:rFonts w:eastAsia="Verdana" w:cs="Calibri"/>
                <w:noProof/>
                <w:color w:val="auto"/>
                <w:sz w:val="16"/>
                <w:szCs w:val="16"/>
                <w:lang w:val="nl-NL"/>
              </w:rPr>
              <w:t>De Woningbouwimpuls is een voorschot. De toegekende aanvragen jaarlijks gemonitord. De minister vraagt tijdens de looptijd van de bijdrage (periodiek) informatie aan de gemeente over de voortgang van het woningbouwproject en de bijbehorende gebiedsontwikkeling, onder andere met jaarlijks voortgangsgesprekken. Deze informatiestromen geven inzicht in de realisatie van de doelen van de Woningbouwimpuls en of er aanleiding is voor bijsturing.</w:t>
            </w:r>
          </w:p>
        </w:tc>
      </w:tr>
      <w:tr w:rsidRPr="00946C18" w:rsidR="0050663A" w:rsidTr="00395375" w14:paraId="18568856" w14:textId="77777777">
        <w:trPr>
          <w:trHeight w:val="569"/>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50663A" w:rsidP="004F79C9" w:rsidRDefault="0050663A" w14:paraId="7553FE96" w14:textId="77777777">
            <w:pPr>
              <w:spacing w:line="240" w:lineRule="auto"/>
              <w:rPr>
                <w:rFonts w:eastAsia="Verdana" w:cs="Calibri"/>
                <w:i/>
                <w:noProof/>
                <w:color w:val="auto"/>
                <w:sz w:val="16"/>
                <w:szCs w:val="16"/>
                <w:lang w:val="nl-NL"/>
              </w:rPr>
            </w:pPr>
          </w:p>
          <w:p w:rsidRPr="00946C18" w:rsidR="0050663A" w:rsidP="00F32CB9" w:rsidRDefault="0050663A" w14:paraId="325ABAA0" w14:textId="77777777">
            <w:pPr>
              <w:numPr>
                <w:ilvl w:val="0"/>
                <w:numId w:val="14"/>
              </w:numPr>
              <w:autoSpaceDN/>
              <w:spacing w:after="160" w:line="240" w:lineRule="auto"/>
              <w:ind w:right="231"/>
              <w:rPr>
                <w:rFonts w:eastAsia="Verdana" w:cs="Calibri"/>
                <w:b/>
                <w:noProof/>
                <w:color w:val="auto"/>
                <w:sz w:val="16"/>
                <w:szCs w:val="16"/>
              </w:rPr>
            </w:pPr>
            <w:r w:rsidRPr="00946C18">
              <w:rPr>
                <w:rFonts w:eastAsia="Verdana" w:cs="Calibri"/>
                <w:b/>
                <w:noProof/>
                <w:color w:val="auto"/>
                <w:sz w:val="16"/>
                <w:szCs w:val="16"/>
              </w:rPr>
              <w:t>Nagestreefde doelmatigheid</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003C7FA7" w:rsidP="003C7FA7" w:rsidRDefault="003C7FA7" w14:paraId="5DB668F6" w14:textId="77777777">
            <w:pPr>
              <w:spacing w:line="213" w:lineRule="exact"/>
              <w:ind w:left="101"/>
              <w:rPr>
                <w:rFonts w:eastAsia="Verdana" w:cs="Calibri"/>
                <w:noProof/>
                <w:color w:val="auto"/>
                <w:sz w:val="16"/>
                <w:szCs w:val="16"/>
                <w:lang w:val="nl-NL"/>
              </w:rPr>
            </w:pPr>
            <w:r>
              <w:rPr>
                <w:rFonts w:eastAsia="Verdana" w:cs="Calibri"/>
                <w:noProof/>
                <w:color w:val="auto"/>
                <w:sz w:val="16"/>
                <w:szCs w:val="16"/>
                <w:lang w:val="nl-NL"/>
              </w:rPr>
              <w:t>De middelen voor de realisatiestimulans zijn vrij besteedbaar en zijn dus niet gelabeld. Daardoor</w:t>
            </w:r>
            <w:r w:rsidR="007576C0">
              <w:rPr>
                <w:rFonts w:eastAsia="Verdana" w:cs="Calibri"/>
                <w:noProof/>
                <w:color w:val="auto"/>
                <w:sz w:val="16"/>
                <w:szCs w:val="16"/>
                <w:lang w:val="nl-NL"/>
              </w:rPr>
              <w:t xml:space="preserve"> kan</w:t>
            </w:r>
            <w:r w:rsidRPr="00B25C76" w:rsidR="0050663A">
              <w:rPr>
                <w:rFonts w:eastAsia="Verdana" w:cs="Calibri"/>
                <w:noProof/>
                <w:color w:val="auto"/>
                <w:sz w:val="16"/>
                <w:szCs w:val="16"/>
                <w:lang w:val="nl-NL"/>
              </w:rPr>
              <w:t xml:space="preserve"> </w:t>
            </w:r>
            <w:r w:rsidRPr="00342FD5">
              <w:rPr>
                <w:rFonts w:eastAsia="Verdana" w:cs="Calibri"/>
                <w:noProof/>
                <w:color w:val="auto"/>
                <w:sz w:val="16"/>
                <w:szCs w:val="16"/>
                <w:lang w:val="nl-NL"/>
              </w:rPr>
              <w:t xml:space="preserve">de bijdrage naar eigen inzcht worden ingezet voor het oplossen van de knelpunten die specifiek zijn voor de gemeenten. </w:t>
            </w:r>
            <w:r w:rsidRPr="003C7FA7">
              <w:rPr>
                <w:rFonts w:eastAsia="Verdana" w:cs="Calibri"/>
                <w:noProof/>
                <w:color w:val="auto"/>
                <w:sz w:val="16"/>
                <w:szCs w:val="16"/>
                <w:lang w:val="nl-NL"/>
              </w:rPr>
              <w:t>Met deze vrijheid vloeien de middelen n</w:t>
            </w:r>
            <w:r w:rsidR="007576C0">
              <w:rPr>
                <w:rFonts w:eastAsia="Verdana" w:cs="Calibri"/>
                <w:noProof/>
                <w:color w:val="auto"/>
                <w:sz w:val="16"/>
                <w:szCs w:val="16"/>
                <w:lang w:val="nl-NL"/>
              </w:rPr>
              <w:t>aar</w:t>
            </w:r>
            <w:r w:rsidRPr="003C7FA7">
              <w:rPr>
                <w:rFonts w:eastAsia="Verdana" w:cs="Calibri"/>
                <w:noProof/>
                <w:color w:val="auto"/>
                <w:sz w:val="16"/>
                <w:szCs w:val="16"/>
                <w:lang w:val="nl-NL"/>
              </w:rPr>
              <w:t xml:space="preserve"> de juiste knelpunten, en zijn ze niet gelimiteerd aan de stricte voorwaarde voor eerdere regelingen.</w:t>
            </w:r>
          </w:p>
          <w:p w:rsidR="003C7FA7" w:rsidP="003C7FA7" w:rsidRDefault="003C7FA7" w14:paraId="39E5813B" w14:textId="77777777">
            <w:pPr>
              <w:spacing w:line="213" w:lineRule="exact"/>
              <w:ind w:left="101"/>
              <w:rPr>
                <w:rFonts w:eastAsia="Verdana" w:cs="Calibri"/>
                <w:noProof/>
                <w:color w:val="auto"/>
                <w:sz w:val="16"/>
                <w:szCs w:val="16"/>
                <w:lang w:val="nl-NL"/>
              </w:rPr>
            </w:pPr>
          </w:p>
          <w:p w:rsidRPr="003C7FA7" w:rsidR="0050663A" w:rsidP="003C7FA7" w:rsidRDefault="003C7FA7" w14:paraId="349B826F" w14:textId="77777777">
            <w:pPr>
              <w:spacing w:line="213" w:lineRule="exact"/>
              <w:ind w:left="101"/>
              <w:rPr>
                <w:rFonts w:eastAsia="Verdana" w:cs="Calibri"/>
                <w:noProof/>
                <w:color w:val="auto"/>
                <w:sz w:val="16"/>
                <w:szCs w:val="16"/>
                <w:lang w:val="nl-NL"/>
              </w:rPr>
            </w:pPr>
            <w:r w:rsidRPr="00342FD5">
              <w:rPr>
                <w:rFonts w:eastAsia="Verdana" w:cs="Calibri"/>
                <w:noProof/>
                <w:color w:val="auto"/>
                <w:sz w:val="16"/>
                <w:szCs w:val="16"/>
                <w:lang w:val="nl-NL"/>
              </w:rPr>
              <w:t xml:space="preserve">Daarnaast worden alleen betaalbare woningen gesubsidieerd. </w:t>
            </w:r>
            <w:r w:rsidRPr="003C7FA7">
              <w:rPr>
                <w:rFonts w:eastAsia="Verdana" w:cs="Calibri"/>
                <w:noProof/>
                <w:color w:val="auto"/>
                <w:sz w:val="16"/>
                <w:szCs w:val="16"/>
                <w:lang w:val="nl-NL"/>
              </w:rPr>
              <w:t>Over het algemeen zijn dit type woningen onrendabel</w:t>
            </w:r>
            <w:r>
              <w:rPr>
                <w:rFonts w:eastAsia="Verdana" w:cs="Calibri"/>
                <w:noProof/>
                <w:color w:val="auto"/>
                <w:sz w:val="16"/>
                <w:szCs w:val="16"/>
                <w:lang w:val="nl-NL"/>
              </w:rPr>
              <w:t>(</w:t>
            </w:r>
            <w:r w:rsidRPr="003C7FA7">
              <w:rPr>
                <w:rFonts w:eastAsia="Verdana" w:cs="Calibri"/>
                <w:noProof/>
                <w:color w:val="auto"/>
                <w:sz w:val="16"/>
                <w:szCs w:val="16"/>
                <w:lang w:val="nl-NL"/>
              </w:rPr>
              <w:t>er</w:t>
            </w:r>
            <w:r>
              <w:rPr>
                <w:rFonts w:eastAsia="Verdana" w:cs="Calibri"/>
                <w:noProof/>
                <w:color w:val="auto"/>
                <w:sz w:val="16"/>
                <w:szCs w:val="16"/>
                <w:lang w:val="nl-NL"/>
              </w:rPr>
              <w:t>)</w:t>
            </w:r>
            <w:r w:rsidRPr="003C7FA7">
              <w:rPr>
                <w:rFonts w:eastAsia="Verdana" w:cs="Calibri"/>
                <w:noProof/>
                <w:color w:val="auto"/>
                <w:sz w:val="16"/>
                <w:szCs w:val="16"/>
                <w:lang w:val="nl-NL"/>
              </w:rPr>
              <w:t>. Er word</w:t>
            </w:r>
            <w:r w:rsidR="007576C0">
              <w:rPr>
                <w:rFonts w:eastAsia="Verdana" w:cs="Calibri"/>
                <w:noProof/>
                <w:color w:val="auto"/>
                <w:sz w:val="16"/>
                <w:szCs w:val="16"/>
                <w:lang w:val="nl-NL"/>
              </w:rPr>
              <w:t>en</w:t>
            </w:r>
            <w:r w:rsidRPr="003C7FA7">
              <w:rPr>
                <w:rFonts w:eastAsia="Verdana" w:cs="Calibri"/>
                <w:noProof/>
                <w:color w:val="auto"/>
                <w:sz w:val="16"/>
                <w:szCs w:val="16"/>
                <w:lang w:val="nl-NL"/>
              </w:rPr>
              <w:t xml:space="preserve"> dus geen middelen uitgekeerd voor rendabele woningen in</w:t>
            </w:r>
            <w:r>
              <w:rPr>
                <w:rFonts w:eastAsia="Verdana" w:cs="Calibri"/>
                <w:noProof/>
                <w:color w:val="auto"/>
                <w:sz w:val="16"/>
                <w:szCs w:val="16"/>
                <w:lang w:val="nl-NL"/>
              </w:rPr>
              <w:t xml:space="preserve"> het duurde(re) segment</w:t>
            </w:r>
            <w:r w:rsidRPr="003C7FA7">
              <w:rPr>
                <w:rFonts w:eastAsia="Verdana" w:cs="Calibri"/>
                <w:noProof/>
                <w:color w:val="auto"/>
                <w:sz w:val="16"/>
                <w:szCs w:val="16"/>
                <w:lang w:val="nl-NL"/>
              </w:rPr>
              <w:t>. Met een focus op realisatie krijgt elke gem</w:t>
            </w:r>
            <w:r>
              <w:rPr>
                <w:rFonts w:eastAsia="Verdana" w:cs="Calibri"/>
                <w:noProof/>
                <w:color w:val="auto"/>
                <w:sz w:val="16"/>
                <w:szCs w:val="16"/>
                <w:lang w:val="nl-NL"/>
              </w:rPr>
              <w:t>e</w:t>
            </w:r>
            <w:r w:rsidRPr="003C7FA7">
              <w:rPr>
                <w:rFonts w:eastAsia="Verdana" w:cs="Calibri"/>
                <w:noProof/>
                <w:color w:val="auto"/>
                <w:sz w:val="16"/>
                <w:szCs w:val="16"/>
                <w:lang w:val="nl-NL"/>
              </w:rPr>
              <w:t>ente</w:t>
            </w:r>
            <w:r w:rsidR="002E577B">
              <w:rPr>
                <w:rFonts w:eastAsia="Verdana" w:cs="Calibri"/>
                <w:noProof/>
                <w:color w:val="auto"/>
                <w:sz w:val="16"/>
                <w:szCs w:val="16"/>
                <w:lang w:val="nl-NL"/>
              </w:rPr>
              <w:t xml:space="preserve"> een bijdrage</w:t>
            </w:r>
            <w:r>
              <w:rPr>
                <w:rFonts w:eastAsia="Verdana" w:cs="Calibri"/>
                <w:noProof/>
                <w:color w:val="auto"/>
                <w:sz w:val="16"/>
                <w:szCs w:val="16"/>
                <w:lang w:val="nl-NL"/>
              </w:rPr>
              <w:t>, waarbij het aantal gerealiseerde betaalbare woningen als verdeelsleutel wordt gehanteerd. De verdeelsleutel moet passen b</w:t>
            </w:r>
            <w:r w:rsidRPr="003C7FA7">
              <w:rPr>
                <w:rFonts w:eastAsia="Verdana" w:cs="Calibri"/>
                <w:noProof/>
                <w:color w:val="auto"/>
                <w:sz w:val="16"/>
                <w:szCs w:val="16"/>
                <w:lang w:val="nl-NL"/>
              </w:rPr>
              <w:t xml:space="preserve">innen de </w:t>
            </w:r>
            <w:r>
              <w:rPr>
                <w:rFonts w:eastAsia="Verdana" w:cs="Calibri"/>
                <w:noProof/>
                <w:color w:val="auto"/>
                <w:sz w:val="16"/>
                <w:szCs w:val="16"/>
                <w:lang w:val="nl-NL"/>
              </w:rPr>
              <w:lastRenderedPageBreak/>
              <w:t xml:space="preserve">afspraken uit de </w:t>
            </w:r>
            <w:r w:rsidRPr="003C7FA7">
              <w:rPr>
                <w:rFonts w:eastAsia="Verdana" w:cs="Calibri"/>
                <w:noProof/>
                <w:color w:val="auto"/>
                <w:sz w:val="16"/>
                <w:szCs w:val="16"/>
                <w:lang w:val="nl-NL"/>
              </w:rPr>
              <w:t>woondeals</w:t>
            </w:r>
            <w:r w:rsidR="003D0A58">
              <w:rPr>
                <w:rFonts w:eastAsia="Verdana" w:cs="Calibri"/>
                <w:noProof/>
                <w:color w:val="auto"/>
                <w:sz w:val="16"/>
                <w:szCs w:val="16"/>
                <w:lang w:val="nl-NL"/>
              </w:rPr>
              <w:t>.</w:t>
            </w:r>
          </w:p>
          <w:p w:rsidR="0050663A" w:rsidP="0050663A" w:rsidRDefault="0050663A" w14:paraId="4CE7B989" w14:textId="77777777">
            <w:pPr>
              <w:spacing w:line="213" w:lineRule="exact"/>
              <w:ind w:left="101"/>
              <w:rPr>
                <w:rFonts w:eastAsia="Verdana" w:cs="Calibri"/>
                <w:noProof/>
                <w:color w:val="auto"/>
                <w:sz w:val="16"/>
                <w:szCs w:val="16"/>
                <w:lang w:val="nl-NL"/>
              </w:rPr>
            </w:pPr>
          </w:p>
          <w:p w:rsidRPr="00B25C76" w:rsidR="0050663A" w:rsidP="0050663A" w:rsidRDefault="0050663A" w14:paraId="70C5951B"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Wat betreft de Wbi borgen KPI’s en een toets op de businesscases ook het doelmatig bereiken van betaalbare woningbouw. Met een selectiekader en beoordelingskader wordt getoetst op nut en noodzaak van de maatregelen, en in hoeverre sprake is van ‘lucht’ in de onrendabele toppen via planoptimalisatie en de eis van 50% cofinanciering.</w:t>
            </w:r>
          </w:p>
          <w:p w:rsidRPr="00B25C76" w:rsidR="0050663A" w:rsidP="0050663A" w:rsidRDefault="0050663A" w14:paraId="66F632EE" w14:textId="77777777">
            <w:pPr>
              <w:spacing w:line="213" w:lineRule="exact"/>
              <w:ind w:left="101"/>
              <w:rPr>
                <w:rFonts w:eastAsia="Verdana" w:cs="Calibri"/>
                <w:noProof/>
                <w:color w:val="auto"/>
                <w:sz w:val="16"/>
                <w:szCs w:val="16"/>
                <w:lang w:val="nl-NL"/>
              </w:rPr>
            </w:pPr>
          </w:p>
          <w:p w:rsidRPr="0050663A" w:rsidR="0050663A" w:rsidP="00603436" w:rsidRDefault="00B24001" w14:paraId="0E0CB3B3" w14:textId="77777777">
            <w:pPr>
              <w:spacing w:line="213" w:lineRule="exact"/>
              <w:ind w:left="101"/>
              <w:rPr>
                <w:rFonts w:eastAsia="Verdana" w:cs="Calibri"/>
                <w:noProof/>
                <w:color w:val="auto"/>
                <w:sz w:val="16"/>
                <w:szCs w:val="16"/>
                <w:lang w:val="nl-NL"/>
              </w:rPr>
            </w:pPr>
            <w:r w:rsidRPr="0050663A">
              <w:rPr>
                <w:rFonts w:eastAsia="Verdana" w:cs="Calibri"/>
                <w:noProof/>
                <w:color w:val="auto"/>
                <w:sz w:val="16"/>
                <w:szCs w:val="16"/>
                <w:lang w:val="nl-NL"/>
              </w:rPr>
              <w:t>De afgelopen jaren is met verschillende instrumenten een bijdrage geleverd aan het oplossen van het financieel tekort bij diverse woningbouwprojecten, zoals o.a. met de Woningbouwimpuls. 215 projecten ontvangen een bijdrage voor de realisatie van 230.000 woningen via deze</w:t>
            </w:r>
            <w:r>
              <w:rPr>
                <w:rFonts w:eastAsia="Verdana" w:cs="Calibri"/>
                <w:noProof/>
                <w:color w:val="auto"/>
                <w:sz w:val="16"/>
                <w:szCs w:val="16"/>
                <w:lang w:val="nl-NL"/>
              </w:rPr>
              <w:t xml:space="preserve"> huidige</w:t>
            </w:r>
            <w:r w:rsidRPr="0050663A">
              <w:rPr>
                <w:rFonts w:eastAsia="Verdana" w:cs="Calibri"/>
                <w:noProof/>
                <w:color w:val="auto"/>
                <w:sz w:val="16"/>
                <w:szCs w:val="16"/>
                <w:lang w:val="nl-NL"/>
              </w:rPr>
              <w:t xml:space="preserve"> regeling. De bijdrage per woning vanuit de Woningbouwimpuls in tranche 1-6 was gemiddeld ca. € 5.900 incl. btw. De gemiddelde bijdrage per woning van de realisatiestimulans ligt lager.</w:t>
            </w:r>
            <w:r w:rsidR="003D0A58">
              <w:rPr>
                <w:rFonts w:eastAsia="Verdana" w:cs="Calibri"/>
                <w:noProof/>
                <w:color w:val="auto"/>
                <w:sz w:val="16"/>
                <w:szCs w:val="16"/>
                <w:lang w:val="nl-NL"/>
              </w:rPr>
              <w:t xml:space="preserve"> De omvang van de bijdrage wordt nog nader uitgewerkt.</w:t>
            </w:r>
            <w:r w:rsidRPr="0050663A">
              <w:rPr>
                <w:rFonts w:eastAsia="Verdana" w:cs="Calibri"/>
                <w:noProof/>
                <w:color w:val="auto"/>
                <w:sz w:val="16"/>
                <w:szCs w:val="16"/>
                <w:lang w:val="nl-NL"/>
              </w:rPr>
              <w:t xml:space="preserve"> De Wbi</w:t>
            </w:r>
            <w:r w:rsidR="00635E51">
              <w:rPr>
                <w:rFonts w:eastAsia="Verdana" w:cs="Calibri"/>
                <w:noProof/>
                <w:color w:val="auto"/>
                <w:sz w:val="16"/>
                <w:szCs w:val="16"/>
                <w:lang w:val="nl-NL"/>
              </w:rPr>
              <w:t xml:space="preserve"> </w:t>
            </w:r>
            <w:r w:rsidRPr="0050663A">
              <w:rPr>
                <w:rFonts w:eastAsia="Verdana" w:cs="Calibri"/>
                <w:noProof/>
                <w:color w:val="auto"/>
                <w:sz w:val="16"/>
                <w:szCs w:val="16"/>
                <w:lang w:val="nl-NL"/>
              </w:rPr>
              <w:t>focust nog meer op onrendabele projecten, waardoor het tekort daar logischerwijs hoger ligt</w:t>
            </w:r>
            <w:r>
              <w:rPr>
                <w:rFonts w:eastAsia="Verdana" w:cs="Calibri"/>
                <w:noProof/>
                <w:color w:val="auto"/>
                <w:sz w:val="16"/>
                <w:szCs w:val="16"/>
                <w:lang w:val="nl-NL"/>
              </w:rPr>
              <w:t>. Belangrijk aandachtspunt bij de aangepaste woningbouwimpuls is niet alleen of de gevraagde bijdrage noodzakelijk, marktconform en realistisch is, maar ook of de plannen wel snel te realiseren zijn. Dat moet voorkomen dat plannen na toekenning vertragen, zoals dat in reeds toegekende plannen wel eens gebeurd.</w:t>
            </w:r>
          </w:p>
        </w:tc>
      </w:tr>
      <w:tr w:rsidRPr="00946C18" w:rsidR="006D176B" w:rsidTr="00395375" w14:paraId="0E6009D0" w14:textId="77777777">
        <w:trPr>
          <w:trHeight w:val="569"/>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50663A" w:rsidR="006D176B" w:rsidP="006D176B" w:rsidRDefault="006D176B" w14:paraId="4AB90875" w14:textId="77777777">
            <w:pPr>
              <w:spacing w:line="240" w:lineRule="auto"/>
              <w:ind w:left="103" w:right="1066"/>
              <w:rPr>
                <w:rFonts w:eastAsia="Verdana" w:cs="Calibri"/>
                <w:b/>
                <w:noProof/>
                <w:color w:val="auto"/>
                <w:sz w:val="16"/>
                <w:szCs w:val="16"/>
                <w:lang w:val="nl-NL"/>
              </w:rPr>
            </w:pPr>
          </w:p>
          <w:p w:rsidRPr="006D176B" w:rsidR="006D176B" w:rsidP="006D176B" w:rsidRDefault="006D176B" w14:paraId="378659B4" w14:textId="77777777">
            <w:pPr>
              <w:pStyle w:val="Lijstalinea"/>
              <w:numPr>
                <w:ilvl w:val="0"/>
                <w:numId w:val="14"/>
              </w:numPr>
              <w:spacing w:line="240" w:lineRule="auto"/>
              <w:rPr>
                <w:rFonts w:eastAsia="Verdana" w:cs="Calibri"/>
                <w:i/>
                <w:noProof/>
                <w:color w:val="auto"/>
                <w:sz w:val="16"/>
                <w:szCs w:val="16"/>
              </w:rPr>
            </w:pPr>
            <w:r w:rsidRPr="006D176B">
              <w:rPr>
                <w:rFonts w:eastAsia="Verdana" w:cs="Calibri"/>
                <w:b/>
                <w:noProof/>
                <w:color w:val="auto"/>
                <w:sz w:val="16"/>
                <w:szCs w:val="16"/>
              </w:rPr>
              <w:t>Evaluatieparagraaf</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006D176B" w:rsidP="006D176B" w:rsidRDefault="006D176B" w14:paraId="382C2921" w14:textId="77777777">
            <w:pPr>
              <w:spacing w:line="213" w:lineRule="exact"/>
              <w:ind w:left="101"/>
              <w:rPr>
                <w:rFonts w:eastAsia="Verdana" w:cs="Calibri"/>
                <w:noProof/>
                <w:color w:val="auto"/>
                <w:sz w:val="16"/>
                <w:szCs w:val="16"/>
                <w:lang w:val="nl-NL"/>
              </w:rPr>
            </w:pPr>
            <w:r w:rsidRPr="0050663A">
              <w:rPr>
                <w:rFonts w:eastAsia="Verdana" w:cs="Calibri"/>
                <w:noProof/>
                <w:color w:val="auto"/>
                <w:sz w:val="16"/>
                <w:szCs w:val="16"/>
                <w:lang w:val="nl-NL"/>
              </w:rPr>
              <w:t>Gezien de instrumenten nieuw zijn, wordt er na 1 of 2 jaar een tussentijdse evaluatie uitgevoerd. De verwachting is dat de evaluatie nieuwe inzichten geeft om de doelmatigheid verder te verbeteren, naarmate er ook meer ervaring is met de instrumenten. Centraal staan de doelen het versnellen en bouwen van meer betaalbare woningen. Een evaluatie wordt gedaan op twee niveaus: een nulmeting en een jaarlijkse toets op de uitvoering.</w:t>
            </w:r>
          </w:p>
          <w:p w:rsidR="006D176B" w:rsidP="006D176B" w:rsidRDefault="006D176B" w14:paraId="1132AF8F" w14:textId="77777777">
            <w:pPr>
              <w:spacing w:line="213" w:lineRule="exact"/>
              <w:ind w:left="101"/>
              <w:rPr>
                <w:rFonts w:eastAsia="Verdana" w:cs="Calibri"/>
                <w:noProof/>
                <w:color w:val="auto"/>
                <w:sz w:val="16"/>
                <w:szCs w:val="16"/>
                <w:lang w:val="nl-NL"/>
              </w:rPr>
            </w:pPr>
          </w:p>
          <w:p w:rsidRPr="00B25C76" w:rsidR="006D176B" w:rsidP="006D176B" w:rsidRDefault="006D176B" w14:paraId="6085A8E2"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7.1</w:t>
            </w:r>
            <w:r w:rsidRPr="00B25C76">
              <w:rPr>
                <w:rFonts w:eastAsia="Verdana" w:cs="Calibri"/>
                <w:noProof/>
                <w:color w:val="auto"/>
                <w:sz w:val="16"/>
                <w:szCs w:val="16"/>
                <w:lang w:val="nl-NL"/>
              </w:rPr>
              <w:tab/>
              <w:t xml:space="preserve">Nulmeting </w:t>
            </w:r>
          </w:p>
          <w:p w:rsidRPr="00B25C76" w:rsidR="006D176B" w:rsidP="006D176B" w:rsidRDefault="006D176B" w14:paraId="02ACDF31"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Met de nulmeting wordt de huidige stand van zaken van de woningbouwaantallen in beeld gebracht (aantal woningen, aandeel en type betaalbaar en fasering). Ook wordt er gekeken naar de capaciteit bij gemeenten en wordt er (indien mogelijk) onderzoek gedaan naar de administratieve lasten van gemeenten. </w:t>
            </w:r>
          </w:p>
          <w:p w:rsidRPr="00B25C76" w:rsidR="006D176B" w:rsidP="006D176B" w:rsidRDefault="006D176B" w14:paraId="3CFAFC4B" w14:textId="77777777">
            <w:pPr>
              <w:spacing w:line="213" w:lineRule="exact"/>
              <w:ind w:left="101"/>
              <w:rPr>
                <w:rFonts w:eastAsia="Verdana" w:cs="Calibri"/>
                <w:noProof/>
                <w:color w:val="auto"/>
                <w:sz w:val="16"/>
                <w:szCs w:val="16"/>
                <w:lang w:val="nl-NL"/>
              </w:rPr>
            </w:pPr>
          </w:p>
          <w:p w:rsidRPr="00B25C76" w:rsidR="006D176B" w:rsidP="006D176B" w:rsidRDefault="006D176B" w14:paraId="03ADAA82"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7.2</w:t>
            </w:r>
            <w:r w:rsidRPr="00B25C76">
              <w:rPr>
                <w:rFonts w:eastAsia="Verdana" w:cs="Calibri"/>
                <w:noProof/>
                <w:color w:val="auto"/>
                <w:sz w:val="16"/>
                <w:szCs w:val="16"/>
                <w:lang w:val="nl-NL"/>
              </w:rPr>
              <w:tab/>
              <w:t xml:space="preserve">Jaarlijkse monitoring </w:t>
            </w:r>
          </w:p>
          <w:p w:rsidRPr="00B25C76" w:rsidR="006D176B" w:rsidP="006D176B" w:rsidRDefault="006D176B" w14:paraId="3872FEDD"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Na de nulmeting start er een jaarlijkse monitoring die de voortgang van de doelstelling in de gaten houdt. Tevens biedt de monitoring inzicht in de doelmatigheid en doeltreffendheid van de instrumenten. Het totaalbeeld kan </w:t>
            </w:r>
            <w:r w:rsidRPr="00B25C76">
              <w:rPr>
                <w:rFonts w:eastAsia="Verdana" w:cs="Calibri"/>
                <w:noProof/>
                <w:color w:val="auto"/>
                <w:sz w:val="16"/>
                <w:szCs w:val="16"/>
                <w:lang w:val="nl-NL"/>
              </w:rPr>
              <w:lastRenderedPageBreak/>
              <w:t xml:space="preserve">aanleiding zijn om voorwaarden bij te stellen of andere instrumenten in te zetten om de doelstelling te bereiken. Ook als de marktomstandigheden zouden wijzigen zou dat aanleiding kunnen zijn om de bijdragen te updaten. </w:t>
            </w:r>
          </w:p>
          <w:p w:rsidRPr="00B25C76" w:rsidR="006D176B" w:rsidP="006D176B" w:rsidRDefault="006D176B" w14:paraId="2EA8429F" w14:textId="77777777">
            <w:pPr>
              <w:spacing w:line="213" w:lineRule="exact"/>
              <w:ind w:left="101"/>
              <w:rPr>
                <w:rFonts w:eastAsia="Verdana" w:cs="Calibri"/>
                <w:noProof/>
                <w:color w:val="auto"/>
                <w:sz w:val="16"/>
                <w:szCs w:val="16"/>
                <w:lang w:val="nl-NL"/>
              </w:rPr>
            </w:pPr>
          </w:p>
          <w:p w:rsidRPr="00B25C76" w:rsidR="006D176B" w:rsidP="006D176B" w:rsidRDefault="006D176B" w14:paraId="08109B8B"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 xml:space="preserve">De jaarlijkse monitor kijkt hoofdzakelijk naar de woningbouwrealisatie in termen van aantallen en segmenten. Deze input moet inzicht geven op de bruikbaarheid van een Decentrale Uitkering (DU) voor het behalen van specifieke doelen. Om van stakeholders te leren zullen we daarnaast ook kwalitatieve vragen stellen, bijvoorbeeld om de achterliggende oorzaak van mogelijke achterblijvende aantallen te achterhalen. Is de hoogte van de bijdrage niet voldoende om het tekort te dekken? Ontbreekt het aan urgentie om de prestatie te bereiken zonder specifieke afspraken? Maar ook of het met de DU lukt om het verbeteren van de betaalbaarheid te realiseren. Tevens wordt informatie vergaard inzake de administratieve lasten, zodat inzichtelijk wordt of de aanpassingen ook in de ambtelijke organisatie leidt tot efficiëntere administratie. </w:t>
            </w:r>
          </w:p>
          <w:p w:rsidRPr="00B25C76" w:rsidR="006D176B" w:rsidP="006D176B" w:rsidRDefault="006D176B" w14:paraId="002BC571" w14:textId="77777777">
            <w:pPr>
              <w:spacing w:line="213" w:lineRule="exact"/>
              <w:ind w:left="101"/>
              <w:rPr>
                <w:rFonts w:eastAsia="Verdana" w:cs="Calibri"/>
                <w:noProof/>
                <w:color w:val="auto"/>
                <w:sz w:val="16"/>
                <w:szCs w:val="16"/>
                <w:lang w:val="nl-NL"/>
              </w:rPr>
            </w:pPr>
          </w:p>
          <w:p w:rsidRPr="00B25C76" w:rsidR="006D176B" w:rsidP="006D176B" w:rsidRDefault="006D176B" w14:paraId="2A423E65" w14:textId="77777777">
            <w:pPr>
              <w:spacing w:line="213" w:lineRule="exact"/>
              <w:ind w:left="101"/>
              <w:rPr>
                <w:rFonts w:eastAsia="Verdana" w:cs="Calibri"/>
                <w:noProof/>
                <w:color w:val="auto"/>
                <w:sz w:val="16"/>
                <w:szCs w:val="16"/>
                <w:lang w:val="nl-NL"/>
              </w:rPr>
            </w:pPr>
            <w:r w:rsidRPr="00B25C76">
              <w:rPr>
                <w:rFonts w:eastAsia="Verdana" w:cs="Calibri"/>
                <w:noProof/>
                <w:color w:val="auto"/>
                <w:sz w:val="16"/>
                <w:szCs w:val="16"/>
                <w:lang w:val="nl-NL"/>
              </w:rPr>
              <w:t>7.3</w:t>
            </w:r>
            <w:r w:rsidRPr="00B25C76">
              <w:rPr>
                <w:rFonts w:eastAsia="Verdana" w:cs="Calibri"/>
                <w:noProof/>
                <w:color w:val="auto"/>
                <w:sz w:val="16"/>
                <w:szCs w:val="16"/>
                <w:lang w:val="nl-NL"/>
              </w:rPr>
              <w:tab/>
              <w:t>Periodiek evaluatieonderzoek</w:t>
            </w:r>
          </w:p>
          <w:p w:rsidR="006D176B" w:rsidP="006D176B" w:rsidRDefault="006D176B" w14:paraId="4A6060F7" w14:textId="77777777">
            <w:pPr>
              <w:spacing w:line="213" w:lineRule="exact"/>
              <w:ind w:left="101"/>
              <w:rPr>
                <w:rFonts w:eastAsia="Verdana" w:cs="Calibri"/>
                <w:noProof/>
                <w:color w:val="auto"/>
                <w:sz w:val="16"/>
                <w:szCs w:val="16"/>
                <w:lang w:val="nl-NL"/>
              </w:rPr>
            </w:pPr>
            <w:r>
              <w:rPr>
                <w:rFonts w:eastAsia="Verdana" w:cs="Calibri"/>
                <w:noProof/>
                <w:color w:val="auto"/>
                <w:sz w:val="16"/>
                <w:szCs w:val="16"/>
                <w:lang w:val="nl-NL"/>
              </w:rPr>
              <w:t xml:space="preserve">Naast de tussentijdse evaluatie worden de beide instrumenten ook na een aantal jaar onafhankelijk geëvalueerd. De precieze evaluatieplanning hiervoor wordt opgenomen op de Strategische Evaluatie Agenda in de begroting 2026. Hierdoor zullen deze instrumenten ook meegenomen worden in de periodieke rapportage Woningmarkt en Woningbouw die in 2027 start. In 2028 wordt deze aan de Tweede Kamer aangeboden. </w:t>
            </w:r>
          </w:p>
          <w:p w:rsidRPr="00B25C76" w:rsidR="006D176B" w:rsidP="006D176B" w:rsidRDefault="006D176B" w14:paraId="6E74B566" w14:textId="77777777">
            <w:pPr>
              <w:spacing w:line="213" w:lineRule="exact"/>
              <w:ind w:left="101"/>
              <w:rPr>
                <w:rFonts w:eastAsia="Verdana" w:cs="Calibri"/>
                <w:noProof/>
                <w:color w:val="auto"/>
                <w:sz w:val="16"/>
                <w:szCs w:val="16"/>
              </w:rPr>
            </w:pPr>
          </w:p>
        </w:tc>
      </w:tr>
      <w:bookmarkEnd w:id="3"/>
    </w:tbl>
    <w:p w:rsidR="00603436" w:rsidP="00603436" w:rsidRDefault="00603436" w14:paraId="15651881" w14:textId="77777777">
      <w:pPr>
        <w:tabs>
          <w:tab w:val="left" w:pos="4335"/>
        </w:tabs>
      </w:pPr>
    </w:p>
    <w:p w:rsidR="006B51C1" w:rsidP="00603436" w:rsidRDefault="006B51C1" w14:paraId="6269B938" w14:textId="77777777">
      <w:pPr>
        <w:tabs>
          <w:tab w:val="left" w:pos="4335"/>
        </w:tabs>
      </w:pPr>
    </w:p>
    <w:p w:rsidR="006B51C1" w:rsidP="006B51C1" w:rsidRDefault="006B51C1" w14:paraId="0CF38791" w14:textId="77777777">
      <w:pPr>
        <w:tabs>
          <w:tab w:val="left" w:pos="4335"/>
        </w:tabs>
      </w:pPr>
      <w:r>
        <w:t>De minister van Volkshuisvesting en Ruimtelijke Ordening,</w:t>
      </w:r>
    </w:p>
    <w:p w:rsidR="006B51C1" w:rsidP="006B51C1" w:rsidRDefault="006B51C1" w14:paraId="75A48091" w14:textId="77777777">
      <w:pPr>
        <w:tabs>
          <w:tab w:val="left" w:pos="4335"/>
        </w:tabs>
      </w:pPr>
    </w:p>
    <w:p w:rsidR="006B51C1" w:rsidP="006B51C1" w:rsidRDefault="006B51C1" w14:paraId="42E53209" w14:textId="77777777">
      <w:pPr>
        <w:tabs>
          <w:tab w:val="left" w:pos="4335"/>
        </w:tabs>
      </w:pPr>
    </w:p>
    <w:p w:rsidR="006B51C1" w:rsidP="006B51C1" w:rsidRDefault="006B51C1" w14:paraId="6DBD6ABE" w14:textId="77777777">
      <w:pPr>
        <w:tabs>
          <w:tab w:val="left" w:pos="4335"/>
        </w:tabs>
      </w:pPr>
    </w:p>
    <w:p w:rsidR="006B51C1" w:rsidP="006B51C1" w:rsidRDefault="006B51C1" w14:paraId="16B4F54F" w14:textId="77777777">
      <w:pPr>
        <w:tabs>
          <w:tab w:val="left" w:pos="4335"/>
        </w:tabs>
      </w:pPr>
    </w:p>
    <w:p w:rsidR="006B51C1" w:rsidP="006B51C1" w:rsidRDefault="006B51C1" w14:paraId="37339BF6" w14:textId="77777777">
      <w:pPr>
        <w:tabs>
          <w:tab w:val="left" w:pos="4335"/>
        </w:tabs>
      </w:pPr>
    </w:p>
    <w:p w:rsidR="006B51C1" w:rsidP="006B51C1" w:rsidRDefault="006B51C1" w14:paraId="51F2F20D" w14:textId="77777777">
      <w:pPr>
        <w:tabs>
          <w:tab w:val="left" w:pos="4335"/>
        </w:tabs>
      </w:pPr>
    </w:p>
    <w:p w:rsidRPr="00603436" w:rsidR="006B51C1" w:rsidP="006B51C1" w:rsidRDefault="006B51C1" w14:paraId="703CB3B6" w14:textId="77777777">
      <w:pPr>
        <w:tabs>
          <w:tab w:val="left" w:pos="4335"/>
        </w:tabs>
      </w:pPr>
      <w:r>
        <w:t>Mona Keijzer</w:t>
      </w:r>
    </w:p>
    <w:sectPr w:rsidRPr="00603436" w:rsidR="006B51C1">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A216" w14:textId="77777777" w:rsidR="008E19E2" w:rsidRDefault="008E19E2">
      <w:pPr>
        <w:spacing w:line="240" w:lineRule="auto"/>
      </w:pPr>
      <w:r>
        <w:separator/>
      </w:r>
    </w:p>
  </w:endnote>
  <w:endnote w:type="continuationSeparator" w:id="0">
    <w:p w14:paraId="09E08867" w14:textId="77777777" w:rsidR="008E19E2" w:rsidRDefault="008E19E2">
      <w:pPr>
        <w:spacing w:line="240" w:lineRule="auto"/>
      </w:pPr>
      <w:r>
        <w:continuationSeparator/>
      </w:r>
    </w:p>
  </w:endnote>
  <w:endnote w:type="continuationNotice" w:id="1">
    <w:p w14:paraId="220BF128" w14:textId="77777777" w:rsidR="008E19E2" w:rsidRDefault="008E19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BF41" w14:textId="77777777" w:rsidR="00E44EBA" w:rsidRDefault="00E44EB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6376" w14:textId="77777777" w:rsidR="008E19E2" w:rsidRDefault="008E19E2">
      <w:pPr>
        <w:spacing w:line="240" w:lineRule="auto"/>
      </w:pPr>
      <w:r>
        <w:separator/>
      </w:r>
    </w:p>
  </w:footnote>
  <w:footnote w:type="continuationSeparator" w:id="0">
    <w:p w14:paraId="0786F650" w14:textId="77777777" w:rsidR="008E19E2" w:rsidRDefault="008E19E2">
      <w:pPr>
        <w:spacing w:line="240" w:lineRule="auto"/>
      </w:pPr>
      <w:r>
        <w:continuationSeparator/>
      </w:r>
    </w:p>
  </w:footnote>
  <w:footnote w:type="continuationNotice" w:id="1">
    <w:p w14:paraId="34920D03" w14:textId="77777777" w:rsidR="008E19E2" w:rsidRDefault="008E19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D5F0" w14:textId="77777777" w:rsidR="00E44EBA" w:rsidRDefault="007461E2">
    <w:r>
      <w:rPr>
        <w:noProof/>
      </w:rPr>
      <mc:AlternateContent>
        <mc:Choice Requires="wps">
          <w:drawing>
            <wp:anchor distT="0" distB="0" distL="0" distR="0" simplePos="0" relativeHeight="251652608" behindDoc="0" locked="1" layoutInCell="1" allowOverlap="1" wp14:anchorId="3C86665D" wp14:editId="0B11CD10">
              <wp:simplePos x="0" y="0"/>
              <wp:positionH relativeFrom="page">
                <wp:posOffset>5921375</wp:posOffset>
              </wp:positionH>
              <wp:positionV relativeFrom="page">
                <wp:posOffset>1965325</wp:posOffset>
              </wp:positionV>
              <wp:extent cx="1277620" cy="80098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33B944EE" w14:textId="77777777" w:rsidR="00E44EBA" w:rsidRDefault="00BF6E39">
                          <w:pPr>
                            <w:pStyle w:val="Referentiegegevensbold"/>
                          </w:pPr>
                          <w:r>
                            <w:t>Mensen &amp; Middelen, Bestuursondersteuning</w:t>
                          </w:r>
                        </w:p>
                        <w:p w14:paraId="6596341A" w14:textId="77777777" w:rsidR="00E44EBA" w:rsidRDefault="00BF6E39">
                          <w:pPr>
                            <w:pStyle w:val="Referentiegegevens"/>
                          </w:pPr>
                          <w:r>
                            <w:t>MM-Financieel-Economische Zaken</w:t>
                          </w:r>
                        </w:p>
                        <w:p w14:paraId="4E59BAE3" w14:textId="77777777" w:rsidR="00E44EBA" w:rsidRDefault="00BF6E39">
                          <w:pPr>
                            <w:pStyle w:val="Referentiegegevens"/>
                          </w:pPr>
                          <w:r>
                            <w:t>MM-FEZ-Begrotingszaken</w:t>
                          </w:r>
                        </w:p>
                        <w:p w14:paraId="63637074" w14:textId="77777777" w:rsidR="00E44EBA" w:rsidRDefault="00E44EBA">
                          <w:pPr>
                            <w:pStyle w:val="WitregelW2"/>
                          </w:pPr>
                        </w:p>
                        <w:p w14:paraId="78DDF1BF" w14:textId="77777777" w:rsidR="00E44EBA" w:rsidRDefault="00BF6E39">
                          <w:pPr>
                            <w:pStyle w:val="Referentiegegevensbold"/>
                          </w:pPr>
                          <w:r>
                            <w:t>Datum</w:t>
                          </w:r>
                        </w:p>
                        <w:p w14:paraId="759023E5" w14:textId="034E6D90" w:rsidR="00D8540F" w:rsidRDefault="00D8540F">
                          <w:pPr>
                            <w:pStyle w:val="Referentiegegevens"/>
                          </w:pPr>
                        </w:p>
                        <w:p w14:paraId="35BDFD9B" w14:textId="77777777" w:rsidR="00E44EBA" w:rsidRDefault="00E44EBA">
                          <w:pPr>
                            <w:pStyle w:val="WitregelW1"/>
                          </w:pPr>
                        </w:p>
                        <w:p w14:paraId="54B6EF0F" w14:textId="77777777" w:rsidR="00E44EBA" w:rsidRDefault="00BF6E39">
                          <w:pPr>
                            <w:pStyle w:val="Referentiegegevensbold"/>
                          </w:pPr>
                          <w:r>
                            <w:t>Onze referentie</w:t>
                          </w:r>
                        </w:p>
                        <w:p w14:paraId="08FE04CB" w14:textId="77777777" w:rsidR="00D8540F" w:rsidRDefault="00000000">
                          <w:pPr>
                            <w:pStyle w:val="Referentiegegevens"/>
                          </w:pPr>
                          <w:fldSimple w:instr=" DOCPROPERTY  &quot;Kenmerk&quot;  \* MERGEFORMAT ">
                            <w:r w:rsidR="0066293F">
                              <w:t>2024-0000830463</w:t>
                            </w:r>
                          </w:fldSimple>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C86665D" id="_x0000_t202" coordsize="21600,21600" o:spt="202" path="m,l,21600r21600,l21600,xe">
              <v:stroke joinstyle="miter"/>
              <v:path gradientshapeok="t" o:connecttype="rect"/>
            </v:shapetype>
            <v:shape id="Tekstvak 13" o:spid="_x0000_s1026" type="#_x0000_t202" style="position:absolute;margin-left:466.25pt;margin-top:154.75pt;width:100.6pt;height:630.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" filled="f" stroked="f">
              <v:textbox inset="0,0,0,0">
                <w:txbxContent>
                  <w:p w14:paraId="33B944EE" w14:textId="77777777" w:rsidR="00E44EBA" w:rsidRDefault="00BF6E39">
                    <w:pPr>
                      <w:pStyle w:val="Referentiegegevensbold"/>
                    </w:pPr>
                    <w:r>
                      <w:t>Mensen &amp; Middelen, Bestuursondersteuning</w:t>
                    </w:r>
                  </w:p>
                  <w:p w14:paraId="6596341A" w14:textId="77777777" w:rsidR="00E44EBA" w:rsidRDefault="00BF6E39">
                    <w:pPr>
                      <w:pStyle w:val="Referentiegegevens"/>
                    </w:pPr>
                    <w:r>
                      <w:t>MM-Financieel-Economische Zaken</w:t>
                    </w:r>
                  </w:p>
                  <w:p w14:paraId="4E59BAE3" w14:textId="77777777" w:rsidR="00E44EBA" w:rsidRDefault="00BF6E39">
                    <w:pPr>
                      <w:pStyle w:val="Referentiegegevens"/>
                    </w:pPr>
                    <w:r>
                      <w:t>MM-FEZ-Begrotingszaken</w:t>
                    </w:r>
                  </w:p>
                  <w:p w14:paraId="63637074" w14:textId="77777777" w:rsidR="00E44EBA" w:rsidRDefault="00E44EBA">
                    <w:pPr>
                      <w:pStyle w:val="WitregelW2"/>
                    </w:pPr>
                  </w:p>
                  <w:p w14:paraId="78DDF1BF" w14:textId="77777777" w:rsidR="00E44EBA" w:rsidRDefault="00BF6E39">
                    <w:pPr>
                      <w:pStyle w:val="Referentiegegevensbold"/>
                    </w:pPr>
                    <w:r>
                      <w:t>Datum</w:t>
                    </w:r>
                  </w:p>
                  <w:p w14:paraId="759023E5" w14:textId="034E6D90" w:rsidR="00D8540F" w:rsidRDefault="00D8540F">
                    <w:pPr>
                      <w:pStyle w:val="Referentiegegevens"/>
                    </w:pPr>
                  </w:p>
                  <w:p w14:paraId="35BDFD9B" w14:textId="77777777" w:rsidR="00E44EBA" w:rsidRDefault="00E44EBA">
                    <w:pPr>
                      <w:pStyle w:val="WitregelW1"/>
                    </w:pPr>
                  </w:p>
                  <w:p w14:paraId="54B6EF0F" w14:textId="77777777" w:rsidR="00E44EBA" w:rsidRDefault="00BF6E39">
                    <w:pPr>
                      <w:pStyle w:val="Referentiegegevensbold"/>
                    </w:pPr>
                    <w:r>
                      <w:t>Onze referentie</w:t>
                    </w:r>
                  </w:p>
                  <w:p w14:paraId="08FE04CB" w14:textId="77777777" w:rsidR="00D8540F" w:rsidRDefault="00000000">
                    <w:pPr>
                      <w:pStyle w:val="Referentiegegevens"/>
                    </w:pPr>
                    <w:fldSimple w:instr=" DOCPROPERTY  &quot;Kenmerk&quot;  \* MERGEFORMAT ">
                      <w:r w:rsidR="0066293F">
                        <w:t>2024-0000830463</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4F49908" wp14:editId="769FA6EA">
              <wp:simplePos x="0" y="0"/>
              <wp:positionH relativeFrom="page">
                <wp:posOffset>1007745</wp:posOffset>
              </wp:positionH>
              <wp:positionV relativeFrom="page">
                <wp:posOffset>10194925</wp:posOffset>
              </wp:positionV>
              <wp:extent cx="4790440" cy="16129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0440" cy="161290"/>
                      </a:xfrm>
                      <a:prstGeom prst="rect">
                        <a:avLst/>
                      </a:prstGeom>
                      <a:noFill/>
                    </wps:spPr>
                    <wps:txbx>
                      <w:txbxContent>
                        <w:p w14:paraId="75CCF738" w14:textId="77777777" w:rsidR="00D854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4F49908" id="Tekstvak 11" o:spid="_x0000_s1027" type="#_x0000_t202" style="position:absolute;margin-left:79.35pt;margin-top:802.75pt;width:377.2pt;height:12.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" filled="f" stroked="f">
              <v:textbox inset="0,0,0,0">
                <w:txbxContent>
                  <w:p w14:paraId="75CCF738" w14:textId="77777777" w:rsidR="00D854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5D34522" wp14:editId="7510195E">
              <wp:simplePos x="0" y="0"/>
              <wp:positionH relativeFrom="page">
                <wp:posOffset>5921375</wp:posOffset>
              </wp:positionH>
              <wp:positionV relativeFrom="page">
                <wp:posOffset>10194925</wp:posOffset>
              </wp:positionV>
              <wp:extent cx="1285875" cy="16129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376716D9" w14:textId="77777777" w:rsidR="00D854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5D34522" id="Tekstvak 9" o:spid="_x0000_s1028" type="#_x0000_t202" style="position:absolute;margin-left:466.25pt;margin-top:802.75pt;width:101.25pt;height:12.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" filled="f" stroked="f">
              <v:textbox inset="0,0,0,0">
                <w:txbxContent>
                  <w:p w14:paraId="376716D9" w14:textId="77777777" w:rsidR="00D854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74CC" w14:textId="77777777" w:rsidR="00E44EBA" w:rsidRDefault="007461E2">
    <w:pPr>
      <w:spacing w:after="6377" w:line="14" w:lineRule="exact"/>
    </w:pPr>
    <w:r>
      <w:rPr>
        <w:noProof/>
      </w:rPr>
      <mc:AlternateContent>
        <mc:Choice Requires="wps">
          <w:drawing>
            <wp:anchor distT="0" distB="0" distL="0" distR="0" simplePos="0" relativeHeight="251655680" behindDoc="0" locked="1" layoutInCell="1" allowOverlap="1" wp14:anchorId="05AA1A32" wp14:editId="69BBAB21">
              <wp:simplePos x="0" y="0"/>
              <wp:positionH relativeFrom="page">
                <wp:posOffset>1007745</wp:posOffset>
              </wp:positionH>
              <wp:positionV relativeFrom="page">
                <wp:posOffset>1954530</wp:posOffset>
              </wp:positionV>
              <wp:extent cx="2879725" cy="111569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1115695"/>
                      </a:xfrm>
                      <a:prstGeom prst="rect">
                        <a:avLst/>
                      </a:prstGeom>
                      <a:noFill/>
                    </wps:spPr>
                    <wps:txbx>
                      <w:txbxContent>
                        <w:p w14:paraId="3CD517DF" w14:textId="77777777" w:rsidR="00E44EBA" w:rsidRDefault="00BF6E39">
                          <w:r>
                            <w:t xml:space="preserve">Aan de </w:t>
                          </w:r>
                          <w:sdt>
                            <w:sdtPr>
                              <w:id w:val="-1436592353"/>
                              <w:dataBinding w:prefixMappings="xmlns:ns0='docgen-assistant'" w:xpath="/ns0:CustomXml[1]/ns0:Variables[1]/ns0:Variable[2]/ns0:Value[1]" w:storeItemID="{69D6EEC8-C9E1-4904-8281-341938F2DEB0}"/>
                              <w:text/>
                            </w:sdtPr>
                            <w:sdtContent>
                              <w:r w:rsidR="00B536F5">
                                <w:t>Voorzitter van de Tweede Kamer der Staten-Generaal</w:t>
                              </w:r>
                            </w:sdtContent>
                          </w:sdt>
                        </w:p>
                        <w:p w14:paraId="56019788" w14:textId="77777777" w:rsidR="00E44EBA" w:rsidRDefault="00000000">
                          <w:sdt>
                            <w:sdtPr>
                              <w:id w:val="-1959947283"/>
                              <w:dataBinding w:prefixMappings="xmlns:ns0='docgen-assistant'" w:xpath="/ns0:CustomXml[1]/ns0:Variables[1]/ns0:Variable[3]/ns0:Value[1]" w:storeItemID="{69D6EEC8-C9E1-4904-8281-341938F2DEB0}"/>
                              <w:text/>
                            </w:sdtPr>
                            <w:sdtContent>
                              <w:r w:rsidR="00B536F5">
                                <w:t xml:space="preserve">Postbus 20018 </w:t>
                              </w:r>
                            </w:sdtContent>
                          </w:sdt>
                        </w:p>
                        <w:p w14:paraId="161F2E3A" w14:textId="77777777" w:rsidR="00E44EBA" w:rsidRDefault="00000000">
                          <w:sdt>
                            <w:sdtPr>
                              <w:id w:val="1143553558"/>
                              <w:dataBinding w:prefixMappings="xmlns:ns0='docgen-assistant'" w:xpath="/ns0:CustomXml[1]/ns0:Variables[1]/ns0:Variable[4]/ns0:Value[1]" w:storeItemID="{69D6EEC8-C9E1-4904-8281-341938F2DEB0}"/>
                              <w:text/>
                            </w:sdtPr>
                            <w:sdtContent>
                              <w:r w:rsidR="00B536F5">
                                <w:t>2500 EA</w:t>
                              </w:r>
                            </w:sdtContent>
                          </w:sdt>
                          <w:r w:rsidR="00635E51">
                            <w:t xml:space="preserve"> </w:t>
                          </w:r>
                          <w:sdt>
                            <w:sdtPr>
                              <w:id w:val="907422450"/>
                              <w:dataBinding w:prefixMappings="xmlns:ns0='docgen-assistant'" w:xpath="/ns0:CustomXml[1]/ns0:Variables[1]/ns0:Variable[5]/ns0:Value[1]" w:storeItemID="{69D6EEC8-C9E1-4904-8281-341938F2DEB0}"/>
                              <w:text/>
                            </w:sdtPr>
                            <w:sdtContent>
                              <w:r w:rsidR="00B536F5">
                                <w:t>DEN HAAG</w:t>
                              </w:r>
                            </w:sdtContent>
                          </w:sdt>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05AA1A32" id="_x0000_t202" coordsize="21600,21600" o:spt="202" path="m,l,21600r21600,l21600,xe">
              <v:stroke joinstyle="miter"/>
              <v:path gradientshapeok="t" o:connecttype="rect"/>
            </v:shapetype>
            <v:shape id="Tekstvak 8" o:spid="_x0000_s1029" type="#_x0000_t202" style="position:absolute;margin-left:79.35pt;margin-top:153.9pt;width:226.75pt;height:87.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" filled="f" stroked="f">
              <v:textbox inset="0,0,0,0">
                <w:txbxContent>
                  <w:p w14:paraId="3CD517DF" w14:textId="77777777" w:rsidR="00E44EBA" w:rsidRDefault="00BF6E39">
                    <w:r>
                      <w:t xml:space="preserve">Aan de </w:t>
                    </w:r>
                    <w:sdt>
                      <w:sdtPr>
                        <w:id w:val="-1436592353"/>
                        <w:dataBinding w:prefixMappings="xmlns:ns0='docgen-assistant'" w:xpath="/ns0:CustomXml[1]/ns0:Variables[1]/ns0:Variable[2]/ns0:Value[1]" w:storeItemID="{69D6EEC8-C9E1-4904-8281-341938F2DEB0}"/>
                        <w:text/>
                      </w:sdtPr>
                      <w:sdtContent>
                        <w:r w:rsidR="00B536F5">
                          <w:t>Voorzitter van de Tweede Kamer der Staten-Generaal</w:t>
                        </w:r>
                      </w:sdtContent>
                    </w:sdt>
                  </w:p>
                  <w:p w14:paraId="56019788" w14:textId="77777777" w:rsidR="00E44EBA" w:rsidRDefault="00000000">
                    <w:sdt>
                      <w:sdtPr>
                        <w:id w:val="-1959947283"/>
                        <w:dataBinding w:prefixMappings="xmlns:ns0='docgen-assistant'" w:xpath="/ns0:CustomXml[1]/ns0:Variables[1]/ns0:Variable[3]/ns0:Value[1]" w:storeItemID="{69D6EEC8-C9E1-4904-8281-341938F2DEB0}"/>
                        <w:text/>
                      </w:sdtPr>
                      <w:sdtContent>
                        <w:r w:rsidR="00B536F5">
                          <w:t xml:space="preserve">Postbus 20018 </w:t>
                        </w:r>
                      </w:sdtContent>
                    </w:sdt>
                  </w:p>
                  <w:p w14:paraId="161F2E3A" w14:textId="77777777" w:rsidR="00E44EBA" w:rsidRDefault="00000000">
                    <w:sdt>
                      <w:sdtPr>
                        <w:id w:val="1143553558"/>
                        <w:dataBinding w:prefixMappings="xmlns:ns0='docgen-assistant'" w:xpath="/ns0:CustomXml[1]/ns0:Variables[1]/ns0:Variable[4]/ns0:Value[1]" w:storeItemID="{69D6EEC8-C9E1-4904-8281-341938F2DEB0}"/>
                        <w:text/>
                      </w:sdtPr>
                      <w:sdtContent>
                        <w:r w:rsidR="00B536F5">
                          <w:t>2500 EA</w:t>
                        </w:r>
                      </w:sdtContent>
                    </w:sdt>
                    <w:r w:rsidR="00635E51">
                      <w:t xml:space="preserve"> </w:t>
                    </w:r>
                    <w:sdt>
                      <w:sdtPr>
                        <w:id w:val="907422450"/>
                        <w:dataBinding w:prefixMappings="xmlns:ns0='docgen-assistant'" w:xpath="/ns0:CustomXml[1]/ns0:Variables[1]/ns0:Variable[5]/ns0:Value[1]" w:storeItemID="{69D6EEC8-C9E1-4904-8281-341938F2DEB0}"/>
                        <w:text/>
                      </w:sdtPr>
                      <w:sdtContent>
                        <w:r w:rsidR="00B536F5">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FA10F51" wp14:editId="40D579B5">
              <wp:simplePos x="0" y="0"/>
              <wp:positionH relativeFrom="page">
                <wp:posOffset>1014095</wp:posOffset>
              </wp:positionH>
              <wp:positionV relativeFrom="page">
                <wp:posOffset>3356610</wp:posOffset>
              </wp:positionV>
              <wp:extent cx="4772025" cy="53848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5384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44EBA" w14:paraId="4A160736" w14:textId="77777777">
                            <w:trPr>
                              <w:trHeight w:val="240"/>
                            </w:trPr>
                            <w:tc>
                              <w:tcPr>
                                <w:tcW w:w="1140" w:type="dxa"/>
                              </w:tcPr>
                              <w:p w14:paraId="53AEE45A" w14:textId="77777777" w:rsidR="00E44EBA" w:rsidRDefault="00BF6E39">
                                <w:r>
                                  <w:t>Datum</w:t>
                                </w:r>
                              </w:p>
                            </w:tc>
                            <w:tc>
                              <w:tcPr>
                                <w:tcW w:w="5918" w:type="dxa"/>
                              </w:tcPr>
                              <w:p w14:paraId="777B23B6" w14:textId="7E6349EF" w:rsidR="00E44EBA" w:rsidRDefault="0066293F">
                                <w:r>
                                  <w:t>17 oktober 2024</w:t>
                                </w:r>
                              </w:p>
                            </w:tc>
                          </w:tr>
                          <w:tr w:rsidR="00E44EBA" w14:paraId="66AF798D" w14:textId="77777777">
                            <w:trPr>
                              <w:trHeight w:val="240"/>
                            </w:trPr>
                            <w:tc>
                              <w:tcPr>
                                <w:tcW w:w="1140" w:type="dxa"/>
                              </w:tcPr>
                              <w:p w14:paraId="4A1F7377" w14:textId="77777777" w:rsidR="00E44EBA" w:rsidRDefault="00BF6E39">
                                <w:bookmarkStart w:id="4" w:name="_Hlk177639895"/>
                                <w:r>
                                  <w:t>Betreft</w:t>
                                </w:r>
                              </w:p>
                            </w:tc>
                            <w:tc>
                              <w:tcPr>
                                <w:tcW w:w="5918" w:type="dxa"/>
                              </w:tcPr>
                              <w:p w14:paraId="339D75B2" w14:textId="77777777" w:rsidR="00E44EBA" w:rsidRDefault="002E76C1">
                                <w:bookmarkStart w:id="5" w:name="_Hlk180057917"/>
                                <w:r>
                                  <w:t xml:space="preserve">Beleidsvoorstellen uit de ontwerpbegroting 2025 van H22 met CW 3.1. </w:t>
                                </w:r>
                                <w:proofErr w:type="gramStart"/>
                                <w:r>
                                  <w:t>kaders</w:t>
                                </w:r>
                                <w:proofErr w:type="gramEnd"/>
                              </w:p>
                              <w:bookmarkEnd w:id="5"/>
                              <w:p w14:paraId="3AB902DC" w14:textId="77777777" w:rsidR="002E76C1" w:rsidRDefault="002E76C1"/>
                            </w:tc>
                          </w:tr>
                          <w:bookmarkEnd w:id="4"/>
                        </w:tbl>
                        <w:p w14:paraId="74D708EF" w14:textId="77777777" w:rsidR="00BF6E39" w:rsidRDefault="00BF6E39"/>
                      </w:txbxContent>
                    </wps:txbx>
                    <wps:bodyPr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w14:anchorId="5FA10F51" id="Tekstvak 7" o:spid="_x0000_s1030" type="#_x0000_t202" style="position:absolute;margin-left:79.85pt;margin-top:264.3pt;width:375.75pt;height:42.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E44EBA" w14:paraId="4A160736" w14:textId="77777777">
                      <w:trPr>
                        <w:trHeight w:val="240"/>
                      </w:trPr>
                      <w:tc>
                        <w:tcPr>
                          <w:tcW w:w="1140" w:type="dxa"/>
                        </w:tcPr>
                        <w:p w14:paraId="53AEE45A" w14:textId="77777777" w:rsidR="00E44EBA" w:rsidRDefault="00BF6E39">
                          <w:r>
                            <w:t>Datum</w:t>
                          </w:r>
                        </w:p>
                      </w:tc>
                      <w:tc>
                        <w:tcPr>
                          <w:tcW w:w="5918" w:type="dxa"/>
                        </w:tcPr>
                        <w:p w14:paraId="777B23B6" w14:textId="7E6349EF" w:rsidR="00E44EBA" w:rsidRDefault="0066293F">
                          <w:r>
                            <w:t>17 oktober 2024</w:t>
                          </w:r>
                        </w:p>
                      </w:tc>
                    </w:tr>
                    <w:tr w:rsidR="00E44EBA" w14:paraId="66AF798D" w14:textId="77777777">
                      <w:trPr>
                        <w:trHeight w:val="240"/>
                      </w:trPr>
                      <w:tc>
                        <w:tcPr>
                          <w:tcW w:w="1140" w:type="dxa"/>
                        </w:tcPr>
                        <w:p w14:paraId="4A1F7377" w14:textId="77777777" w:rsidR="00E44EBA" w:rsidRDefault="00BF6E39">
                          <w:bookmarkStart w:id="6" w:name="_Hlk177639895"/>
                          <w:r>
                            <w:t>Betreft</w:t>
                          </w:r>
                        </w:p>
                      </w:tc>
                      <w:tc>
                        <w:tcPr>
                          <w:tcW w:w="5918" w:type="dxa"/>
                        </w:tcPr>
                        <w:p w14:paraId="339D75B2" w14:textId="77777777" w:rsidR="00E44EBA" w:rsidRDefault="002E76C1">
                          <w:bookmarkStart w:id="7" w:name="_Hlk180057917"/>
                          <w:r>
                            <w:t xml:space="preserve">Beleidsvoorstellen uit de ontwerpbegroting 2025 van H22 met CW 3.1. </w:t>
                          </w:r>
                          <w:proofErr w:type="gramStart"/>
                          <w:r>
                            <w:t>kaders</w:t>
                          </w:r>
                          <w:proofErr w:type="gramEnd"/>
                        </w:p>
                        <w:bookmarkEnd w:id="7"/>
                        <w:p w14:paraId="3AB902DC" w14:textId="77777777" w:rsidR="002E76C1" w:rsidRDefault="002E76C1"/>
                      </w:tc>
                    </w:tr>
                    <w:bookmarkEnd w:id="6"/>
                  </w:tbl>
                  <w:p w14:paraId="74D708EF" w14:textId="77777777" w:rsidR="00BF6E39" w:rsidRDefault="00BF6E3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8AAE214" wp14:editId="2EB0047D">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31142D4A" w14:textId="77777777" w:rsidR="00E44EBA" w:rsidRDefault="00BF6E39">
                          <w:pPr>
                            <w:pStyle w:val="Referentiegegevensbold"/>
                          </w:pPr>
                          <w:r>
                            <w:t>Mensen &amp; Middelen, Bestuursondersteuning</w:t>
                          </w:r>
                        </w:p>
                        <w:p w14:paraId="6E1A2F0B" w14:textId="77777777" w:rsidR="00E44EBA" w:rsidRDefault="00BF6E39">
                          <w:pPr>
                            <w:pStyle w:val="Referentiegegevens"/>
                          </w:pPr>
                          <w:r>
                            <w:t>MM-Financieel-Economische Zaken</w:t>
                          </w:r>
                        </w:p>
                        <w:p w14:paraId="7D8BBDEA" w14:textId="77777777" w:rsidR="00E44EBA" w:rsidRDefault="00BF6E39">
                          <w:pPr>
                            <w:pStyle w:val="Referentiegegevens"/>
                          </w:pPr>
                          <w:r>
                            <w:t>MM-FEZ-Begrotingszaken</w:t>
                          </w:r>
                        </w:p>
                        <w:p w14:paraId="7501C333" w14:textId="77777777" w:rsidR="00E44EBA" w:rsidRDefault="00E44EBA">
                          <w:pPr>
                            <w:pStyle w:val="WitregelW1"/>
                          </w:pPr>
                        </w:p>
                        <w:p w14:paraId="5FAA6BD8" w14:textId="77777777" w:rsidR="00E44EBA" w:rsidRDefault="00BF6E39">
                          <w:pPr>
                            <w:pStyle w:val="Referentiegegevens"/>
                          </w:pPr>
                          <w:r>
                            <w:t>Turfmarkt 147</w:t>
                          </w:r>
                        </w:p>
                        <w:p w14:paraId="27F82219" w14:textId="77777777" w:rsidR="00E44EBA" w:rsidRDefault="00BF6E39">
                          <w:pPr>
                            <w:pStyle w:val="Referentiegegevens"/>
                          </w:pPr>
                          <w:r>
                            <w:t>2511 DP</w:t>
                          </w:r>
                          <w:r w:rsidR="00635E51">
                            <w:t xml:space="preserve"> </w:t>
                          </w:r>
                          <w:r>
                            <w:t>Den Haag</w:t>
                          </w:r>
                        </w:p>
                        <w:p w14:paraId="7540F0BF" w14:textId="77777777" w:rsidR="00E44EBA" w:rsidRDefault="00E44EBA">
                          <w:pPr>
                            <w:pStyle w:val="WitregelW2"/>
                          </w:pPr>
                        </w:p>
                        <w:p w14:paraId="5760BD28" w14:textId="77777777" w:rsidR="00E44EBA" w:rsidRDefault="00BF6E39">
                          <w:pPr>
                            <w:pStyle w:val="Referentiegegevensbold"/>
                          </w:pPr>
                          <w:r>
                            <w:t>Onze referentie</w:t>
                          </w:r>
                        </w:p>
                        <w:bookmarkStart w:id="8" w:name="_Hlk180057945"/>
                        <w:bookmarkStart w:id="9" w:name="_Hlk180057946"/>
                        <w:p w14:paraId="3545856B" w14:textId="77777777" w:rsidR="00D8540F" w:rsidRDefault="00000000">
                          <w:pPr>
                            <w:pStyle w:val="Referentiegegevens"/>
                          </w:pPr>
                          <w:r>
                            <w:fldChar w:fldCharType="begin"/>
                          </w:r>
                          <w:r>
                            <w:instrText xml:space="preserve"> DOCPROPERTY  "Kenmerk"  \* MERGEFORMAT </w:instrText>
                          </w:r>
                          <w:r>
                            <w:fldChar w:fldCharType="separate"/>
                          </w:r>
                          <w:r w:rsidR="0066293F">
                            <w:t>2024-0000830463</w:t>
                          </w:r>
                          <w:r>
                            <w:fldChar w:fldCharType="end"/>
                          </w:r>
                          <w:bookmarkEnd w:id="8"/>
                          <w:bookmarkEnd w:id="9"/>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8AAE214" id="Tekstvak 6" o:spid="_x0000_s1031" type="#_x0000_t202" style="position:absolute;margin-left:466.25pt;margin-top:154.75pt;width:100.6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" filled="f" stroked="f">
              <v:textbox inset="0,0,0,0">
                <w:txbxContent>
                  <w:p w14:paraId="31142D4A" w14:textId="77777777" w:rsidR="00E44EBA" w:rsidRDefault="00BF6E39">
                    <w:pPr>
                      <w:pStyle w:val="Referentiegegevensbold"/>
                    </w:pPr>
                    <w:r>
                      <w:t>Mensen &amp; Middelen, Bestuursondersteuning</w:t>
                    </w:r>
                  </w:p>
                  <w:p w14:paraId="6E1A2F0B" w14:textId="77777777" w:rsidR="00E44EBA" w:rsidRDefault="00BF6E39">
                    <w:pPr>
                      <w:pStyle w:val="Referentiegegevens"/>
                    </w:pPr>
                    <w:r>
                      <w:t>MM-Financieel-Economische Zaken</w:t>
                    </w:r>
                  </w:p>
                  <w:p w14:paraId="7D8BBDEA" w14:textId="77777777" w:rsidR="00E44EBA" w:rsidRDefault="00BF6E39">
                    <w:pPr>
                      <w:pStyle w:val="Referentiegegevens"/>
                    </w:pPr>
                    <w:r>
                      <w:t>MM-FEZ-Begrotingszaken</w:t>
                    </w:r>
                  </w:p>
                  <w:p w14:paraId="7501C333" w14:textId="77777777" w:rsidR="00E44EBA" w:rsidRDefault="00E44EBA">
                    <w:pPr>
                      <w:pStyle w:val="WitregelW1"/>
                    </w:pPr>
                  </w:p>
                  <w:p w14:paraId="5FAA6BD8" w14:textId="77777777" w:rsidR="00E44EBA" w:rsidRDefault="00BF6E39">
                    <w:pPr>
                      <w:pStyle w:val="Referentiegegevens"/>
                    </w:pPr>
                    <w:r>
                      <w:t>Turfmarkt 147</w:t>
                    </w:r>
                  </w:p>
                  <w:p w14:paraId="27F82219" w14:textId="77777777" w:rsidR="00E44EBA" w:rsidRDefault="00BF6E39">
                    <w:pPr>
                      <w:pStyle w:val="Referentiegegevens"/>
                    </w:pPr>
                    <w:r>
                      <w:t>2511 DP</w:t>
                    </w:r>
                    <w:r w:rsidR="00635E51">
                      <w:t xml:space="preserve"> </w:t>
                    </w:r>
                    <w:r>
                      <w:t>Den Haag</w:t>
                    </w:r>
                  </w:p>
                  <w:p w14:paraId="7540F0BF" w14:textId="77777777" w:rsidR="00E44EBA" w:rsidRDefault="00E44EBA">
                    <w:pPr>
                      <w:pStyle w:val="WitregelW2"/>
                    </w:pPr>
                  </w:p>
                  <w:p w14:paraId="5760BD28" w14:textId="77777777" w:rsidR="00E44EBA" w:rsidRDefault="00BF6E39">
                    <w:pPr>
                      <w:pStyle w:val="Referentiegegevensbold"/>
                    </w:pPr>
                    <w:r>
                      <w:t>Onze referentie</w:t>
                    </w:r>
                  </w:p>
                  <w:bookmarkStart w:id="10" w:name="_Hlk180057945"/>
                  <w:bookmarkStart w:id="11" w:name="_Hlk180057946"/>
                  <w:p w14:paraId="3545856B" w14:textId="77777777" w:rsidR="00D8540F" w:rsidRDefault="00000000">
                    <w:pPr>
                      <w:pStyle w:val="Referentiegegevens"/>
                    </w:pPr>
                    <w:r>
                      <w:fldChar w:fldCharType="begin"/>
                    </w:r>
                    <w:r>
                      <w:instrText xml:space="preserve"> DOCPROPERTY  "Kenmerk"  \* MERGEFORMAT </w:instrText>
                    </w:r>
                    <w:r>
                      <w:fldChar w:fldCharType="separate"/>
                    </w:r>
                    <w:r w:rsidR="0066293F">
                      <w:t>2024-0000830463</w:t>
                    </w:r>
                    <w:r>
                      <w:fldChar w:fldCharType="end"/>
                    </w:r>
                    <w:bookmarkEnd w:id="10"/>
                    <w:bookmarkEnd w:id="11"/>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1A9067A" wp14:editId="3C6A52B5">
              <wp:simplePos x="0" y="0"/>
              <wp:positionH relativeFrom="page">
                <wp:posOffset>1007745</wp:posOffset>
              </wp:positionH>
              <wp:positionV relativeFrom="page">
                <wp:posOffset>10194925</wp:posOffset>
              </wp:positionV>
              <wp:extent cx="4790440" cy="16192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0440" cy="161925"/>
                      </a:xfrm>
                      <a:prstGeom prst="rect">
                        <a:avLst/>
                      </a:prstGeom>
                      <a:noFill/>
                    </wps:spPr>
                    <wps:txbx>
                      <w:txbxContent>
                        <w:p w14:paraId="1DA59990" w14:textId="77777777" w:rsidR="00D854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1A9067A" id="Tekstvak 5" o:spid="_x0000_s1032" type="#_x0000_t202" style="position:absolute;margin-left:79.35pt;margin-top:802.75pt;width:377.2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" filled="f" stroked="f">
              <v:textbox inset="0,0,0,0">
                <w:txbxContent>
                  <w:p w14:paraId="1DA59990" w14:textId="77777777" w:rsidR="00D854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5F3C22B" wp14:editId="036CD25A">
              <wp:simplePos x="0" y="0"/>
              <wp:positionH relativeFrom="page">
                <wp:posOffset>5921375</wp:posOffset>
              </wp:positionH>
              <wp:positionV relativeFrom="page">
                <wp:posOffset>10194925</wp:posOffset>
              </wp:positionV>
              <wp:extent cx="1285875" cy="16129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3E6D942F" w14:textId="77777777" w:rsidR="00D854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5F3C22B" id="Tekstvak 4" o:spid="_x0000_s1033" type="#_x0000_t202" style="position:absolute;margin-left:466.25pt;margin-top:802.75pt;width:101.25pt;height:12.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" filled="f" stroked="f">
              <v:textbox inset="0,0,0,0">
                <w:txbxContent>
                  <w:p w14:paraId="3E6D942F" w14:textId="77777777" w:rsidR="00D854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0CE7B4D" wp14:editId="0C5CD9B8">
              <wp:simplePos x="0" y="0"/>
              <wp:positionH relativeFrom="page">
                <wp:posOffset>3545840</wp:posOffset>
              </wp:positionH>
              <wp:positionV relativeFrom="page">
                <wp:posOffset>0</wp:posOffset>
              </wp:positionV>
              <wp:extent cx="467995" cy="158305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397842BC" w14:textId="77777777" w:rsidR="00E44EBA" w:rsidRDefault="00BF6E39">
                          <w:pPr>
                            <w:spacing w:line="240" w:lineRule="auto"/>
                          </w:pPr>
                          <w:r>
                            <w:rPr>
                              <w:noProof/>
                            </w:rPr>
                            <w:drawing>
                              <wp:inline distT="0" distB="0" distL="0" distR="0" wp14:anchorId="5DF25910" wp14:editId="354F9866">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0CE7B4D" id="Tekstvak 3" o:spid="_x0000_s1034" type="#_x0000_t202" style="position:absolute;margin-left:279.2pt;margin-top:0;width:36.85pt;height:124.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" filled="f" stroked="f">
              <v:textbox inset="0,0,0,0">
                <w:txbxContent>
                  <w:p w14:paraId="397842BC" w14:textId="77777777" w:rsidR="00E44EBA" w:rsidRDefault="00BF6E39">
                    <w:pPr>
                      <w:spacing w:line="240" w:lineRule="auto"/>
                    </w:pPr>
                    <w:r>
                      <w:rPr>
                        <w:noProof/>
                      </w:rPr>
                      <w:drawing>
                        <wp:inline distT="0" distB="0" distL="0" distR="0" wp14:anchorId="5DF25910" wp14:editId="354F9866">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1929C8" wp14:editId="1D64BD01">
              <wp:simplePos x="0" y="0"/>
              <wp:positionH relativeFrom="page">
                <wp:posOffset>3995420</wp:posOffset>
              </wp:positionH>
              <wp:positionV relativeFrom="page">
                <wp:posOffset>0</wp:posOffset>
              </wp:positionV>
              <wp:extent cx="2339975" cy="158369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35D51275" w14:textId="77777777" w:rsidR="00E44EBA" w:rsidRDefault="00FA0ED9">
                          <w:pPr>
                            <w:spacing w:line="240" w:lineRule="auto"/>
                          </w:pPr>
                          <w:r>
                            <w:rPr>
                              <w:noProof/>
                            </w:rPr>
                            <w:drawing>
                              <wp:inline distT="0" distB="0" distL="0" distR="0" wp14:anchorId="499655E0" wp14:editId="27693D88">
                                <wp:extent cx="2339975" cy="1582420"/>
                                <wp:effectExtent l="0" t="0" r="3175" b="0"/>
                                <wp:docPr id="14" name="Afbeelding 14"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11929C8" id="Tekstvak 2" o:spid="_x0000_s1035" type="#_x0000_t202" style="position:absolute;margin-left:314.6pt;margin-top:0;width:184.25pt;height:124.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" filled="f" stroked="f">
              <v:textbox inset="0,0,0,0">
                <w:txbxContent>
                  <w:p w14:paraId="35D51275" w14:textId="77777777" w:rsidR="00E44EBA" w:rsidRDefault="00FA0ED9">
                    <w:pPr>
                      <w:spacing w:line="240" w:lineRule="auto"/>
                    </w:pPr>
                    <w:r>
                      <w:rPr>
                        <w:noProof/>
                      </w:rPr>
                      <w:drawing>
                        <wp:inline distT="0" distB="0" distL="0" distR="0" wp14:anchorId="499655E0" wp14:editId="27693D88">
                          <wp:extent cx="2339975" cy="1582420"/>
                          <wp:effectExtent l="0" t="0" r="3175" b="0"/>
                          <wp:docPr id="14" name="Afbeelding 14"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CB39B57" wp14:editId="515B397D">
              <wp:simplePos x="0" y="0"/>
              <wp:positionH relativeFrom="page">
                <wp:posOffset>1010920</wp:posOffset>
              </wp:positionH>
              <wp:positionV relativeFrom="page">
                <wp:posOffset>1720215</wp:posOffset>
              </wp:positionV>
              <wp:extent cx="4783455" cy="1619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3455" cy="161925"/>
                      </a:xfrm>
                      <a:prstGeom prst="rect">
                        <a:avLst/>
                      </a:prstGeom>
                      <a:noFill/>
                    </wps:spPr>
                    <wps:txbx>
                      <w:txbxContent>
                        <w:p w14:paraId="76959109" w14:textId="77777777" w:rsidR="00E44EBA" w:rsidRDefault="00BF6E39">
                          <w:pPr>
                            <w:pStyle w:val="Referentiegegevens"/>
                          </w:pPr>
                          <w:r>
                            <w:t>&gt; Retouradres</w:t>
                          </w:r>
                          <w:r w:rsidR="00635E51">
                            <w:t xml:space="preserve">  </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CB39B57" id="Tekstvak 1" o:spid="_x0000_s1036" type="#_x0000_t202" style="position:absolute;margin-left:79.6pt;margin-top:135.45pt;width:376.65pt;height:12.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" filled="f" stroked="f">
              <v:textbox inset="0,0,0,0">
                <w:txbxContent>
                  <w:p w14:paraId="76959109" w14:textId="77777777" w:rsidR="00E44EBA" w:rsidRDefault="00BF6E39">
                    <w:pPr>
                      <w:pStyle w:val="Referentiegegevens"/>
                    </w:pPr>
                    <w:r>
                      <w:t>&gt; Retouradres</w:t>
                    </w:r>
                    <w:r w:rsidR="00635E51">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D397E"/>
    <w:multiLevelType w:val="multilevel"/>
    <w:tmpl w:val="E1D6A5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C075B0E"/>
    <w:multiLevelType w:val="multilevel"/>
    <w:tmpl w:val="D391CBC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BC0620"/>
    <w:multiLevelType w:val="hybridMultilevel"/>
    <w:tmpl w:val="B5D08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0258D8"/>
    <w:multiLevelType w:val="hybridMultilevel"/>
    <w:tmpl w:val="17187592"/>
    <w:lvl w:ilvl="0" w:tplc="FFFFFFFF">
      <w:start w:val="1"/>
      <w:numFmt w:val="decimal"/>
      <w:lvlText w:val="%1."/>
      <w:lvlJc w:val="left"/>
      <w:pPr>
        <w:ind w:left="463" w:hanging="360"/>
      </w:pPr>
      <w:rPr>
        <w:color w:val="auto"/>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4" w15:restartNumberingAfterBreak="0">
    <w:nsid w:val="1F9B2348"/>
    <w:multiLevelType w:val="hybridMultilevel"/>
    <w:tmpl w:val="B5D08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660C7"/>
    <w:multiLevelType w:val="hybridMultilevel"/>
    <w:tmpl w:val="8C66AB52"/>
    <w:lvl w:ilvl="0" w:tplc="E5C42C60">
      <w:start w:val="1"/>
      <w:numFmt w:val="decimal"/>
      <w:lvlText w:val="%1."/>
      <w:lvlJc w:val="left"/>
      <w:pPr>
        <w:ind w:left="463" w:hanging="360"/>
      </w:pPr>
      <w:rPr>
        <w:b/>
        <w:bCs/>
        <w:i w:val="0"/>
        <w:iCs/>
        <w:color w:val="auto"/>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6" w15:restartNumberingAfterBreak="0">
    <w:nsid w:val="2DC52A98"/>
    <w:multiLevelType w:val="multilevel"/>
    <w:tmpl w:val="53FDD21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53124CA"/>
    <w:multiLevelType w:val="hybridMultilevel"/>
    <w:tmpl w:val="17187592"/>
    <w:lvl w:ilvl="0" w:tplc="FFFFFFFF">
      <w:start w:val="1"/>
      <w:numFmt w:val="decimal"/>
      <w:lvlText w:val="%1."/>
      <w:lvlJc w:val="left"/>
      <w:pPr>
        <w:ind w:left="463" w:hanging="360"/>
      </w:pPr>
      <w:rPr>
        <w:color w:val="auto"/>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8" w15:restartNumberingAfterBreak="0">
    <w:nsid w:val="5621C62B"/>
    <w:multiLevelType w:val="multilevel"/>
    <w:tmpl w:val="6A51589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5972235E"/>
    <w:multiLevelType w:val="multilevel"/>
    <w:tmpl w:val="C7F8A9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5F7568B1"/>
    <w:multiLevelType w:val="hybridMultilevel"/>
    <w:tmpl w:val="2FCC2B0E"/>
    <w:lvl w:ilvl="0" w:tplc="28409CCE">
      <w:start w:val="1"/>
      <w:numFmt w:val="decimal"/>
      <w:lvlText w:val="%1)"/>
      <w:lvlJc w:val="left"/>
      <w:pPr>
        <w:ind w:left="701" w:hanging="600"/>
      </w:pPr>
      <w:rPr>
        <w:rFonts w:hint="default"/>
      </w:rPr>
    </w:lvl>
    <w:lvl w:ilvl="1" w:tplc="04130019" w:tentative="1">
      <w:start w:val="1"/>
      <w:numFmt w:val="lowerLetter"/>
      <w:lvlText w:val="%2."/>
      <w:lvlJc w:val="left"/>
      <w:pPr>
        <w:ind w:left="1181" w:hanging="360"/>
      </w:pPr>
    </w:lvl>
    <w:lvl w:ilvl="2" w:tplc="0413001B" w:tentative="1">
      <w:start w:val="1"/>
      <w:numFmt w:val="lowerRoman"/>
      <w:lvlText w:val="%3."/>
      <w:lvlJc w:val="right"/>
      <w:pPr>
        <w:ind w:left="1901" w:hanging="180"/>
      </w:pPr>
    </w:lvl>
    <w:lvl w:ilvl="3" w:tplc="0413000F" w:tentative="1">
      <w:start w:val="1"/>
      <w:numFmt w:val="decimal"/>
      <w:lvlText w:val="%4."/>
      <w:lvlJc w:val="left"/>
      <w:pPr>
        <w:ind w:left="2621" w:hanging="360"/>
      </w:pPr>
    </w:lvl>
    <w:lvl w:ilvl="4" w:tplc="04130019" w:tentative="1">
      <w:start w:val="1"/>
      <w:numFmt w:val="lowerLetter"/>
      <w:lvlText w:val="%5."/>
      <w:lvlJc w:val="left"/>
      <w:pPr>
        <w:ind w:left="3341" w:hanging="360"/>
      </w:pPr>
    </w:lvl>
    <w:lvl w:ilvl="5" w:tplc="0413001B" w:tentative="1">
      <w:start w:val="1"/>
      <w:numFmt w:val="lowerRoman"/>
      <w:lvlText w:val="%6."/>
      <w:lvlJc w:val="right"/>
      <w:pPr>
        <w:ind w:left="4061" w:hanging="180"/>
      </w:pPr>
    </w:lvl>
    <w:lvl w:ilvl="6" w:tplc="0413000F" w:tentative="1">
      <w:start w:val="1"/>
      <w:numFmt w:val="decimal"/>
      <w:lvlText w:val="%7."/>
      <w:lvlJc w:val="left"/>
      <w:pPr>
        <w:ind w:left="4781" w:hanging="360"/>
      </w:pPr>
    </w:lvl>
    <w:lvl w:ilvl="7" w:tplc="04130019" w:tentative="1">
      <w:start w:val="1"/>
      <w:numFmt w:val="lowerLetter"/>
      <w:lvlText w:val="%8."/>
      <w:lvlJc w:val="left"/>
      <w:pPr>
        <w:ind w:left="5501" w:hanging="360"/>
      </w:pPr>
    </w:lvl>
    <w:lvl w:ilvl="8" w:tplc="0413001B" w:tentative="1">
      <w:start w:val="1"/>
      <w:numFmt w:val="lowerRoman"/>
      <w:lvlText w:val="%9."/>
      <w:lvlJc w:val="right"/>
      <w:pPr>
        <w:ind w:left="6221" w:hanging="180"/>
      </w:pPr>
    </w:lvl>
  </w:abstractNum>
  <w:abstractNum w:abstractNumId="11" w15:restartNumberingAfterBreak="0">
    <w:nsid w:val="5FDB17A4"/>
    <w:multiLevelType w:val="hybridMultilevel"/>
    <w:tmpl w:val="17187592"/>
    <w:lvl w:ilvl="0" w:tplc="FFFFFFFF">
      <w:start w:val="1"/>
      <w:numFmt w:val="decimal"/>
      <w:lvlText w:val="%1."/>
      <w:lvlJc w:val="left"/>
      <w:pPr>
        <w:ind w:left="463" w:hanging="360"/>
      </w:pPr>
      <w:rPr>
        <w:color w:val="auto"/>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12" w15:restartNumberingAfterBreak="0">
    <w:nsid w:val="686B2252"/>
    <w:multiLevelType w:val="hybridMultilevel"/>
    <w:tmpl w:val="CAEE8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391978"/>
    <w:multiLevelType w:val="hybridMultilevel"/>
    <w:tmpl w:val="4C0014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40365E7"/>
    <w:multiLevelType w:val="hybridMultilevel"/>
    <w:tmpl w:val="17187592"/>
    <w:lvl w:ilvl="0" w:tplc="FE48A182">
      <w:start w:val="1"/>
      <w:numFmt w:val="decimal"/>
      <w:lvlText w:val="%1."/>
      <w:lvlJc w:val="left"/>
      <w:pPr>
        <w:ind w:left="463" w:hanging="360"/>
      </w:pPr>
      <w:rPr>
        <w:color w:val="auto"/>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0413000F">
      <w:start w:val="1"/>
      <w:numFmt w:val="decimal"/>
      <w:lvlText w:val="%4."/>
      <w:lvlJc w:val="left"/>
      <w:pPr>
        <w:ind w:left="2623" w:hanging="360"/>
      </w:p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4783"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num w:numId="1" w16cid:durableId="237061605">
    <w:abstractNumId w:val="8"/>
  </w:num>
  <w:num w:numId="2" w16cid:durableId="464544267">
    <w:abstractNumId w:val="1"/>
  </w:num>
  <w:num w:numId="3" w16cid:durableId="1039477947">
    <w:abstractNumId w:val="9"/>
  </w:num>
  <w:num w:numId="4" w16cid:durableId="864055020">
    <w:abstractNumId w:val="6"/>
  </w:num>
  <w:num w:numId="5" w16cid:durableId="486940738">
    <w:abstractNumId w:val="0"/>
  </w:num>
  <w:num w:numId="6" w16cid:durableId="1379355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646606">
    <w:abstractNumId w:val="2"/>
  </w:num>
  <w:num w:numId="8" w16cid:durableId="1144468946">
    <w:abstractNumId w:val="13"/>
  </w:num>
  <w:num w:numId="9" w16cid:durableId="753866484">
    <w:abstractNumId w:val="4"/>
  </w:num>
  <w:num w:numId="10" w16cid:durableId="1338272248">
    <w:abstractNumId w:val="14"/>
  </w:num>
  <w:num w:numId="11" w16cid:durableId="362561821">
    <w:abstractNumId w:val="11"/>
  </w:num>
  <w:num w:numId="12" w16cid:durableId="960456419">
    <w:abstractNumId w:val="12"/>
  </w:num>
  <w:num w:numId="13" w16cid:durableId="506680344">
    <w:abstractNumId w:val="3"/>
  </w:num>
  <w:num w:numId="14" w16cid:durableId="74938942">
    <w:abstractNumId w:val="5"/>
  </w:num>
  <w:num w:numId="15" w16cid:durableId="119498080">
    <w:abstractNumId w:val="7"/>
  </w:num>
  <w:num w:numId="16" w16cid:durableId="2108965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77"/>
    <w:rsid w:val="00024E1A"/>
    <w:rsid w:val="00042A2D"/>
    <w:rsid w:val="0009056A"/>
    <w:rsid w:val="000C5F35"/>
    <w:rsid w:val="000F6E72"/>
    <w:rsid w:val="00147C78"/>
    <w:rsid w:val="0017070D"/>
    <w:rsid w:val="001D4DB6"/>
    <w:rsid w:val="001D58EC"/>
    <w:rsid w:val="001F3A96"/>
    <w:rsid w:val="001F601A"/>
    <w:rsid w:val="001F7077"/>
    <w:rsid w:val="002464D5"/>
    <w:rsid w:val="00246B5D"/>
    <w:rsid w:val="00257B03"/>
    <w:rsid w:val="002661D7"/>
    <w:rsid w:val="0027448D"/>
    <w:rsid w:val="002A10B8"/>
    <w:rsid w:val="002A7BD2"/>
    <w:rsid w:val="002E577B"/>
    <w:rsid w:val="002E76C1"/>
    <w:rsid w:val="003063B4"/>
    <w:rsid w:val="003221F4"/>
    <w:rsid w:val="00336396"/>
    <w:rsid w:val="003409B4"/>
    <w:rsid w:val="00342FD5"/>
    <w:rsid w:val="00346970"/>
    <w:rsid w:val="00395375"/>
    <w:rsid w:val="003B0D6B"/>
    <w:rsid w:val="003C7FA7"/>
    <w:rsid w:val="003D0A58"/>
    <w:rsid w:val="003D6FA2"/>
    <w:rsid w:val="00400CC8"/>
    <w:rsid w:val="004015E9"/>
    <w:rsid w:val="004057EF"/>
    <w:rsid w:val="00410E65"/>
    <w:rsid w:val="00410EB0"/>
    <w:rsid w:val="00427EB3"/>
    <w:rsid w:val="00435672"/>
    <w:rsid w:val="004D0594"/>
    <w:rsid w:val="004D6931"/>
    <w:rsid w:val="004E665D"/>
    <w:rsid w:val="0050663A"/>
    <w:rsid w:val="00523F89"/>
    <w:rsid w:val="005258A5"/>
    <w:rsid w:val="005262FB"/>
    <w:rsid w:val="00541D92"/>
    <w:rsid w:val="00584224"/>
    <w:rsid w:val="005A0A10"/>
    <w:rsid w:val="005B7022"/>
    <w:rsid w:val="005C3C8B"/>
    <w:rsid w:val="005E4B1D"/>
    <w:rsid w:val="005F742A"/>
    <w:rsid w:val="00603436"/>
    <w:rsid w:val="006039AC"/>
    <w:rsid w:val="00635E51"/>
    <w:rsid w:val="0064480A"/>
    <w:rsid w:val="00655750"/>
    <w:rsid w:val="0066293F"/>
    <w:rsid w:val="00686AD3"/>
    <w:rsid w:val="006928D8"/>
    <w:rsid w:val="006B51C1"/>
    <w:rsid w:val="006D176B"/>
    <w:rsid w:val="007054F1"/>
    <w:rsid w:val="007461E2"/>
    <w:rsid w:val="007576C0"/>
    <w:rsid w:val="007A063F"/>
    <w:rsid w:val="007A6C65"/>
    <w:rsid w:val="007B18E5"/>
    <w:rsid w:val="007C3010"/>
    <w:rsid w:val="007E46BE"/>
    <w:rsid w:val="007F1A46"/>
    <w:rsid w:val="0080380B"/>
    <w:rsid w:val="00845650"/>
    <w:rsid w:val="00853A78"/>
    <w:rsid w:val="0085424F"/>
    <w:rsid w:val="008862AB"/>
    <w:rsid w:val="00891BDB"/>
    <w:rsid w:val="008E19E2"/>
    <w:rsid w:val="009117C9"/>
    <w:rsid w:val="00951D2A"/>
    <w:rsid w:val="009523A1"/>
    <w:rsid w:val="009540E7"/>
    <w:rsid w:val="00954353"/>
    <w:rsid w:val="009655B2"/>
    <w:rsid w:val="00984451"/>
    <w:rsid w:val="00995C05"/>
    <w:rsid w:val="009C69AD"/>
    <w:rsid w:val="009D4FC0"/>
    <w:rsid w:val="00A20ECE"/>
    <w:rsid w:val="00A45274"/>
    <w:rsid w:val="00A53915"/>
    <w:rsid w:val="00A81DC3"/>
    <w:rsid w:val="00AE73EE"/>
    <w:rsid w:val="00AE76B3"/>
    <w:rsid w:val="00B24001"/>
    <w:rsid w:val="00B25C76"/>
    <w:rsid w:val="00B4377F"/>
    <w:rsid w:val="00B536F5"/>
    <w:rsid w:val="00BB2696"/>
    <w:rsid w:val="00BB647A"/>
    <w:rsid w:val="00BF6E39"/>
    <w:rsid w:val="00C22078"/>
    <w:rsid w:val="00C31C35"/>
    <w:rsid w:val="00C4339A"/>
    <w:rsid w:val="00C534BD"/>
    <w:rsid w:val="00C6102C"/>
    <w:rsid w:val="00C61B49"/>
    <w:rsid w:val="00C70427"/>
    <w:rsid w:val="00C76AA9"/>
    <w:rsid w:val="00C832FF"/>
    <w:rsid w:val="00C97E6B"/>
    <w:rsid w:val="00CB3A6E"/>
    <w:rsid w:val="00CE0434"/>
    <w:rsid w:val="00D16519"/>
    <w:rsid w:val="00D20033"/>
    <w:rsid w:val="00D276F4"/>
    <w:rsid w:val="00D6249F"/>
    <w:rsid w:val="00D63CC0"/>
    <w:rsid w:val="00D8540F"/>
    <w:rsid w:val="00DA0137"/>
    <w:rsid w:val="00DD2A26"/>
    <w:rsid w:val="00E343DB"/>
    <w:rsid w:val="00E44EBA"/>
    <w:rsid w:val="00E573AA"/>
    <w:rsid w:val="00E60C51"/>
    <w:rsid w:val="00E72DD1"/>
    <w:rsid w:val="00EE255A"/>
    <w:rsid w:val="00EE783A"/>
    <w:rsid w:val="00F32CB9"/>
    <w:rsid w:val="00F63E8E"/>
    <w:rsid w:val="00F70ED3"/>
    <w:rsid w:val="00FA0ED9"/>
    <w:rsid w:val="00FB6A2B"/>
    <w:rsid w:val="00FE4937"/>
    <w:rsid w:val="661E2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EC7E"/>
  <w15:docId w15:val="{A0041C3A-F8BD-4FD7-9B23-B91EABBC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70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7077"/>
    <w:rPr>
      <w:rFonts w:ascii="Verdana" w:hAnsi="Verdana"/>
      <w:color w:val="000000"/>
      <w:sz w:val="18"/>
      <w:szCs w:val="18"/>
    </w:rPr>
  </w:style>
  <w:style w:type="paragraph" w:styleId="Voettekst">
    <w:name w:val="footer"/>
    <w:basedOn w:val="Standaard"/>
    <w:link w:val="VoettekstChar"/>
    <w:uiPriority w:val="99"/>
    <w:unhideWhenUsed/>
    <w:rsid w:val="001F70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7077"/>
    <w:rPr>
      <w:rFonts w:ascii="Verdana" w:hAnsi="Verdana"/>
      <w:color w:val="000000"/>
      <w:sz w:val="18"/>
      <w:szCs w:val="18"/>
    </w:rPr>
  </w:style>
  <w:style w:type="table" w:customStyle="1" w:styleId="NormalTable0">
    <w:name w:val="Normal Table0"/>
    <w:uiPriority w:val="2"/>
    <w:semiHidden/>
    <w:qFormat/>
    <w:rsid w:val="001F7077"/>
    <w:pPr>
      <w:widowControl w:val="0"/>
      <w:autoSpaceDE w:val="0"/>
      <w:textAlignment w:val="auto"/>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styleId="Lijstalinea">
    <w:name w:val="List Paragraph"/>
    <w:basedOn w:val="Standaard"/>
    <w:uiPriority w:val="34"/>
    <w:rsid w:val="001F7077"/>
    <w:pPr>
      <w:ind w:left="720"/>
      <w:contextualSpacing/>
    </w:pPr>
  </w:style>
  <w:style w:type="paragraph" w:styleId="Revisie">
    <w:name w:val="Revision"/>
    <w:hidden/>
    <w:uiPriority w:val="99"/>
    <w:semiHidden/>
    <w:rsid w:val="00CE043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4377F"/>
    <w:rPr>
      <w:sz w:val="16"/>
      <w:szCs w:val="16"/>
    </w:rPr>
  </w:style>
  <w:style w:type="paragraph" w:styleId="Tekstopmerking">
    <w:name w:val="annotation text"/>
    <w:basedOn w:val="Standaard"/>
    <w:link w:val="TekstopmerkingChar"/>
    <w:uiPriority w:val="99"/>
    <w:unhideWhenUsed/>
    <w:rsid w:val="00B4377F"/>
    <w:pPr>
      <w:spacing w:line="240" w:lineRule="auto"/>
    </w:pPr>
    <w:rPr>
      <w:sz w:val="20"/>
      <w:szCs w:val="20"/>
    </w:rPr>
  </w:style>
  <w:style w:type="character" w:customStyle="1" w:styleId="TekstopmerkingChar">
    <w:name w:val="Tekst opmerking Char"/>
    <w:basedOn w:val="Standaardalinea-lettertype"/>
    <w:link w:val="Tekstopmerking"/>
    <w:uiPriority w:val="99"/>
    <w:rsid w:val="00B437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4377F"/>
    <w:rPr>
      <w:b/>
      <w:bCs/>
    </w:rPr>
  </w:style>
  <w:style w:type="character" w:customStyle="1" w:styleId="OnderwerpvanopmerkingChar">
    <w:name w:val="Onderwerp van opmerking Char"/>
    <w:basedOn w:val="TekstopmerkingChar"/>
    <w:link w:val="Onderwerpvanopmerking"/>
    <w:uiPriority w:val="99"/>
    <w:semiHidden/>
    <w:rsid w:val="00B4377F"/>
    <w:rPr>
      <w:rFonts w:ascii="Verdana" w:hAnsi="Verdana"/>
      <w:b/>
      <w:bCs/>
      <w:color w:val="000000"/>
    </w:rPr>
  </w:style>
  <w:style w:type="character" w:customStyle="1" w:styleId="cf01">
    <w:name w:val="cf01"/>
    <w:basedOn w:val="Standaardalinea-lettertype"/>
    <w:rsid w:val="003B0D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86730">
      <w:bodyDiv w:val="1"/>
      <w:marLeft w:val="0"/>
      <w:marRight w:val="0"/>
      <w:marTop w:val="0"/>
      <w:marBottom w:val="0"/>
      <w:divBdr>
        <w:top w:val="none" w:sz="0" w:space="0" w:color="auto"/>
        <w:left w:val="none" w:sz="0" w:space="0" w:color="auto"/>
        <w:bottom w:val="none" w:sz="0" w:space="0" w:color="auto"/>
        <w:right w:val="none" w:sz="0" w:space="0" w:color="auto"/>
      </w:divBdr>
    </w:div>
    <w:div w:id="193751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4887</ap:Words>
  <ap:Characters>26882</ap:Characters>
  <ap:DocSecurity>0</ap:DocSecurity>
  <ap:Lines>224</ap:Lines>
  <ap:Paragraphs>63</ap:Paragraphs>
  <ap:ScaleCrop>false</ap:ScaleCrop>
  <ap:HeadingPairs>
    <vt:vector baseType="variant" size="2">
      <vt:variant>
        <vt:lpstr>Titel</vt:lpstr>
      </vt:variant>
      <vt:variant>
        <vt:i4>1</vt:i4>
      </vt:variant>
    </vt:vector>
  </ap:HeadingPairs>
  <ap:TitlesOfParts>
    <vt:vector baseType="lpstr" size="1">
      <vt:lpstr>Brief aan Parlement - Beleidsvoorstellen uit de Ontwerpbegrotingen 2025 van H4 en H7 met CW 3.1. kaders</vt:lpstr>
    </vt:vector>
  </ap:TitlesOfParts>
  <ap:LinksUpToDate>false</ap:LinksUpToDate>
  <ap:CharactersWithSpaces>31706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2024-10-10T11:58:00.0000000Z</lastPrinted>
  <dcterms:created xsi:type="dcterms:W3CDTF">2024-10-10T13:11:00.0000000Z</dcterms:created>
  <dcterms:modified xsi:type="dcterms:W3CDTF">2024-10-17T09:46:00.0000000Z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Beleidsvoorstellen uit de Ontwerpbegrotingen 2025 van H4 en H7 met CW 3.1. kaders</vt:lpwstr>
  </property>
  <property fmtid="{D5CDD505-2E9C-101B-9397-08002B2CF9AE}" pid="5" name="Publicatiedatum">
    <vt:lpwstr/>
  </property>
  <property fmtid="{D5CDD505-2E9C-101B-9397-08002B2CF9AE}" pid="6" name="Verantwoordelijke organisatie">
    <vt:lpwstr>MM-Financieel-Economische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11 september 2024</vt:lpwstr>
  </property>
  <property fmtid="{D5CDD505-2E9C-101B-9397-08002B2CF9AE}" pid="13" name="Opgesteld door, Naam">
    <vt:lpwstr>Maarten van der Sloot</vt:lpwstr>
  </property>
  <property fmtid="{D5CDD505-2E9C-101B-9397-08002B2CF9AE}" pid="14" name="Opgesteld door, Telefoonnummer">
    <vt:lpwstr/>
  </property>
  <property fmtid="{D5CDD505-2E9C-101B-9397-08002B2CF9AE}" pid="15" name="Kenmerk">
    <vt:lpwstr>2024-0000830463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Beleidsvoorstellen uit de Ontwerpbegrotingen 2025 van H4 en H7 met CW 3.1. kaders</vt:lpwstr>
  </property>
  <property fmtid="{D5CDD505-2E9C-101B-9397-08002B2CF9AE}" pid="30" name="MSIP_Label_f5339f15-c483-4670-87f9-f365ba551dce_Enabled">
    <vt:lpwstr>true</vt:lpwstr>
  </property>
  <property fmtid="{D5CDD505-2E9C-101B-9397-08002B2CF9AE}" pid="31" name="MSIP_Label_f5339f15-c483-4670-87f9-f365ba551dce_SetDate">
    <vt:lpwstr>2024-10-09T08:31:34Z</vt:lpwstr>
  </property>
  <property fmtid="{D5CDD505-2E9C-101B-9397-08002B2CF9AE}" pid="32" name="MSIP_Label_f5339f15-c483-4670-87f9-f365ba551dce_Method">
    <vt:lpwstr>Standard</vt:lpwstr>
  </property>
  <property fmtid="{D5CDD505-2E9C-101B-9397-08002B2CF9AE}" pid="33" name="MSIP_Label_f5339f15-c483-4670-87f9-f365ba551dce_Name">
    <vt:lpwstr>FIN-IRF-Dep. V.</vt:lpwstr>
  </property>
  <property fmtid="{D5CDD505-2E9C-101B-9397-08002B2CF9AE}" pid="34" name="MSIP_Label_f5339f15-c483-4670-87f9-f365ba551dce_SiteId">
    <vt:lpwstr>84712536-f524-40a0-913b-5d25ba502732</vt:lpwstr>
  </property>
  <property fmtid="{D5CDD505-2E9C-101B-9397-08002B2CF9AE}" pid="35" name="MSIP_Label_f5339f15-c483-4670-87f9-f365ba551dce_ActionId">
    <vt:lpwstr>e7437a72-18fa-46e6-b0f3-1390c410c79c</vt:lpwstr>
  </property>
  <property fmtid="{D5CDD505-2E9C-101B-9397-08002B2CF9AE}" pid="36" name="MSIP_Label_f5339f15-c483-4670-87f9-f365ba551dce_ContentBits">
    <vt:lpwstr>0</vt:lpwstr>
  </property>
</Properties>
</file>