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D9" w:rsidRDefault="00076FD9" w14:paraId="67C00BE8" w14:textId="0903AFD2">
      <w:bookmarkStart w:name="_GoBack" w:id="0"/>
      <w:bookmarkEnd w:id="0"/>
      <w:r>
        <w:t xml:space="preserve">Hierbij bied ik u de </w:t>
      </w:r>
      <w:r w:rsidRPr="00076FD9">
        <w:t>antwoorden aan o</w:t>
      </w:r>
      <w:r>
        <w:t xml:space="preserve">p de schriftelijke vragen </w:t>
      </w:r>
      <w:r w:rsidRPr="00FF6A91" w:rsidR="00DB2021">
        <w:rPr>
          <w:rFonts w:eastAsia="DejaVuSerifCondensed" w:cs="DejaVuSerifCondensed"/>
        </w:rPr>
        <w:t>van het lid Ceder (ChristenUnie) over de uitspraken van de</w:t>
      </w:r>
      <w:r w:rsidR="00DB2021">
        <w:rPr>
          <w:rFonts w:eastAsia="DejaVuSerifCondensed" w:cs="DejaVuSerifCondensed"/>
        </w:rPr>
        <w:t xml:space="preserve"> </w:t>
      </w:r>
      <w:r w:rsidRPr="00FF6A91" w:rsidR="00DB2021">
        <w:rPr>
          <w:rFonts w:eastAsia="DejaVuSerifCondensed" w:cs="DejaVuSerifCondensed"/>
        </w:rPr>
        <w:t>minister over de zaak ‘Mikael’ en het ingenomen standpunt.</w:t>
      </w:r>
    </w:p>
    <w:p w:rsidR="00076FD9" w:rsidRDefault="00076FD9" w14:paraId="03FAEEEC" w14:textId="77777777"/>
    <w:p w:rsidRPr="00DB2021" w:rsidR="00967D49" w:rsidP="00DB2021" w:rsidRDefault="00076FD9" w14:paraId="1AED4CB2" w14:textId="60662D9D">
      <w:pPr>
        <w:autoSpaceDE w:val="0"/>
        <w:adjustRightInd w:val="0"/>
        <w:spacing w:line="240" w:lineRule="auto"/>
        <w:rPr>
          <w:rFonts w:eastAsia="DejaVuSerifCondensed-Bold" w:cs="DejaVuSerifCondensed-Bold"/>
          <w:b/>
          <w:bCs/>
        </w:rPr>
      </w:pPr>
      <w:r>
        <w:t xml:space="preserve">Deze vragen werden ingezonden op </w:t>
      </w:r>
      <w:r w:rsidR="00DB2021">
        <w:t>16</w:t>
      </w:r>
      <w:r>
        <w:t xml:space="preserve"> augustus 2024 met kenmerk </w:t>
      </w:r>
      <w:r w:rsidRPr="00DB2021" w:rsidR="00DB2021">
        <w:rPr>
          <w:rFonts w:eastAsia="DejaVuSerifCondensed-Bold" w:cs="DejaVuSerifCondensed-Bold"/>
        </w:rPr>
        <w:t>2024Z12413</w:t>
      </w:r>
      <w:r>
        <w:t>.</w:t>
      </w:r>
    </w:p>
    <w:p w:rsidR="00967D49" w:rsidRDefault="00967D49" w14:paraId="1CA40B21" w14:textId="77777777"/>
    <w:p w:rsidR="00967D49" w:rsidRDefault="00967D49" w14:paraId="5C4BA8E2" w14:textId="77777777"/>
    <w:p w:rsidR="00967D49" w:rsidRDefault="00076FD9" w14:paraId="17A7F0DC" w14:textId="77777777">
      <w:r>
        <w:t>De Minister van Asiel en Migratie,</w:t>
      </w:r>
    </w:p>
    <w:p w:rsidR="00967D49" w:rsidRDefault="00967D49" w14:paraId="20CFE5E4" w14:textId="77777777"/>
    <w:p w:rsidR="00076FD9" w:rsidRDefault="00076FD9" w14:paraId="52484090" w14:textId="77777777"/>
    <w:p w:rsidR="00076FD9" w:rsidRDefault="00076FD9" w14:paraId="449DE2F2" w14:textId="77777777"/>
    <w:p w:rsidR="00967D49" w:rsidRDefault="00967D49" w14:paraId="62B3179E" w14:textId="77777777"/>
    <w:p w:rsidR="00967D49" w:rsidRDefault="00076FD9" w14:paraId="0B9E06A8" w14:textId="5317E154">
      <w:r>
        <w:t>M.H.M. Faber</w:t>
      </w:r>
      <w:r w:rsidR="00DB2021">
        <w:t xml:space="preserve"> – </w:t>
      </w:r>
      <w:r w:rsidR="00AB6A45">
        <w:t>V</w:t>
      </w:r>
      <w:r w:rsidR="00DB2021">
        <w:t>an de Klashorst</w:t>
      </w:r>
    </w:p>
    <w:p w:rsidR="00076FD9" w:rsidRDefault="00076FD9" w14:paraId="1361420F" w14:textId="77777777"/>
    <w:p w:rsidR="00076FD9" w:rsidRDefault="00076FD9" w14:paraId="69B83C3E" w14:textId="77777777"/>
    <w:p w:rsidR="00076FD9" w:rsidRDefault="00076FD9" w14:paraId="0967A3CF" w14:textId="77777777"/>
    <w:p w:rsidR="00076FD9" w:rsidRDefault="00076FD9" w14:paraId="7A732CFD" w14:textId="77777777"/>
    <w:p w:rsidR="00076FD9" w:rsidRDefault="00076FD9" w14:paraId="0C860914" w14:textId="77777777"/>
    <w:p w:rsidR="00076FD9" w:rsidRDefault="00076FD9" w14:paraId="479509E4" w14:textId="77777777"/>
    <w:p w:rsidR="00076FD9" w:rsidRDefault="00076FD9" w14:paraId="67DDDDE7" w14:textId="77777777"/>
    <w:p w:rsidR="00076FD9" w:rsidRDefault="00076FD9" w14:paraId="489508CA" w14:textId="77777777"/>
    <w:p w:rsidR="00076FD9" w:rsidRDefault="00076FD9" w14:paraId="5A705C75" w14:textId="77777777"/>
    <w:p w:rsidR="00076FD9" w:rsidRDefault="00076FD9" w14:paraId="14B0D6AA" w14:textId="77777777"/>
    <w:p w:rsidR="00076FD9" w:rsidRDefault="00076FD9" w14:paraId="1CE4E707" w14:textId="77777777"/>
    <w:p w:rsidR="00076FD9" w:rsidRDefault="00076FD9" w14:paraId="021B419F" w14:textId="77777777"/>
    <w:p w:rsidR="00076FD9" w:rsidRDefault="00076FD9" w14:paraId="26AE8205" w14:textId="77777777"/>
    <w:p w:rsidR="00076FD9" w:rsidRDefault="00076FD9" w14:paraId="24ED7B2C" w14:textId="77777777"/>
    <w:p w:rsidR="00076FD9" w:rsidRDefault="00076FD9" w14:paraId="6A3E9C38" w14:textId="77777777"/>
    <w:p w:rsidR="00076FD9" w:rsidRDefault="00076FD9" w14:paraId="2655E512" w14:textId="77777777"/>
    <w:p w:rsidR="00076FD9" w:rsidRDefault="00076FD9" w14:paraId="17BE40F4" w14:textId="77777777"/>
    <w:p w:rsidR="00076FD9" w:rsidRDefault="00076FD9" w14:paraId="29A8D6CA" w14:textId="77777777"/>
    <w:p w:rsidR="00076FD9" w:rsidRDefault="00076FD9" w14:paraId="65AE27F7" w14:textId="77777777"/>
    <w:p w:rsidR="00076FD9" w:rsidRDefault="00076FD9" w14:paraId="655ED1A8" w14:textId="77777777"/>
    <w:p w:rsidR="00076FD9" w:rsidRDefault="00076FD9" w14:paraId="265364A6" w14:textId="77777777"/>
    <w:p w:rsidR="00076FD9" w:rsidRDefault="00076FD9" w14:paraId="5121731F" w14:textId="77777777"/>
    <w:p w:rsidR="00076FD9" w:rsidRDefault="00076FD9" w14:paraId="3B564648" w14:textId="77777777"/>
    <w:p w:rsidR="00076FD9" w:rsidRDefault="00076FD9" w14:paraId="77241848" w14:textId="77777777"/>
    <w:p w:rsidR="00076FD9" w:rsidRDefault="00076FD9" w14:paraId="10B078DE" w14:textId="77777777"/>
    <w:p w:rsidR="00076FD9" w:rsidRDefault="00076FD9" w14:paraId="37ECE95E" w14:textId="7818271E">
      <w:pPr>
        <w:spacing w:line="240" w:lineRule="auto"/>
      </w:pPr>
    </w:p>
    <w:p w:rsidRPr="00B67154" w:rsidR="00DB2021" w:rsidP="00AB6A45" w:rsidRDefault="00DB2021" w14:paraId="308FC8E3" w14:textId="5C97B72A">
      <w:pPr>
        <w:pBdr>
          <w:bottom w:val="single" w:color="auto" w:sz="4" w:space="1"/>
        </w:pBdr>
        <w:autoSpaceDE w:val="0"/>
        <w:adjustRightInd w:val="0"/>
        <w:spacing w:line="240" w:lineRule="auto"/>
        <w:rPr>
          <w:rFonts w:eastAsia="DejaVuSerifCondensed" w:cs="DejaVuSerifCondensed"/>
          <w:b/>
          <w:bCs/>
        </w:rPr>
      </w:pPr>
      <w:r w:rsidRPr="00B67154">
        <w:rPr>
          <w:rFonts w:eastAsia="DejaVuSerifCondensed" w:cs="DejaVuSerifCondensed"/>
          <w:b/>
          <w:bCs/>
        </w:rPr>
        <w:lastRenderedPageBreak/>
        <w:t xml:space="preserve">Vragen van het lid Ceder (ChristenUnie) aan de minister van Asiel en Migratie over de uitspraken van de minister over de zaak ‘Mikael’ en het </w:t>
      </w:r>
      <w:r w:rsidRPr="00AB6A45">
        <w:rPr>
          <w:rFonts w:eastAsia="DejaVuSerifCondensed" w:cs="DejaVuSerifCondensed"/>
          <w:b/>
          <w:bCs/>
        </w:rPr>
        <w:t>ingenomen standpunt</w:t>
      </w:r>
      <w:r w:rsidRPr="00AB6A45" w:rsidR="00AB6A45">
        <w:rPr>
          <w:rFonts w:eastAsia="DejaVuSerifCondensed" w:cs="DejaVuSerifCondensed"/>
          <w:b/>
          <w:bCs/>
        </w:rPr>
        <w:br/>
        <w:t xml:space="preserve">(ingezonden 16 augustus 2024, </w:t>
      </w:r>
      <w:r w:rsidRPr="00AB6A45" w:rsidR="00AB6A45">
        <w:rPr>
          <w:rFonts w:eastAsia="DejaVuSerifCondensed-Bold" w:cs="DejaVuSerifCondensed-Bold"/>
          <w:b/>
          <w:bCs/>
        </w:rPr>
        <w:t>2024Z12413</w:t>
      </w:r>
      <w:r w:rsidRPr="00AB6A45" w:rsidR="00AB6A45">
        <w:rPr>
          <w:rFonts w:eastAsia="DejaVuSerifCondensed" w:cs="DejaVuSerifCondensed"/>
          <w:b/>
          <w:bCs/>
        </w:rPr>
        <w:t>)</w:t>
      </w:r>
    </w:p>
    <w:p w:rsidR="00DB2021" w:rsidP="00DB2021" w:rsidRDefault="00DB2021" w14:paraId="171A8449" w14:textId="77777777">
      <w:pPr>
        <w:autoSpaceDE w:val="0"/>
        <w:adjustRightInd w:val="0"/>
        <w:spacing w:line="240" w:lineRule="auto"/>
        <w:rPr>
          <w:rFonts w:eastAsia="DejaVuSerifCondensed" w:cs="DejaVuSerifCondensed"/>
          <w:b/>
          <w:bCs/>
        </w:rPr>
      </w:pPr>
    </w:p>
    <w:p w:rsidRPr="00B67154" w:rsidR="00AB6A45" w:rsidP="00DB2021" w:rsidRDefault="00AB6A45" w14:paraId="6ED97F2C" w14:textId="77777777">
      <w:pPr>
        <w:autoSpaceDE w:val="0"/>
        <w:adjustRightInd w:val="0"/>
        <w:spacing w:line="240" w:lineRule="auto"/>
        <w:rPr>
          <w:rFonts w:eastAsia="DejaVuSerifCondensed" w:cs="DejaVuSerifCondensed"/>
          <w:b/>
          <w:bCs/>
        </w:rPr>
      </w:pPr>
    </w:p>
    <w:p w:rsidRPr="00BF76B9" w:rsidR="00BF76B9" w:rsidP="00845C2D" w:rsidRDefault="00BF76B9" w14:paraId="6BB40CC2" w14:textId="5D97A26B">
      <w:pPr>
        <w:autoSpaceDE w:val="0"/>
        <w:rPr>
          <w:b/>
          <w:bCs/>
        </w:rPr>
      </w:pPr>
      <w:r w:rsidRPr="00BF76B9">
        <w:rPr>
          <w:b/>
          <w:bCs/>
        </w:rPr>
        <w:t xml:space="preserve">Vraag </w:t>
      </w:r>
      <w:r w:rsidRPr="00BF76B9" w:rsidR="00845C2D">
        <w:rPr>
          <w:b/>
          <w:bCs/>
        </w:rPr>
        <w:t>1</w:t>
      </w:r>
    </w:p>
    <w:p w:rsidRPr="00BF76B9" w:rsidR="00845C2D" w:rsidP="00845C2D" w:rsidRDefault="00845C2D" w14:paraId="634E070A" w14:textId="38DF5B08">
      <w:pPr>
        <w:autoSpaceDE w:val="0"/>
        <w:rPr>
          <w:b/>
          <w:bCs/>
          <w:color w:val="0000FF"/>
        </w:rPr>
      </w:pPr>
      <w:r w:rsidRPr="00BF76B9">
        <w:rPr>
          <w:b/>
          <w:bCs/>
        </w:rPr>
        <w:t>Bent u bekend met het artikel 'Waarom krijgt de Armeense Mikael (11) geen verblijfsvergunning'?</w:t>
      </w:r>
      <w:r w:rsidRPr="00BF76B9">
        <w:rPr>
          <w:b/>
          <w:bCs/>
          <w:color w:val="0000FF"/>
        </w:rPr>
        <w:t>[1]</w:t>
      </w:r>
    </w:p>
    <w:p w:rsidRPr="00BF76B9" w:rsidR="00845C2D" w:rsidP="00845C2D" w:rsidRDefault="00845C2D" w14:paraId="4370E512" w14:textId="77777777">
      <w:pPr>
        <w:autoSpaceDE w:val="0"/>
        <w:rPr>
          <w:b/>
          <w:bCs/>
        </w:rPr>
      </w:pPr>
    </w:p>
    <w:p w:rsidRPr="00BF76B9" w:rsidR="00845C2D" w:rsidP="00845C2D" w:rsidRDefault="00845C2D" w14:paraId="679F9400" w14:textId="74F464F0">
      <w:pPr>
        <w:autoSpaceDE w:val="0"/>
        <w:rPr>
          <w:b/>
          <w:bCs/>
        </w:rPr>
      </w:pPr>
      <w:r w:rsidRPr="00BF76B9">
        <w:rPr>
          <w:b/>
          <w:bCs/>
        </w:rPr>
        <w:t>Antwoord</w:t>
      </w:r>
      <w:r w:rsidRPr="00BF76B9" w:rsidR="00BF76B9">
        <w:rPr>
          <w:b/>
          <w:bCs/>
        </w:rPr>
        <w:t xml:space="preserve"> op vraag 1</w:t>
      </w:r>
    </w:p>
    <w:p w:rsidRPr="008856D0" w:rsidR="00845C2D" w:rsidP="00845C2D" w:rsidRDefault="00845C2D" w14:paraId="6FFDBB95" w14:textId="77777777">
      <w:pPr>
        <w:autoSpaceDE w:val="0"/>
      </w:pPr>
      <w:r w:rsidRPr="008856D0">
        <w:t>Ja.</w:t>
      </w:r>
    </w:p>
    <w:p w:rsidR="00845C2D" w:rsidP="00845C2D" w:rsidRDefault="00845C2D" w14:paraId="74123F6F" w14:textId="77777777">
      <w:pPr>
        <w:autoSpaceDE w:val="0"/>
        <w:rPr>
          <w:color w:val="0000FF"/>
        </w:rPr>
      </w:pPr>
    </w:p>
    <w:p w:rsidRPr="00BF76B9" w:rsidR="00BF76B9" w:rsidP="00845C2D" w:rsidRDefault="00BF76B9" w14:paraId="7962D1DA" w14:textId="77777777">
      <w:pPr>
        <w:autoSpaceDE w:val="0"/>
        <w:rPr>
          <w:b/>
          <w:bCs/>
        </w:rPr>
      </w:pPr>
      <w:r w:rsidRPr="00BF76B9">
        <w:rPr>
          <w:b/>
          <w:bCs/>
        </w:rPr>
        <w:t>Vraag 2</w:t>
      </w:r>
    </w:p>
    <w:p w:rsidRPr="00BF76B9" w:rsidR="00845C2D" w:rsidP="00845C2D" w:rsidRDefault="00845C2D" w14:paraId="7B186C59" w14:textId="10AF9A06">
      <w:pPr>
        <w:autoSpaceDE w:val="0"/>
        <w:rPr>
          <w:b/>
          <w:bCs/>
        </w:rPr>
      </w:pPr>
      <w:r w:rsidRPr="00BF76B9">
        <w:rPr>
          <w:b/>
          <w:bCs/>
        </w:rPr>
        <w:t>Erkent u dat het ministerie via haar woordvoerder het volgende heeft gezegd: ,,Wij zijn gewoon een ordinaire beleidsmachine.”, en erkent u dat u nog wel degelijk als eindverantwoordelijke wettelijke bevoegdheden heeft om in te grijpen, ongeacht interne afspraken? Kunt u alle relevante wettelijke artikelen benoemen waaruit blijkt welke (on)bevoegdheden u nog heeft in deze zaak (en soortgelijke zaken) van Mikael?</w:t>
      </w:r>
    </w:p>
    <w:p w:rsidRPr="00BF76B9" w:rsidR="00845C2D" w:rsidP="00845C2D" w:rsidRDefault="00845C2D" w14:paraId="7301893E" w14:textId="77777777">
      <w:pPr>
        <w:autoSpaceDE w:val="0"/>
        <w:rPr>
          <w:b/>
          <w:bCs/>
        </w:rPr>
      </w:pPr>
    </w:p>
    <w:p w:rsidRPr="00BF76B9" w:rsidR="00845C2D" w:rsidP="00845C2D" w:rsidRDefault="00845C2D" w14:paraId="625E54F1" w14:textId="0C4FE631">
      <w:pPr>
        <w:autoSpaceDE w:val="0"/>
        <w:rPr>
          <w:b/>
          <w:bCs/>
        </w:rPr>
      </w:pPr>
      <w:r w:rsidRPr="00BF76B9">
        <w:rPr>
          <w:b/>
          <w:bCs/>
        </w:rPr>
        <w:t>Antwoord</w:t>
      </w:r>
      <w:r w:rsidRPr="00BF76B9" w:rsidR="00BF76B9">
        <w:rPr>
          <w:b/>
          <w:bCs/>
        </w:rPr>
        <w:t xml:space="preserve"> op vraag 2</w:t>
      </w:r>
    </w:p>
    <w:p w:rsidR="00845C2D" w:rsidP="00845C2D" w:rsidRDefault="00845C2D" w14:paraId="57ED90E5" w14:textId="27EF5B47">
      <w:pPr>
        <w:autoSpaceDE w:val="0"/>
      </w:pPr>
      <w:r>
        <w:t xml:space="preserve">Ja, in die zin bedoeld dat bij de uitvoering van de Vreemdelingenwet2000 besluiten alleen kunnen worden genomen op grond van een wettelijke grondslag.  Het staat een vreemdeling vrij om voor </w:t>
      </w:r>
      <w:r w:rsidR="008D5AD1">
        <w:t>een</w:t>
      </w:r>
      <w:r>
        <w:t xml:space="preserve"> verblijfsdoel asiel of regulier - een verblijfsvergunning aan te vragen en die zal de IND dan, namens mij, beoordelen op grond van de desbetreffende toelatingscriteria. De relevante artikelen in de Vreemdelingenwet 2000 zijn artikel 14 (verblijfsvergunning voor bepaalde tijd regulier), artikel 20 (verblijfsvergunning voor onbepaalde tijd regulier), artikel 28 (verblijfsvergunning voor bepaalde tijd asiel) en artikel 33 (verblijfsvergunning voor onbepaalde tijd asiel). </w:t>
      </w:r>
    </w:p>
    <w:p w:rsidRPr="00FD5CC5" w:rsidR="00773276" w:rsidP="00773276" w:rsidRDefault="00845C2D" w14:paraId="79FCE36E" w14:textId="3F16E773">
      <w:pPr>
        <w:autoSpaceDE w:val="0"/>
      </w:pPr>
      <w:r>
        <w:t xml:space="preserve">De verblijfsdoelen voor een verblijfsvergunning voor bepaalde tijd regulier zijn neergelegd in artikel 3.4 van het Vreemdelingenbesluit 2000 (Vb 2000), terwijl in de artikelen 3.6 tot en met 3.6c van dit Besluit de bevoegdheid geregeld is om ambtshalve een verblijfsvergunning te verlenen. Wanneer het gaat om de discretionaire bevoegdheid </w:t>
      </w:r>
      <w:r w:rsidR="008D5AD1">
        <w:t xml:space="preserve">bij schrijnende situaties </w:t>
      </w:r>
      <w:r>
        <w:t xml:space="preserve">geldt dat in artikel 3.6ba van het Vb 2000 is vastgelegd dat die alleen gedurende de eerste toelatingsprocedure kan worden toegepast en niet in vervolgprocedures. </w:t>
      </w:r>
      <w:r w:rsidR="00773276">
        <w:t>Het mandaat daartoe is op 1 mei 2019</w:t>
      </w:r>
      <w:r w:rsidR="00114742">
        <w:t xml:space="preserve"> aan </w:t>
      </w:r>
      <w:r w:rsidR="00773276">
        <w:t>dg</w:t>
      </w:r>
      <w:r w:rsidR="00114742">
        <w:t xml:space="preserve"> IND</w:t>
      </w:r>
      <w:r w:rsidR="00773276">
        <w:t xml:space="preserve"> verstrekt. Het is de nadrukkelijke intentie geweest om met de wijziging tot een ambtelijke afdoening te komen. Formeel blijft elke mandaatgever het mandaat behouden.</w:t>
      </w:r>
    </w:p>
    <w:p w:rsidR="00773276" w:rsidP="00845C2D" w:rsidRDefault="00773276" w14:paraId="7E64BEE9" w14:textId="77777777">
      <w:pPr>
        <w:autoSpaceDE w:val="0"/>
      </w:pPr>
    </w:p>
    <w:p w:rsidRPr="00BF76B9" w:rsidR="00BF76B9" w:rsidP="00845C2D" w:rsidRDefault="00BF76B9" w14:paraId="5D1B15E6" w14:textId="77777777">
      <w:pPr>
        <w:autoSpaceDE w:val="0"/>
        <w:rPr>
          <w:b/>
          <w:bCs/>
        </w:rPr>
      </w:pPr>
      <w:r w:rsidRPr="00BF76B9">
        <w:rPr>
          <w:b/>
          <w:bCs/>
        </w:rPr>
        <w:t>Vraag 3</w:t>
      </w:r>
    </w:p>
    <w:p w:rsidRPr="00BF76B9" w:rsidR="00845C2D" w:rsidP="00845C2D" w:rsidRDefault="00845C2D" w14:paraId="62ACBA3D" w14:textId="5A17C630">
      <w:pPr>
        <w:autoSpaceDE w:val="0"/>
        <w:rPr>
          <w:b/>
          <w:bCs/>
        </w:rPr>
      </w:pPr>
      <w:r w:rsidRPr="00BF76B9">
        <w:rPr>
          <w:b/>
          <w:bCs/>
        </w:rPr>
        <w:t>Indien u nog wettelijke bevoegdheden heeft op grond van wet- en regelgeving, kan de minister dan erkennen dat haar eerdere uitspraken dat dat niet mogelijk zou zijn feitelijk onjuist zijn en deze uitspraak corrigeren?</w:t>
      </w:r>
    </w:p>
    <w:p w:rsidRPr="00BF76B9" w:rsidR="00845C2D" w:rsidP="00845C2D" w:rsidRDefault="00845C2D" w14:paraId="1771A2BC" w14:textId="77777777">
      <w:pPr>
        <w:autoSpaceDE w:val="0"/>
        <w:rPr>
          <w:b/>
          <w:bCs/>
        </w:rPr>
      </w:pPr>
    </w:p>
    <w:p w:rsidRPr="00BF76B9" w:rsidR="00845C2D" w:rsidP="00845C2D" w:rsidRDefault="00845C2D" w14:paraId="3612058A" w14:textId="768CAC61">
      <w:pPr>
        <w:autoSpaceDE w:val="0"/>
        <w:rPr>
          <w:b/>
          <w:bCs/>
        </w:rPr>
      </w:pPr>
      <w:r w:rsidRPr="00BF76B9">
        <w:rPr>
          <w:b/>
          <w:bCs/>
        </w:rPr>
        <w:t>Antwoord</w:t>
      </w:r>
      <w:r w:rsidRPr="00BF76B9" w:rsidR="00BF76B9">
        <w:rPr>
          <w:b/>
          <w:bCs/>
        </w:rPr>
        <w:t xml:space="preserve"> op vraag 3</w:t>
      </w:r>
    </w:p>
    <w:p w:rsidR="00845C2D" w:rsidP="00845C2D" w:rsidRDefault="00845C2D" w14:paraId="6C6B5E5D" w14:textId="6364E1B8">
      <w:pPr>
        <w:autoSpaceDE w:val="0"/>
      </w:pPr>
      <w:r>
        <w:t xml:space="preserve">Zoals in antwoord 2 is aangegeven heb ik de wettelijke bevoegdheid om voor alle verblijfsdoelen die de Vreemdelingenregelgeving kent een verblijfsvergunning af te geven indien de aanvrager ervan aan de voorwaarden voldoen. De discretionaire bevoegdheid om </w:t>
      </w:r>
      <w:r w:rsidR="008D5AD1">
        <w:t>in</w:t>
      </w:r>
      <w:r w:rsidRPr="008D5AD1" w:rsidR="008D5AD1">
        <w:t xml:space="preserve"> schrijnende situaties</w:t>
      </w:r>
      <w:r>
        <w:t xml:space="preserve"> een verblijfsvergunning af te geven is evenwel op 1 mei 2019 beperkt tot de eerste aanvraagprocedure waarbij er dan ook sprake is van een samenstel van </w:t>
      </w:r>
      <w:r w:rsidR="008D5AD1">
        <w:t>bijzondere</w:t>
      </w:r>
      <w:r>
        <w:t xml:space="preserve"> omstandigheden</w:t>
      </w:r>
      <w:r w:rsidR="008D5AD1">
        <w:t xml:space="preserve"> die de vreemdeling betreffen</w:t>
      </w:r>
      <w:r>
        <w:t>.</w:t>
      </w:r>
      <w:r w:rsidR="00B30D40">
        <w:t xml:space="preserve"> Zoals in antwoord 2 al is aangegeven, is het mandaat daartoe op 1 mei 2019 aan de dg IND verstrekt. </w:t>
      </w:r>
    </w:p>
    <w:p w:rsidR="00845C2D" w:rsidP="00845C2D" w:rsidRDefault="00845C2D" w14:paraId="6E1010D1" w14:textId="77777777">
      <w:pPr>
        <w:autoSpaceDE w:val="0"/>
      </w:pPr>
    </w:p>
    <w:p w:rsidRPr="00BF76B9" w:rsidR="00BF76B9" w:rsidP="00845C2D" w:rsidRDefault="00BF76B9" w14:paraId="1714A5DD" w14:textId="77777777">
      <w:pPr>
        <w:autoSpaceDE w:val="0"/>
        <w:rPr>
          <w:b/>
          <w:bCs/>
        </w:rPr>
      </w:pPr>
      <w:r w:rsidRPr="00BF76B9">
        <w:rPr>
          <w:b/>
          <w:bCs/>
        </w:rPr>
        <w:t xml:space="preserve">Vraag </w:t>
      </w:r>
      <w:r w:rsidRPr="00BF76B9" w:rsidR="00845C2D">
        <w:rPr>
          <w:b/>
          <w:bCs/>
        </w:rPr>
        <w:t>4</w:t>
      </w:r>
    </w:p>
    <w:p w:rsidRPr="00BF76B9" w:rsidR="00845C2D" w:rsidP="00845C2D" w:rsidRDefault="00845C2D" w14:paraId="796205A7" w14:textId="188DE847">
      <w:pPr>
        <w:autoSpaceDE w:val="0"/>
        <w:rPr>
          <w:b/>
          <w:bCs/>
        </w:rPr>
      </w:pPr>
      <w:r w:rsidRPr="00BF76B9">
        <w:rPr>
          <w:b/>
          <w:bCs/>
        </w:rPr>
        <w:t>Hoe verhouden de uitspraken van u op X, namelijk ‘het stapelen van gerechtelijke procedures aan te pakken’, zich tot het feit dat de IND zelf in hoger beroep is gegaan en daarmee de procedure aanzienlijk heeft verlengd? Ziet u het in hoger beroep gaan van gegrond verklaarde beroepen ook als het stapelen van gerechtelijke procedures en bent u bereid om hier het beleid op aan te passen?</w:t>
      </w:r>
    </w:p>
    <w:p w:rsidRPr="00BF76B9" w:rsidR="00845C2D" w:rsidP="00845C2D" w:rsidRDefault="00845C2D" w14:paraId="407FCEE1" w14:textId="77777777">
      <w:pPr>
        <w:autoSpaceDE w:val="0"/>
        <w:rPr>
          <w:b/>
          <w:bCs/>
        </w:rPr>
      </w:pPr>
    </w:p>
    <w:p w:rsidRPr="00BF76B9" w:rsidR="00845C2D" w:rsidP="00845C2D" w:rsidRDefault="00845C2D" w14:paraId="15F6EAF5" w14:textId="668D9BEE">
      <w:pPr>
        <w:autoSpaceDE w:val="0"/>
        <w:rPr>
          <w:b/>
          <w:bCs/>
        </w:rPr>
      </w:pPr>
      <w:r w:rsidRPr="00BF76B9">
        <w:rPr>
          <w:b/>
          <w:bCs/>
        </w:rPr>
        <w:t>Antwoord</w:t>
      </w:r>
      <w:r w:rsidRPr="00BF76B9" w:rsidR="00BF76B9">
        <w:rPr>
          <w:b/>
          <w:bCs/>
        </w:rPr>
        <w:t xml:space="preserve"> op vraag 4</w:t>
      </w:r>
    </w:p>
    <w:p w:rsidR="00845C2D" w:rsidP="00845C2D" w:rsidRDefault="00845C2D" w14:paraId="3CA07C84" w14:textId="5FB07DD4">
      <w:pPr>
        <w:autoSpaceDE w:val="0"/>
      </w:pPr>
      <w:r>
        <w:t xml:space="preserve">Het in hoger beroep gaan door de IND zie ik niet als het stapelen van gerechtelijke procedures; dat laatste is aan de orde wanneer vreemdelingen ook na een eerste toelatingsprocedure die – meestal na een voor de vreemdeling negatieve rechterlijke uitspraak – nieuwe aanvraagprocedures starten </w:t>
      </w:r>
      <w:r w:rsidR="008D5AD1">
        <w:t xml:space="preserve">vaak ook daarbij </w:t>
      </w:r>
      <w:r>
        <w:t>opnieuw gebruikmak</w:t>
      </w:r>
      <w:r w:rsidR="008D5AD1">
        <w:t>end</w:t>
      </w:r>
      <w:r>
        <w:t xml:space="preserve"> van rechterlijke procedures. </w:t>
      </w:r>
    </w:p>
    <w:p w:rsidR="00845C2D" w:rsidP="00845C2D" w:rsidRDefault="00845C2D" w14:paraId="73D5B7AE" w14:textId="77777777">
      <w:pPr>
        <w:autoSpaceDE w:val="0"/>
      </w:pPr>
    </w:p>
    <w:p w:rsidRPr="00BF76B9" w:rsidR="00BF76B9" w:rsidP="00845C2D" w:rsidRDefault="00BF76B9" w14:paraId="6549FE81" w14:textId="4F1AC87C">
      <w:pPr>
        <w:autoSpaceDE w:val="0"/>
        <w:rPr>
          <w:b/>
          <w:bCs/>
        </w:rPr>
      </w:pPr>
      <w:r w:rsidRPr="00BF76B9">
        <w:rPr>
          <w:b/>
          <w:bCs/>
        </w:rPr>
        <w:t xml:space="preserve">Vraag </w:t>
      </w:r>
      <w:r w:rsidRPr="00BF76B9" w:rsidR="00845C2D">
        <w:rPr>
          <w:b/>
          <w:bCs/>
        </w:rPr>
        <w:t>5</w:t>
      </w:r>
    </w:p>
    <w:p w:rsidRPr="00BF76B9" w:rsidR="00845C2D" w:rsidP="00845C2D" w:rsidRDefault="00845C2D" w14:paraId="68F48558" w14:textId="61A3D5B2">
      <w:pPr>
        <w:autoSpaceDE w:val="0"/>
        <w:rPr>
          <w:b/>
          <w:bCs/>
        </w:rPr>
      </w:pPr>
      <w:r w:rsidRPr="00BF76B9">
        <w:rPr>
          <w:b/>
          <w:bCs/>
        </w:rPr>
        <w:t>Waarom heeft u in de zaak van Mikael het standpunt ingenomen dat hij en zijn moeder (ruim) voor de beëindiging van hun verblijfsprocedure in augustus 2016 de opvang van het COA hebben verlaten zonder opgave van een nieuw adres en dat daarom de ruimere termijn van drie jaar en drie maanden op hun geval niet van toepassing is, terwijl in twee andere zaken (AWB 21/935 van 14 januari 2022 en AWB 20/9342 van 12 mei 2022) waarin die gezinnen eveneens zelf de opvang van het COA verlaten hebben voor het einde van hun verblijfsprocedure na een positieve uitspraak een verblijfsvergunning is verleend en daarmee door u is erkend dat de buitenbeeldtermijn van drie jaar en drie maanden in dergelijke zaken wordt toegepast?</w:t>
      </w:r>
    </w:p>
    <w:p w:rsidRPr="00BF76B9" w:rsidR="00845C2D" w:rsidP="00845C2D" w:rsidRDefault="00845C2D" w14:paraId="7ED05311" w14:textId="3CDE6EA2">
      <w:pPr>
        <w:autoSpaceDE w:val="0"/>
        <w:rPr>
          <w:b/>
          <w:bCs/>
        </w:rPr>
      </w:pPr>
    </w:p>
    <w:p w:rsidRPr="00BF76B9" w:rsidR="00BF76B9" w:rsidP="00845C2D" w:rsidRDefault="00BF76B9" w14:paraId="58B71451" w14:textId="77777777">
      <w:pPr>
        <w:autoSpaceDE w:val="0"/>
        <w:rPr>
          <w:b/>
          <w:bCs/>
        </w:rPr>
      </w:pPr>
      <w:r w:rsidRPr="00BF76B9">
        <w:rPr>
          <w:b/>
          <w:bCs/>
        </w:rPr>
        <w:t xml:space="preserve">Vraag </w:t>
      </w:r>
      <w:r w:rsidRPr="00BF76B9" w:rsidR="00845C2D">
        <w:rPr>
          <w:b/>
          <w:bCs/>
        </w:rPr>
        <w:t>6</w:t>
      </w:r>
    </w:p>
    <w:p w:rsidRPr="00BF76B9" w:rsidR="00845C2D" w:rsidP="00845C2D" w:rsidRDefault="00845C2D" w14:paraId="190FBEEB" w14:textId="29450AAB">
      <w:pPr>
        <w:autoSpaceDE w:val="0"/>
        <w:rPr>
          <w:b/>
          <w:bCs/>
        </w:rPr>
      </w:pPr>
      <w:r w:rsidRPr="00BF76B9">
        <w:rPr>
          <w:b/>
          <w:bCs/>
        </w:rPr>
        <w:t>Waarom is de ruimere buitenbeeldtermijn van drie jaar en drie maanden niet consequent toegepast, gelet op het feit dat die eerder wel is gehanteerd naar aanleiding van de uitspraak in de zaak AWB 21/935 (zie rechtsoverweging 15) en AWB 20/9342 (zie rechtsoverweging 10) en niet naar aanleiding van de uitspraak in de zaak van Mikael die dezelfde strekking heeft, (AWB 20/9641 (zie rechtsoverweging 13)?</w:t>
      </w:r>
    </w:p>
    <w:p w:rsidRPr="00BF76B9" w:rsidR="00845C2D" w:rsidP="00845C2D" w:rsidRDefault="00845C2D" w14:paraId="2B549412" w14:textId="77777777">
      <w:pPr>
        <w:autoSpaceDE w:val="0"/>
        <w:rPr>
          <w:b/>
          <w:bCs/>
        </w:rPr>
      </w:pPr>
    </w:p>
    <w:p w:rsidRPr="00BF76B9" w:rsidR="00BF76B9" w:rsidP="00845C2D" w:rsidRDefault="00BF76B9" w14:paraId="6FD918CE" w14:textId="77777777">
      <w:pPr>
        <w:autoSpaceDE w:val="0"/>
        <w:rPr>
          <w:b/>
          <w:bCs/>
        </w:rPr>
      </w:pPr>
      <w:r w:rsidRPr="00BF76B9">
        <w:rPr>
          <w:b/>
          <w:bCs/>
        </w:rPr>
        <w:t xml:space="preserve">Vraag </w:t>
      </w:r>
      <w:r w:rsidRPr="00BF76B9" w:rsidR="00845C2D">
        <w:rPr>
          <w:b/>
          <w:bCs/>
        </w:rPr>
        <w:t>7</w:t>
      </w:r>
    </w:p>
    <w:p w:rsidRPr="00BF76B9" w:rsidR="00845C2D" w:rsidP="00845C2D" w:rsidRDefault="00845C2D" w14:paraId="66C12D9C" w14:textId="76998B59">
      <w:pPr>
        <w:autoSpaceDE w:val="0"/>
        <w:rPr>
          <w:b/>
          <w:bCs/>
        </w:rPr>
      </w:pPr>
      <w:r w:rsidRPr="00BF76B9">
        <w:rPr>
          <w:b/>
          <w:bCs/>
        </w:rPr>
        <w:t>Is er een juridisch relevant verschil tussen de zaak van Mikael en de twee hier genoemde gevallen? Zo ja, kunt u uitleggen welk verschil dit is en waarom dit verschil rechtens relevant is?</w:t>
      </w:r>
    </w:p>
    <w:p w:rsidRPr="00BF76B9" w:rsidR="00845C2D" w:rsidP="00845C2D" w:rsidRDefault="00845C2D" w14:paraId="1BFFA6EB" w14:textId="77777777">
      <w:pPr>
        <w:autoSpaceDE w:val="0"/>
        <w:rPr>
          <w:b/>
          <w:bCs/>
        </w:rPr>
      </w:pPr>
    </w:p>
    <w:p w:rsidRPr="00BF76B9" w:rsidR="00BF76B9" w:rsidP="00845C2D" w:rsidRDefault="00BF76B9" w14:paraId="32A4FEE5" w14:textId="77777777">
      <w:pPr>
        <w:autoSpaceDE w:val="0"/>
        <w:rPr>
          <w:b/>
          <w:bCs/>
        </w:rPr>
      </w:pPr>
      <w:r w:rsidRPr="00BF76B9">
        <w:rPr>
          <w:b/>
          <w:bCs/>
        </w:rPr>
        <w:t xml:space="preserve">Vraag </w:t>
      </w:r>
      <w:r w:rsidRPr="00BF76B9" w:rsidR="00845C2D">
        <w:rPr>
          <w:b/>
          <w:bCs/>
        </w:rPr>
        <w:t>8</w:t>
      </w:r>
    </w:p>
    <w:p w:rsidRPr="00BF76B9" w:rsidR="00845C2D" w:rsidP="00845C2D" w:rsidRDefault="00845C2D" w14:paraId="1C9799AD" w14:textId="0C7F614E">
      <w:pPr>
        <w:autoSpaceDE w:val="0"/>
        <w:rPr>
          <w:b/>
          <w:bCs/>
        </w:rPr>
      </w:pPr>
      <w:r w:rsidRPr="00BF76B9">
        <w:rPr>
          <w:b/>
          <w:bCs/>
        </w:rPr>
        <w:t>Indien het antwoord op vraag 7 nee is, hoe verantwoordt u het feit dat er in gevallen waarvan de juridische omstandigheden gelijk zijn in het ene geval wel een vergunning is verleend en in het</w:t>
      </w:r>
      <w:r w:rsidRPr="00BF76B9" w:rsidR="00BF76B9">
        <w:rPr>
          <w:b/>
          <w:bCs/>
        </w:rPr>
        <w:t xml:space="preserve"> </w:t>
      </w:r>
      <w:r w:rsidRPr="00BF76B9">
        <w:rPr>
          <w:b/>
          <w:bCs/>
        </w:rPr>
        <w:t>andere geval niet?</w:t>
      </w:r>
    </w:p>
    <w:p w:rsidRPr="00BF76B9" w:rsidR="00845C2D" w:rsidP="00845C2D" w:rsidRDefault="00845C2D" w14:paraId="7EEF5637" w14:textId="77777777">
      <w:pPr>
        <w:autoSpaceDE w:val="0"/>
        <w:rPr>
          <w:b/>
          <w:bCs/>
        </w:rPr>
      </w:pPr>
    </w:p>
    <w:p w:rsidRPr="00E87019" w:rsidR="00845C2D" w:rsidP="00693B96" w:rsidRDefault="00845C2D" w14:paraId="1CB0481F" w14:textId="7C69AC11">
      <w:pPr>
        <w:autoSpaceDE w:val="0"/>
      </w:pPr>
      <w:r w:rsidRPr="00BF76B9">
        <w:rPr>
          <w:b/>
          <w:bCs/>
        </w:rPr>
        <w:t xml:space="preserve">Antwoord </w:t>
      </w:r>
      <w:r w:rsidRPr="00BF76B9" w:rsidR="00BF76B9">
        <w:rPr>
          <w:b/>
          <w:bCs/>
        </w:rPr>
        <w:t xml:space="preserve">op vragen </w:t>
      </w:r>
      <w:r w:rsidRPr="00BF76B9">
        <w:rPr>
          <w:b/>
          <w:bCs/>
        </w:rPr>
        <w:t>5, 6, 7 en 8</w:t>
      </w:r>
      <w:r w:rsidR="00693B96">
        <w:rPr>
          <w:b/>
          <w:bCs/>
        </w:rPr>
        <w:br/>
      </w:r>
      <w:r w:rsidRPr="009B0A32">
        <w:t xml:space="preserve">Zoals bekend </w:t>
      </w:r>
      <w:r w:rsidR="008D5AD1">
        <w:t>ga</w:t>
      </w:r>
      <w:r w:rsidRPr="009B0A32">
        <w:t xml:space="preserve"> ik niet in op individuele gevallen. Elke individuele aanvraag wordt op eigen merites, op basis van het gehele dossier, getoetst aan het algemeen geldende kader. Voor nadere toelichting op de toepassing van de termijn van (drie jaar en) drie maanden verwijs ik u naar de brief van de staatssecretaris van Veiligheid en Justitie aan uw Kamer van 27 maart 2015.</w:t>
      </w:r>
      <w:r w:rsidRPr="009B0A32">
        <w:rPr>
          <w:rStyle w:val="Voetnootmarkering"/>
        </w:rPr>
        <w:footnoteReference w:id="1"/>
      </w:r>
      <w:r w:rsidRPr="009B0A32">
        <w:t xml:space="preserve"> De Afdeling Bestuursrechtspraak van de Raad van State heeft de toepassing van deze Kamerbrief onder meer beoordeeld in de uitspraak van 31 juli 2024 (ECLI:NL:RVS:2024:3109). </w:t>
      </w:r>
      <w:r w:rsidRPr="00E87019">
        <w:t>De Afdeling gaat in deze uitspraak onder meer in op het gelijkheidsbeginsel in relatie tot eerdere zaken, waarin deze termijn aan de orde was.</w:t>
      </w:r>
    </w:p>
    <w:p w:rsidR="00845C2D" w:rsidP="00845C2D" w:rsidRDefault="00845C2D" w14:paraId="31CB871C" w14:textId="77777777"/>
    <w:p w:rsidRPr="00BF76B9" w:rsidR="00BF76B9" w:rsidP="00845C2D" w:rsidRDefault="00BF76B9" w14:paraId="032C9FAC" w14:textId="77777777">
      <w:pPr>
        <w:autoSpaceDE w:val="0"/>
        <w:rPr>
          <w:b/>
          <w:bCs/>
        </w:rPr>
      </w:pPr>
      <w:r w:rsidRPr="00BF76B9">
        <w:rPr>
          <w:b/>
          <w:bCs/>
        </w:rPr>
        <w:t xml:space="preserve">Vraag </w:t>
      </w:r>
      <w:r w:rsidRPr="00BF76B9" w:rsidR="00845C2D">
        <w:rPr>
          <w:b/>
          <w:bCs/>
        </w:rPr>
        <w:t>9</w:t>
      </w:r>
      <w:r w:rsidRPr="00BF76B9">
        <w:rPr>
          <w:b/>
          <w:bCs/>
        </w:rPr>
        <w:t xml:space="preserve"> </w:t>
      </w:r>
    </w:p>
    <w:p w:rsidRPr="00BF76B9" w:rsidR="00845C2D" w:rsidP="00845C2D" w:rsidRDefault="00845C2D" w14:paraId="5BD80886" w14:textId="271C4916">
      <w:pPr>
        <w:autoSpaceDE w:val="0"/>
        <w:rPr>
          <w:b/>
          <w:bCs/>
        </w:rPr>
      </w:pPr>
      <w:r w:rsidRPr="00BF76B9">
        <w:rPr>
          <w:b/>
          <w:bCs/>
        </w:rPr>
        <w:t>In hoeveel zaken onder de Afsluitingsregeling staat in de procedure de vraag ter discussie of er</w:t>
      </w:r>
      <w:r w:rsidRPr="00BF76B9" w:rsidR="008D5AD1">
        <w:rPr>
          <w:b/>
          <w:bCs/>
        </w:rPr>
        <w:t xml:space="preserve"> </w:t>
      </w:r>
      <w:r w:rsidRPr="00BF76B9">
        <w:rPr>
          <w:b/>
          <w:bCs/>
        </w:rPr>
        <w:t>toepassing moet worden gegeven aan de ruimere buitenbeeldtermijn van drie jaar en drie maanden, zoals bedoeld in de Kamerbrief van 27 maart 2015?</w:t>
      </w:r>
    </w:p>
    <w:p w:rsidRPr="00BF76B9" w:rsidR="00845C2D" w:rsidP="00845C2D" w:rsidRDefault="00845C2D" w14:paraId="09CBF65E" w14:textId="77777777">
      <w:pPr>
        <w:autoSpaceDE w:val="0"/>
        <w:rPr>
          <w:b/>
          <w:bCs/>
        </w:rPr>
      </w:pPr>
    </w:p>
    <w:p w:rsidRPr="00BF76B9" w:rsidR="00845C2D" w:rsidP="00845C2D" w:rsidRDefault="00845C2D" w14:paraId="70B72706" w14:textId="6F841FF4">
      <w:pPr>
        <w:autoSpaceDE w:val="0"/>
        <w:rPr>
          <w:b/>
          <w:bCs/>
        </w:rPr>
      </w:pPr>
      <w:r w:rsidRPr="00BF76B9">
        <w:rPr>
          <w:b/>
          <w:bCs/>
        </w:rPr>
        <w:t>Antwoord</w:t>
      </w:r>
      <w:r w:rsidRPr="00BF76B9" w:rsidR="00BF76B9">
        <w:rPr>
          <w:b/>
          <w:bCs/>
        </w:rPr>
        <w:t xml:space="preserve"> op vraag 9</w:t>
      </w:r>
    </w:p>
    <w:p w:rsidRPr="00D976DD" w:rsidR="00845C2D" w:rsidP="00845C2D" w:rsidRDefault="00845C2D" w14:paraId="3D60F7D5" w14:textId="77777777">
      <w:pPr>
        <w:autoSpaceDE w:val="0"/>
      </w:pPr>
      <w:r w:rsidRPr="00D976DD">
        <w:t>De door u gevraagde cijfers zijn niet te genereren uit het datawarehouse (Metis) van de IND. Dit betekent dat door u gevraagde gegevens niet kunnen worden geleverd.</w:t>
      </w:r>
    </w:p>
    <w:p w:rsidR="00845C2D" w:rsidP="00845C2D" w:rsidRDefault="00845C2D" w14:paraId="42532127" w14:textId="77777777">
      <w:pPr>
        <w:autoSpaceDE w:val="0"/>
      </w:pPr>
    </w:p>
    <w:p w:rsidRPr="00BF76B9" w:rsidR="00BF76B9" w:rsidP="00845C2D" w:rsidRDefault="00BF76B9" w14:paraId="37D27F9C" w14:textId="77777777">
      <w:pPr>
        <w:autoSpaceDE w:val="0"/>
        <w:rPr>
          <w:b/>
          <w:bCs/>
        </w:rPr>
      </w:pPr>
      <w:r w:rsidRPr="00BF76B9">
        <w:rPr>
          <w:b/>
          <w:bCs/>
        </w:rPr>
        <w:t xml:space="preserve">Vraag </w:t>
      </w:r>
      <w:r w:rsidRPr="00BF76B9" w:rsidR="00845C2D">
        <w:rPr>
          <w:b/>
          <w:bCs/>
        </w:rPr>
        <w:t>10</w:t>
      </w:r>
    </w:p>
    <w:p w:rsidRPr="00BF76B9" w:rsidR="00845C2D" w:rsidP="00845C2D" w:rsidRDefault="00845C2D" w14:paraId="0A2BAD4A" w14:textId="2C4D9825">
      <w:pPr>
        <w:autoSpaceDE w:val="0"/>
        <w:rPr>
          <w:b/>
          <w:bCs/>
        </w:rPr>
      </w:pPr>
      <w:r w:rsidRPr="00BF76B9">
        <w:rPr>
          <w:b/>
          <w:bCs/>
        </w:rPr>
        <w:t>Deelt u de mening dat een kind niet verantwoordelijk kan worden gehouden, laat staan bestraft, voor de daden van de ouders, zoals ook volgt uit artikel 2, tweede lid, van het Internationaal Verdrag inzake de Rechten van het Kind (IVRK)? Zo nee, waarom niet? Zo ja, wordt het verstrijken van het buitenbeeldtermijn Mikael dan persoonlijk toegerekend? Kunt u aangeven of de Rijksoverheid ten aanzien van het IVRK onderscheid maakt tussen kinderen met legaal verblijf in Nederland en kinderen zonder legaal verblijf en waarom? Kunt u ook aangeven hoelang het ministerie die onderscheid tussen deze twee categorie kinderen blijft maken en waarom deze afweging is gemaakt?</w:t>
      </w:r>
    </w:p>
    <w:p w:rsidRPr="00BF76B9" w:rsidR="00845C2D" w:rsidP="00845C2D" w:rsidRDefault="00845C2D" w14:paraId="48A3945F" w14:textId="77777777">
      <w:pPr>
        <w:autoSpaceDE w:val="0"/>
        <w:rPr>
          <w:b/>
          <w:bCs/>
        </w:rPr>
      </w:pPr>
    </w:p>
    <w:p w:rsidRPr="00BF76B9" w:rsidR="00845C2D" w:rsidP="00845C2D" w:rsidRDefault="00845C2D" w14:paraId="348C01FA" w14:textId="06E9588E">
      <w:pPr>
        <w:autoSpaceDE w:val="0"/>
        <w:rPr>
          <w:b/>
          <w:bCs/>
        </w:rPr>
      </w:pPr>
      <w:r w:rsidRPr="00BF76B9">
        <w:rPr>
          <w:b/>
          <w:bCs/>
        </w:rPr>
        <w:t>Antwoord</w:t>
      </w:r>
      <w:r w:rsidRPr="00BF76B9" w:rsidR="00BF76B9">
        <w:rPr>
          <w:b/>
          <w:bCs/>
        </w:rPr>
        <w:t xml:space="preserve"> op vraag 10</w:t>
      </w:r>
    </w:p>
    <w:p w:rsidR="00845C2D" w:rsidP="00845C2D" w:rsidRDefault="00845C2D" w14:paraId="7A34A3D7" w14:textId="49C5E54E">
      <w:r w:rsidRPr="00FF0BF0">
        <w:t xml:space="preserve">Ik ben met u eens dat kinderen niet verantwoordelijk zijn voor de daden van hun ouders en niet bestraft mogen worden voor de daden van hun ouders. Zoals ook blijkt uit artikel 2 van het IVRK moeten kinderen </w:t>
      </w:r>
      <w:r>
        <w:t>beschermd</w:t>
      </w:r>
      <w:r w:rsidRPr="00FF0BF0">
        <w:t xml:space="preserve"> worden tegen discriminatie en bestraffing op grond van de omstandigheden of de activiteiten van, de meningen geuit door of de overtuigingen van de ouders, wettelijke voogden of familieleden. </w:t>
      </w:r>
      <w:r w:rsidR="00AC3000">
        <w:t>B</w:t>
      </w:r>
      <w:r w:rsidRPr="00FF0BF0">
        <w:t xml:space="preserve">estraffing </w:t>
      </w:r>
      <w:r w:rsidR="00AC3000">
        <w:t xml:space="preserve">of discriminatie </w:t>
      </w:r>
      <w:r w:rsidRPr="00FF0BF0">
        <w:t>van kinderen</w:t>
      </w:r>
      <w:r w:rsidR="00AC3000">
        <w:t xml:space="preserve"> in die zin van dat artikel is niet aan de orde wanneer het gaat om het toetsen aan democratisch tot stand gekomen</w:t>
      </w:r>
      <w:r w:rsidRPr="00AC3000" w:rsidR="00AC3000">
        <w:t xml:space="preserve"> voorwaarden</w:t>
      </w:r>
      <w:r w:rsidR="00AC3000">
        <w:t>. Dat de afwijzing gevolgen heeft voor een kind, maakt dat niet anders.</w:t>
      </w:r>
      <w:r w:rsidRPr="00FF0BF0">
        <w:t xml:space="preserve"> Ik wil </w:t>
      </w:r>
      <w:r>
        <w:t>daarbij nog</w:t>
      </w:r>
      <w:r w:rsidRPr="00FF0BF0">
        <w:t xml:space="preserve"> benadrukken dat het de ouders zijn die in de eerste plaats verantwoordelijk zijn om de belangen van hun kinderen te behartigen. Dit uitgangspunt blijkt ook uit artikel 18 van het IVRK, waarin staat dat ouders (of wettelijke voogden) de eerste verantwoordelijkheid hebben voor de opvoeding en ontwikkeling van het kind.</w:t>
      </w:r>
    </w:p>
    <w:p w:rsidR="00845C2D" w:rsidP="00845C2D" w:rsidRDefault="00845C2D" w14:paraId="507E6F02" w14:textId="77777777">
      <w:r>
        <w:t xml:space="preserve">Het IVRK geldt ten aanzien van alle </w:t>
      </w:r>
      <w:r w:rsidRPr="00FF0BF0">
        <w:t>kinderen die zich binnen de Nederlandse rechtsbevoegdheid bevinden (artikel 2, eerste lid IVRK). De Rijksoverheid maakt geen onderscheid op basis van verblijfstatus.</w:t>
      </w:r>
    </w:p>
    <w:p w:rsidRPr="00462804" w:rsidR="00845C2D" w:rsidP="00845C2D" w:rsidRDefault="00845C2D" w14:paraId="1D757BF7" w14:textId="77777777">
      <w:r>
        <w:t xml:space="preserve"> </w:t>
      </w:r>
    </w:p>
    <w:p w:rsidRPr="00BF76B9" w:rsidR="00BF76B9" w:rsidP="00845C2D" w:rsidRDefault="00BF76B9" w14:paraId="425C8D4E" w14:textId="77777777">
      <w:pPr>
        <w:autoSpaceDE w:val="0"/>
        <w:rPr>
          <w:b/>
          <w:bCs/>
        </w:rPr>
      </w:pPr>
      <w:r w:rsidRPr="00BF76B9">
        <w:rPr>
          <w:b/>
          <w:bCs/>
        </w:rPr>
        <w:t xml:space="preserve">Vraag </w:t>
      </w:r>
      <w:r w:rsidRPr="00BF76B9" w:rsidR="00845C2D">
        <w:rPr>
          <w:b/>
          <w:bCs/>
        </w:rPr>
        <w:t>11</w:t>
      </w:r>
    </w:p>
    <w:p w:rsidRPr="00BF76B9" w:rsidR="00845C2D" w:rsidP="00845C2D" w:rsidRDefault="00845C2D" w14:paraId="187EE9EC" w14:textId="19C4FB5F">
      <w:pPr>
        <w:autoSpaceDE w:val="0"/>
        <w:rPr>
          <w:b/>
          <w:bCs/>
        </w:rPr>
      </w:pPr>
      <w:r w:rsidRPr="00BF76B9">
        <w:rPr>
          <w:b/>
          <w:bCs/>
        </w:rPr>
        <w:t>Wanneer ontstaat er volgens u een dusdanige vorm van (sociale) ‘worteling’ waarbij het niet meer verantwoord is om een kind uit te zetten? Welk beoordelingskader hanteert de IND hiervoor? Indien er geen concreet beoordelingskader is, bent u dan bereid hier door onafhankelijke experts</w:t>
      </w:r>
      <w:r w:rsidRPr="00BF76B9" w:rsidR="00BF76B9">
        <w:rPr>
          <w:b/>
          <w:bCs/>
        </w:rPr>
        <w:t xml:space="preserve"> </w:t>
      </w:r>
      <w:r w:rsidRPr="00BF76B9">
        <w:rPr>
          <w:b/>
          <w:bCs/>
        </w:rPr>
        <w:t>onafhankelijk onderzoek naar te laten doen en daarbij niet alleen de juridische, maar ook de</w:t>
      </w:r>
      <w:r w:rsidRPr="00BF76B9" w:rsidR="00AC3000">
        <w:rPr>
          <w:b/>
          <w:bCs/>
        </w:rPr>
        <w:t xml:space="preserve"> </w:t>
      </w:r>
      <w:r w:rsidRPr="00BF76B9">
        <w:rPr>
          <w:b/>
          <w:bCs/>
        </w:rPr>
        <w:t>sociologische, pedagogische en psychologische effecten in samenhang mee te nemen en de uitkomst hiervan te gebruiken voor het beoordelingskader van de IND? Kan hiervoor in voorkomende gevallen gebruik worden gemaakt van de expertise van de Raad voor de Kinderbescherming (RvdK) nu de samenwerking tussen IND, Dienst Terugkeer en Vertrek (DT&amp;V) en de RvdK is geïntensiveerd?</w:t>
      </w:r>
    </w:p>
    <w:p w:rsidRPr="00BF76B9" w:rsidR="00845C2D" w:rsidP="00845C2D" w:rsidRDefault="00845C2D" w14:paraId="57E0D0E3" w14:textId="77777777">
      <w:pPr>
        <w:autoSpaceDE w:val="0"/>
        <w:rPr>
          <w:b/>
          <w:bCs/>
        </w:rPr>
      </w:pPr>
    </w:p>
    <w:p w:rsidRPr="00BF76B9" w:rsidR="00845C2D" w:rsidP="00845C2D" w:rsidRDefault="00845C2D" w14:paraId="197134A6" w14:textId="262D93BF">
      <w:pPr>
        <w:autoSpaceDE w:val="0"/>
        <w:rPr>
          <w:b/>
          <w:bCs/>
        </w:rPr>
      </w:pPr>
      <w:r w:rsidRPr="00BF76B9">
        <w:rPr>
          <w:b/>
          <w:bCs/>
        </w:rPr>
        <w:t>Antwoord</w:t>
      </w:r>
      <w:r w:rsidRPr="00BF76B9" w:rsidR="00BF76B9">
        <w:rPr>
          <w:b/>
          <w:bCs/>
        </w:rPr>
        <w:t xml:space="preserve"> op vraag 11</w:t>
      </w:r>
    </w:p>
    <w:p w:rsidR="00845C2D" w:rsidP="00845C2D" w:rsidRDefault="00845C2D" w14:paraId="26FD7F46" w14:textId="77777777">
      <w:r w:rsidRPr="00763AF6">
        <w:rPr>
          <w:rFonts w:eastAsia="DejaVuSerifCondensed" w:cs="DejaVuSerifCondensed"/>
        </w:rPr>
        <w:t xml:space="preserve">Door langdurig verblijf in Nederland zal ontegenzeggelijk in meer of mindere mate worteling plaatsvinden. Langdurig verblijf of worteling is op zichzelf echter onvoldoende grond om verblijf te verlenen. </w:t>
      </w:r>
      <w:r>
        <w:rPr>
          <w:rFonts w:eastAsia="DejaVuSerifCondensed" w:cs="DejaVuSerifCondensed"/>
        </w:rPr>
        <w:t xml:space="preserve">Indien er geen verblijfsrecht kan worden verleend op grond van de Afsluitingsregeling wordt aanvullend getoetst of de verblijfsweigering in strijd is met artikel 8 EVRM. </w:t>
      </w:r>
      <w:r w:rsidRPr="00FF0BF0">
        <w:t xml:space="preserve">De toets aan artikel 8 EVRM omvat een afweging van alle aangevoerde omstandigheden van het </w:t>
      </w:r>
      <w:r w:rsidRPr="002649C1">
        <w:t>individuele geval. Ook het hebben van een sociaal netwerk</w:t>
      </w:r>
      <w:r>
        <w:t>, het belang van het kind</w:t>
      </w:r>
      <w:r>
        <w:rPr>
          <w:rStyle w:val="Voetnootmarkering"/>
        </w:rPr>
        <w:footnoteReference w:id="2"/>
      </w:r>
      <w:r>
        <w:t xml:space="preserve"> en de mate van worteling in Nederland</w:t>
      </w:r>
      <w:r w:rsidRPr="002649C1">
        <w:t xml:space="preserve"> wordt hierbij betrokken. Het gaat om een optelsom van meerdere aspecten die het privéleven vormen, niet om één factor als hoe groot het sociaal netwerk is. Het hebben van een privéleven betekent echter niet direct dat een vergunning op grond van 8 EVRM wordt afgegeven, dat wordt bepaald na de belangenafweging. Deze</w:t>
      </w:r>
      <w:r w:rsidRPr="00FF0BF0">
        <w:t xml:space="preserve"> omstandigheid wordt dus meegewogen in de afweging van belangen van die van het individu tegen die van de Staat.</w:t>
      </w:r>
      <w:r>
        <w:t xml:space="preserve"> </w:t>
      </w:r>
    </w:p>
    <w:p w:rsidR="00845C2D" w:rsidP="00845C2D" w:rsidRDefault="00845C2D" w14:paraId="66087865" w14:textId="77777777">
      <w:r>
        <w:t>De IND weegt de belangen en maakt deze weging inzichtelijk in het besluit. Indien er beroep wordt ingesteld toetst de rechter of de IND zich voldoende rekenschap heeft gegeven van de belangen van het kind in de betreffende zaak en beoordeelt de rechter of de IND in de motivering van de beschikking op kenbare wijze het belang van het kind heeft betrokken.</w:t>
      </w:r>
    </w:p>
    <w:p w:rsidRPr="00763AF6" w:rsidR="00845C2D" w:rsidP="00845C2D" w:rsidRDefault="00845C2D" w14:paraId="6DFF9DF8" w14:textId="77777777">
      <w:pPr>
        <w:autoSpaceDE w:val="0"/>
        <w:rPr>
          <w:rFonts w:eastAsia="DejaVuSerifCondensed" w:cs="DejaVuSerifCondensed"/>
        </w:rPr>
      </w:pPr>
    </w:p>
    <w:p w:rsidRPr="00763AF6" w:rsidR="00845C2D" w:rsidP="00845C2D" w:rsidRDefault="00845C2D" w14:paraId="025C26CA" w14:textId="77777777">
      <w:pPr>
        <w:autoSpaceDE w:val="0"/>
        <w:rPr>
          <w:rFonts w:eastAsia="DejaVuSerifCondensed" w:cs="DejaVuSerifCondensed"/>
        </w:rPr>
      </w:pPr>
      <w:r w:rsidRPr="00763AF6">
        <w:rPr>
          <w:rFonts w:eastAsia="DejaVuSerifCondensed" w:cs="DejaVuSerifCondensed"/>
        </w:rPr>
        <w:t>Uitgangspunt is dat de ouders verantwoordelijk zijn voor het behartigen van de belangen van hun kinderen. Normaliter kan die behartiging van belangen door de ouders plaatsvinden, ook buiten Nederland. Uit artikel 3 IVRK volgt dat het belang van het kind een eerste overweging dient te zijn bij alle maatregelen die kinderen betreffen. Dit artikel sluit echter niet uit dat andere zwaarwegende belangen kunnen prevaleren. Er dient een afweging plaats te vinden tussen het belang van het kind en andere belangen, waarbij deugdelijk gemotiveerd moet worden waarom een belang doorslaggevend is.</w:t>
      </w:r>
    </w:p>
    <w:p w:rsidRPr="00763AF6" w:rsidR="00845C2D" w:rsidP="00845C2D" w:rsidRDefault="00845C2D" w14:paraId="2448B1E1" w14:textId="77777777">
      <w:pPr>
        <w:autoSpaceDE w:val="0"/>
        <w:rPr>
          <w:rFonts w:eastAsia="DejaVuSerifCondensed" w:cs="DejaVuSerifCondensed"/>
        </w:rPr>
      </w:pPr>
    </w:p>
    <w:p w:rsidRPr="00763AF6" w:rsidR="00845C2D" w:rsidP="00845C2D" w:rsidRDefault="00845C2D" w14:paraId="13DCDBCF" w14:textId="77777777">
      <w:pPr>
        <w:autoSpaceDE w:val="0"/>
        <w:rPr>
          <w:rFonts w:eastAsia="DejaVuSerifCondensed" w:cs="DejaVuSerifCondensed"/>
        </w:rPr>
      </w:pPr>
      <w:r w:rsidRPr="00763AF6">
        <w:rPr>
          <w:rFonts w:eastAsia="DejaVuSerifCondensed" w:cs="DejaVuSerifCondensed"/>
        </w:rPr>
        <w:t xml:space="preserve">In de toetsing aan artikel 8 EVRM wordt uitvoering gegeven aan het uitgangspunt van artikel 3 IVRK. Het belang van het kind is dus, zowel in asielprocedures als in reguliere toelatingsprocedures, onderdeel van de belangenafweging in het kader van artikel 8 EVRM. </w:t>
      </w:r>
    </w:p>
    <w:p w:rsidRPr="00763AF6" w:rsidR="00845C2D" w:rsidP="00845C2D" w:rsidRDefault="00845C2D" w14:paraId="1AE9613A" w14:textId="77777777">
      <w:pPr>
        <w:autoSpaceDE w:val="0"/>
        <w:rPr>
          <w:rFonts w:eastAsia="DejaVuSerifCondensed" w:cs="DejaVuSerifCondensed"/>
        </w:rPr>
      </w:pPr>
    </w:p>
    <w:p w:rsidRPr="0073691A" w:rsidR="00845C2D" w:rsidP="00845C2D" w:rsidRDefault="00845C2D" w14:paraId="0643BD6C" w14:textId="77777777">
      <w:pPr>
        <w:autoSpaceDE w:val="0"/>
      </w:pPr>
      <w:r w:rsidRPr="00AE664B">
        <w:t>In het algemeen beoordeelt de IND een verblijfsaanvraag en het verblijfsrecht op basis van de door de vreemdeling (ouder, wettelijk vertegenwoordiger, advocaat) aangeleverde informatie.</w:t>
      </w:r>
      <w:r>
        <w:t xml:space="preserve"> </w:t>
      </w:r>
      <w:r w:rsidRPr="00AE664B">
        <w:t>Als daaruit blijkt dat een kind mogelijk in zijn ontwikkeling wordt bedreigd of dat de situatie van het kind onduidelijk blijft, kan een dergelijke casus worden voorgelegd aan het team Belang van het Kind van de IND waarbinnen ook een gedragsdeskundige werkzaam is. Eventueel kan dergelijke casus ook worden besproken binnen het Samenwerkingsverband Kinderen in het Vreemdelingenbeleid (SKIV). Dit overleg dient dan om het belang van het kind scherper te kunnen duiden en mee te nemen in de verblijfsrechtelijke beslissing.</w:t>
      </w:r>
    </w:p>
    <w:p w:rsidR="00845C2D" w:rsidP="00845C2D" w:rsidRDefault="00845C2D" w14:paraId="6FC6996B" w14:textId="77777777">
      <w:pPr>
        <w:autoSpaceDE w:val="0"/>
      </w:pPr>
    </w:p>
    <w:p w:rsidRPr="00BF76B9" w:rsidR="00BF76B9" w:rsidP="00845C2D" w:rsidRDefault="00BF76B9" w14:paraId="0A5B318C" w14:textId="79B036BC">
      <w:pPr>
        <w:autoSpaceDE w:val="0"/>
        <w:rPr>
          <w:b/>
          <w:bCs/>
        </w:rPr>
      </w:pPr>
      <w:r w:rsidRPr="00BF76B9">
        <w:rPr>
          <w:b/>
          <w:bCs/>
        </w:rPr>
        <w:t xml:space="preserve">Vraag </w:t>
      </w:r>
      <w:r w:rsidRPr="00BF76B9" w:rsidR="00845C2D">
        <w:rPr>
          <w:b/>
          <w:bCs/>
        </w:rPr>
        <w:t>12</w:t>
      </w:r>
    </w:p>
    <w:p w:rsidRPr="00BF76B9" w:rsidR="00845C2D" w:rsidP="00845C2D" w:rsidRDefault="00845C2D" w14:paraId="30F89F20" w14:textId="1E5051B4">
      <w:pPr>
        <w:autoSpaceDE w:val="0"/>
        <w:rPr>
          <w:b/>
          <w:bCs/>
        </w:rPr>
      </w:pPr>
      <w:r w:rsidRPr="00BF76B9">
        <w:rPr>
          <w:b/>
          <w:bCs/>
        </w:rPr>
        <w:t>Indien u in antwoord op vraag 2 aangeeft dat er wel degelijk wettelijke bevoegdheden zijn waar u als eindverantwoordelijke op kan acteren, bent u bereid deze in te zetten? Zo nee, waarom niet?</w:t>
      </w:r>
    </w:p>
    <w:p w:rsidRPr="00BF76B9" w:rsidR="00845C2D" w:rsidP="00845C2D" w:rsidRDefault="00845C2D" w14:paraId="4CFD4ED7" w14:textId="77777777">
      <w:pPr>
        <w:autoSpaceDE w:val="0"/>
        <w:rPr>
          <w:b/>
          <w:bCs/>
        </w:rPr>
      </w:pPr>
    </w:p>
    <w:p w:rsidRPr="00BF76B9" w:rsidR="00845C2D" w:rsidP="00845C2D" w:rsidRDefault="00845C2D" w14:paraId="50A2F6B3" w14:textId="2E4C6D87">
      <w:pPr>
        <w:autoSpaceDE w:val="0"/>
        <w:rPr>
          <w:b/>
          <w:bCs/>
        </w:rPr>
      </w:pPr>
      <w:r w:rsidRPr="00BF76B9">
        <w:rPr>
          <w:b/>
          <w:bCs/>
        </w:rPr>
        <w:t>Antwoord</w:t>
      </w:r>
      <w:r w:rsidRPr="00BF76B9" w:rsidR="00BF76B9">
        <w:rPr>
          <w:b/>
          <w:bCs/>
        </w:rPr>
        <w:t xml:space="preserve"> op vraag 12</w:t>
      </w:r>
    </w:p>
    <w:p w:rsidR="00845C2D" w:rsidP="00845C2D" w:rsidRDefault="00615BAC" w14:paraId="16DF1895" w14:textId="7D4E2EDD">
      <w:pPr>
        <w:autoSpaceDE w:val="0"/>
      </w:pPr>
      <w:r>
        <w:t>D</w:t>
      </w:r>
      <w:r w:rsidR="00845C2D">
        <w:t>e Vreemdelingenwet 2000 geeft mij de bevoegdheid om op iedere aanvraag om een verblijfsvergunning te beslissen, en indien aan de wettelijke voorwaarden wordt voldaan, een verblijfsvergunning af te geven.</w:t>
      </w:r>
    </w:p>
    <w:p w:rsidR="00845C2D" w:rsidP="00845C2D" w:rsidRDefault="00693B96" w14:paraId="07BEC0A8" w14:textId="15DC518B">
      <w:pPr>
        <w:autoSpaceDE w:val="0"/>
      </w:pPr>
      <w:r>
        <w:br/>
      </w:r>
    </w:p>
    <w:p w:rsidR="00845C2D" w:rsidP="00845C2D" w:rsidRDefault="00845C2D" w14:paraId="3BF1AD2C" w14:textId="77777777">
      <w:pPr>
        <w:autoSpaceDE w:val="0"/>
      </w:pPr>
      <w:r>
        <w:rPr>
          <w:color w:val="0000FF"/>
        </w:rPr>
        <w:t xml:space="preserve">[1] </w:t>
      </w:r>
      <w:r>
        <w:t>NRC, 7 augustus</w:t>
      </w:r>
    </w:p>
    <w:p w:rsidR="00845C2D" w:rsidP="00845C2D" w:rsidRDefault="00845C2D" w14:paraId="418D370B" w14:textId="77777777">
      <w:pPr>
        <w:autoSpaceDE w:val="0"/>
        <w:rPr>
          <w:color w:val="0000FF"/>
        </w:rPr>
      </w:pPr>
      <w:r>
        <w:t xml:space="preserve">2024, </w:t>
      </w:r>
      <w:hyperlink w:history="1" r:id="rId9">
        <w:r>
          <w:rPr>
            <w:rStyle w:val="Hyperlink"/>
          </w:rPr>
          <w:t>www.nrc.nl/nieuws/2024/08/07/waarom-krijgt-de-armeense-mikael-11-geen-verblijfsvergunninga4862068?t=1723708590</w:t>
        </w:r>
      </w:hyperlink>
    </w:p>
    <w:p w:rsidR="00845C2D" w:rsidP="00845C2D" w:rsidRDefault="00845C2D" w14:paraId="61857477" w14:textId="77777777"/>
    <w:p w:rsidR="00845C2D" w:rsidP="00845C2D" w:rsidRDefault="00845C2D" w14:paraId="57D1E068" w14:textId="77777777"/>
    <w:p w:rsidR="00967D49" w:rsidP="00DD568C" w:rsidRDefault="00967D49" w14:paraId="5B023EA1" w14:textId="77777777">
      <w:pPr>
        <w:autoSpaceDE w:val="0"/>
        <w:adjustRightInd w:val="0"/>
        <w:spacing w:line="240" w:lineRule="auto"/>
      </w:pPr>
    </w:p>
    <w:sectPr w:rsidR="00967D49">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AC801" w14:textId="77777777" w:rsidR="00845A6A" w:rsidRDefault="00845A6A">
      <w:pPr>
        <w:spacing w:line="240" w:lineRule="auto"/>
      </w:pPr>
      <w:r>
        <w:separator/>
      </w:r>
    </w:p>
  </w:endnote>
  <w:endnote w:type="continuationSeparator" w:id="0">
    <w:p w14:paraId="29111047" w14:textId="77777777" w:rsidR="00845A6A" w:rsidRDefault="00845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MS Gothic"/>
    <w:charset w:val="00"/>
    <w:family w:val="auto"/>
    <w:pitch w:val="default"/>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6E7E" w14:textId="77777777" w:rsidR="00967D49" w:rsidRDefault="00967D4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682A" w14:textId="77777777" w:rsidR="00845A6A" w:rsidRDefault="00845A6A">
      <w:pPr>
        <w:spacing w:line="240" w:lineRule="auto"/>
      </w:pPr>
      <w:r>
        <w:separator/>
      </w:r>
    </w:p>
  </w:footnote>
  <w:footnote w:type="continuationSeparator" w:id="0">
    <w:p w14:paraId="12443F14" w14:textId="77777777" w:rsidR="00845A6A" w:rsidRDefault="00845A6A">
      <w:pPr>
        <w:spacing w:line="240" w:lineRule="auto"/>
      </w:pPr>
      <w:r>
        <w:continuationSeparator/>
      </w:r>
    </w:p>
  </w:footnote>
  <w:footnote w:id="1">
    <w:p w14:paraId="299AD431" w14:textId="44D0CABF" w:rsidR="00845C2D" w:rsidRDefault="00845C2D" w:rsidP="00845C2D">
      <w:pPr>
        <w:pStyle w:val="Voetnoottekst"/>
      </w:pPr>
      <w:r>
        <w:rPr>
          <w:rStyle w:val="Voetnootmarkering"/>
        </w:rPr>
        <w:footnoteRef/>
      </w:r>
      <w:r>
        <w:t xml:space="preserve"> </w:t>
      </w:r>
      <w:r w:rsidR="00693B96">
        <w:t xml:space="preserve">Kamerstukken II 2014/15, </w:t>
      </w:r>
      <w:r w:rsidR="00693B96" w:rsidRPr="00FF7D5D">
        <w:t>19 637, nr. 1968</w:t>
      </w:r>
    </w:p>
  </w:footnote>
  <w:footnote w:id="2">
    <w:p w14:paraId="33CB308C" w14:textId="77777777" w:rsidR="00845C2D" w:rsidRDefault="00845C2D" w:rsidP="00845C2D">
      <w:pPr>
        <w:pStyle w:val="Voetnoottekst"/>
      </w:pPr>
      <w:r>
        <w:rPr>
          <w:rStyle w:val="Voetnootmarkering"/>
        </w:rPr>
        <w:footnoteRef/>
      </w:r>
      <w:r>
        <w:t xml:space="preserve"> Zie in dit verband ook </w:t>
      </w:r>
      <w:r w:rsidRPr="00AE664B">
        <w:t>IB 2022/83 Toelichting belang van het kind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9529" w14:textId="77777777" w:rsidR="00967D49" w:rsidRDefault="00076FD9">
    <w:r>
      <w:rPr>
        <w:noProof/>
      </w:rPr>
      <mc:AlternateContent>
        <mc:Choice Requires="wps">
          <w:drawing>
            <wp:anchor distT="0" distB="0" distL="0" distR="0" simplePos="0" relativeHeight="251652608" behindDoc="0" locked="1" layoutInCell="1" allowOverlap="1" wp14:anchorId="3EAAB107" wp14:editId="3556238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0C3B91" w14:textId="77777777" w:rsidR="00967D49" w:rsidRDefault="00076FD9">
                          <w:pPr>
                            <w:pStyle w:val="Referentiegegevensbold"/>
                          </w:pPr>
                          <w:r>
                            <w:t>Directoraat-Generaal Migratie</w:t>
                          </w:r>
                        </w:p>
                        <w:p w14:paraId="5E55FD72" w14:textId="77777777" w:rsidR="00967D49" w:rsidRDefault="00967D49">
                          <w:pPr>
                            <w:pStyle w:val="WitregelW2"/>
                          </w:pPr>
                        </w:p>
                        <w:p w14:paraId="23E8DB1A" w14:textId="77777777" w:rsidR="00967D49" w:rsidRDefault="00076FD9">
                          <w:pPr>
                            <w:pStyle w:val="Referentiegegevensbold"/>
                          </w:pPr>
                          <w:r>
                            <w:t>Datum</w:t>
                          </w:r>
                        </w:p>
                        <w:p w14:paraId="372A425F" w14:textId="7FDC2EEC" w:rsidR="00967D49" w:rsidRDefault="00EB4186">
                          <w:pPr>
                            <w:pStyle w:val="Referentiegegevens"/>
                          </w:pPr>
                          <w:sdt>
                            <w:sdtPr>
                              <w:id w:val="80889541"/>
                              <w:date w:fullDate="2024-10-16T00:00:00Z">
                                <w:dateFormat w:val="d MMMM yyyy"/>
                                <w:lid w:val="nl"/>
                                <w:storeMappedDataAs w:val="dateTime"/>
                                <w:calendar w:val="gregorian"/>
                              </w:date>
                            </w:sdtPr>
                            <w:sdtEndPr/>
                            <w:sdtContent>
                              <w:r w:rsidR="00AB6A45">
                                <w:t>16 oktober 2024</w:t>
                              </w:r>
                            </w:sdtContent>
                          </w:sdt>
                        </w:p>
                        <w:p w14:paraId="6B410CC0" w14:textId="77777777" w:rsidR="00967D49" w:rsidRDefault="00967D49">
                          <w:pPr>
                            <w:pStyle w:val="WitregelW1"/>
                          </w:pPr>
                        </w:p>
                        <w:p w14:paraId="39932493" w14:textId="77777777" w:rsidR="00967D49" w:rsidRDefault="00076FD9">
                          <w:pPr>
                            <w:pStyle w:val="Referentiegegevensbold"/>
                          </w:pPr>
                          <w:r>
                            <w:t>Onze referentie</w:t>
                          </w:r>
                        </w:p>
                        <w:p w14:paraId="5CEEFAEF" w14:textId="1C9AB8AE" w:rsidR="00967D49" w:rsidRDefault="00B67154">
                          <w:pPr>
                            <w:pStyle w:val="Referentiegegevens"/>
                          </w:pPr>
                          <w:r>
                            <w:t>5712330</w:t>
                          </w:r>
                        </w:p>
                      </w:txbxContent>
                    </wps:txbx>
                    <wps:bodyPr vert="horz" wrap="square" lIns="0" tIns="0" rIns="0" bIns="0" anchor="t" anchorCtr="0"/>
                  </wps:wsp>
                </a:graphicData>
              </a:graphic>
            </wp:anchor>
          </w:drawing>
        </mc:Choice>
        <mc:Fallback>
          <w:pict>
            <v:shapetype w14:anchorId="3EAAB10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60C3B91" w14:textId="77777777" w:rsidR="00967D49" w:rsidRDefault="00076FD9">
                    <w:pPr>
                      <w:pStyle w:val="Referentiegegevensbold"/>
                    </w:pPr>
                    <w:r>
                      <w:t>Directoraat-Generaal Migratie</w:t>
                    </w:r>
                  </w:p>
                  <w:p w14:paraId="5E55FD72" w14:textId="77777777" w:rsidR="00967D49" w:rsidRDefault="00967D49">
                    <w:pPr>
                      <w:pStyle w:val="WitregelW2"/>
                    </w:pPr>
                  </w:p>
                  <w:p w14:paraId="23E8DB1A" w14:textId="77777777" w:rsidR="00967D49" w:rsidRDefault="00076FD9">
                    <w:pPr>
                      <w:pStyle w:val="Referentiegegevensbold"/>
                    </w:pPr>
                    <w:r>
                      <w:t>Datum</w:t>
                    </w:r>
                  </w:p>
                  <w:p w14:paraId="372A425F" w14:textId="7FDC2EEC" w:rsidR="00967D49" w:rsidRDefault="00EB4186">
                    <w:pPr>
                      <w:pStyle w:val="Referentiegegevens"/>
                    </w:pPr>
                    <w:sdt>
                      <w:sdtPr>
                        <w:id w:val="80889541"/>
                        <w:date w:fullDate="2024-10-16T00:00:00Z">
                          <w:dateFormat w:val="d MMMM yyyy"/>
                          <w:lid w:val="nl"/>
                          <w:storeMappedDataAs w:val="dateTime"/>
                          <w:calendar w:val="gregorian"/>
                        </w:date>
                      </w:sdtPr>
                      <w:sdtEndPr/>
                      <w:sdtContent>
                        <w:r w:rsidR="00AB6A45">
                          <w:t>16 oktober 2024</w:t>
                        </w:r>
                      </w:sdtContent>
                    </w:sdt>
                  </w:p>
                  <w:p w14:paraId="6B410CC0" w14:textId="77777777" w:rsidR="00967D49" w:rsidRDefault="00967D49">
                    <w:pPr>
                      <w:pStyle w:val="WitregelW1"/>
                    </w:pPr>
                  </w:p>
                  <w:p w14:paraId="39932493" w14:textId="77777777" w:rsidR="00967D49" w:rsidRDefault="00076FD9">
                    <w:pPr>
                      <w:pStyle w:val="Referentiegegevensbold"/>
                    </w:pPr>
                    <w:r>
                      <w:t>Onze referentie</w:t>
                    </w:r>
                  </w:p>
                  <w:p w14:paraId="5CEEFAEF" w14:textId="1C9AB8AE" w:rsidR="00967D49" w:rsidRDefault="00B67154">
                    <w:pPr>
                      <w:pStyle w:val="Referentiegegevens"/>
                    </w:pPr>
                    <w:r>
                      <w:t>5712330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49CA3B1" wp14:editId="48408E0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4AB503F" w14:textId="77777777" w:rsidR="00076FD9" w:rsidRDefault="00076FD9"/>
                      </w:txbxContent>
                    </wps:txbx>
                    <wps:bodyPr vert="horz" wrap="square" lIns="0" tIns="0" rIns="0" bIns="0" anchor="t" anchorCtr="0"/>
                  </wps:wsp>
                </a:graphicData>
              </a:graphic>
            </wp:anchor>
          </w:drawing>
        </mc:Choice>
        <mc:Fallback>
          <w:pict>
            <v:shape w14:anchorId="449CA3B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4AB503F" w14:textId="77777777" w:rsidR="00076FD9" w:rsidRDefault="00076FD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946186" wp14:editId="2A6E557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96685C" w14:textId="16C19B82" w:rsidR="00967D49" w:rsidRDefault="00076FD9">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F94618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296685C" w14:textId="16C19B82" w:rsidR="00967D49" w:rsidRDefault="00076FD9">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72E5" w14:textId="77777777" w:rsidR="00967D49" w:rsidRDefault="00076FD9">
    <w:pPr>
      <w:spacing w:after="6377" w:line="14" w:lineRule="exact"/>
    </w:pPr>
    <w:r>
      <w:rPr>
        <w:noProof/>
      </w:rPr>
      <mc:AlternateContent>
        <mc:Choice Requires="wps">
          <w:drawing>
            <wp:anchor distT="0" distB="0" distL="0" distR="0" simplePos="0" relativeHeight="251655680" behindDoc="0" locked="1" layoutInCell="1" allowOverlap="1" wp14:anchorId="65D216A4" wp14:editId="47BB6BF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887353" w14:textId="77777777" w:rsidR="00076FD9" w:rsidRDefault="00076FD9">
                          <w:r>
                            <w:t xml:space="preserve">Aan de Voorzitter van de Tweede Kamer </w:t>
                          </w:r>
                        </w:p>
                        <w:p w14:paraId="41CA670A" w14:textId="2449B3EE" w:rsidR="00967D49" w:rsidRDefault="00076FD9">
                          <w:r>
                            <w:t>der Staten-Generaal</w:t>
                          </w:r>
                        </w:p>
                        <w:p w14:paraId="0CDFC3A7" w14:textId="77777777" w:rsidR="00967D49" w:rsidRDefault="00076FD9">
                          <w:r>
                            <w:t xml:space="preserve">Postbus 20018 </w:t>
                          </w:r>
                        </w:p>
                        <w:p w14:paraId="7F61890C" w14:textId="77777777" w:rsidR="00967D49" w:rsidRDefault="00076FD9">
                          <w:r>
                            <w:t>2500 EA  DEN HAAG</w:t>
                          </w:r>
                        </w:p>
                      </w:txbxContent>
                    </wps:txbx>
                    <wps:bodyPr vert="horz" wrap="square" lIns="0" tIns="0" rIns="0" bIns="0" anchor="t" anchorCtr="0"/>
                  </wps:wsp>
                </a:graphicData>
              </a:graphic>
            </wp:anchor>
          </w:drawing>
        </mc:Choice>
        <mc:Fallback>
          <w:pict>
            <v:shapetype w14:anchorId="65D216A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A887353" w14:textId="77777777" w:rsidR="00076FD9" w:rsidRDefault="00076FD9">
                    <w:r>
                      <w:t xml:space="preserve">Aan de Voorzitter van de Tweede Kamer </w:t>
                    </w:r>
                  </w:p>
                  <w:p w14:paraId="41CA670A" w14:textId="2449B3EE" w:rsidR="00967D49" w:rsidRDefault="00076FD9">
                    <w:r>
                      <w:t>der Staten-Generaal</w:t>
                    </w:r>
                  </w:p>
                  <w:p w14:paraId="0CDFC3A7" w14:textId="77777777" w:rsidR="00967D49" w:rsidRDefault="00076FD9">
                    <w:r>
                      <w:t xml:space="preserve">Postbus 20018 </w:t>
                    </w:r>
                  </w:p>
                  <w:p w14:paraId="7F61890C" w14:textId="77777777" w:rsidR="00967D49" w:rsidRDefault="00076FD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C28D8A2" wp14:editId="0727FE0C">
              <wp:simplePos x="0" y="0"/>
              <wp:positionH relativeFrom="page">
                <wp:posOffset>1009650</wp:posOffset>
              </wp:positionH>
              <wp:positionV relativeFrom="page">
                <wp:posOffset>3352800</wp:posOffset>
              </wp:positionV>
              <wp:extent cx="4787900" cy="571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67D49" w14:paraId="2033A8D6" w14:textId="77777777">
                            <w:trPr>
                              <w:trHeight w:val="240"/>
                            </w:trPr>
                            <w:tc>
                              <w:tcPr>
                                <w:tcW w:w="1140" w:type="dxa"/>
                              </w:tcPr>
                              <w:p w14:paraId="5F7E27E2" w14:textId="77777777" w:rsidR="00967D49" w:rsidRDefault="00076FD9">
                                <w:r>
                                  <w:t>Datum</w:t>
                                </w:r>
                              </w:p>
                            </w:tc>
                            <w:tc>
                              <w:tcPr>
                                <w:tcW w:w="5918" w:type="dxa"/>
                              </w:tcPr>
                              <w:p w14:paraId="05CCE32B" w14:textId="5BE7974B" w:rsidR="00967D49" w:rsidRDefault="00EB4186">
                                <w:sdt>
                                  <w:sdtPr>
                                    <w:id w:val="542721106"/>
                                    <w:date w:fullDate="2024-10-16T00:00:00Z">
                                      <w:dateFormat w:val="d MMMM yyyy"/>
                                      <w:lid w:val="nl"/>
                                      <w:storeMappedDataAs w:val="dateTime"/>
                                      <w:calendar w:val="gregorian"/>
                                    </w:date>
                                  </w:sdtPr>
                                  <w:sdtEndPr/>
                                  <w:sdtContent>
                                    <w:r w:rsidR="00AB6A45">
                                      <w:t>16 oktober</w:t>
                                    </w:r>
                                    <w:r w:rsidR="00076FD9">
                                      <w:t xml:space="preserve"> 2024</w:t>
                                    </w:r>
                                  </w:sdtContent>
                                </w:sdt>
                              </w:p>
                            </w:tc>
                          </w:tr>
                          <w:tr w:rsidR="00967D49" w14:paraId="4E6B12A2" w14:textId="77777777">
                            <w:trPr>
                              <w:trHeight w:val="240"/>
                            </w:trPr>
                            <w:tc>
                              <w:tcPr>
                                <w:tcW w:w="1140" w:type="dxa"/>
                              </w:tcPr>
                              <w:p w14:paraId="78E0E6C4" w14:textId="77777777" w:rsidR="00967D49" w:rsidRDefault="00076FD9">
                                <w:r>
                                  <w:t>Betreft</w:t>
                                </w:r>
                              </w:p>
                            </w:tc>
                            <w:tc>
                              <w:tcPr>
                                <w:tcW w:w="5918" w:type="dxa"/>
                              </w:tcPr>
                              <w:p w14:paraId="6701E2EA" w14:textId="39A8C23C" w:rsidR="00967D49" w:rsidRDefault="00076FD9">
                                <w:r>
                                  <w:t xml:space="preserve">Antwoorden Kamervragen over </w:t>
                                </w:r>
                                <w:r w:rsidR="00DB2021">
                                  <w:t>de uitspraken van de minister over de zaak Mikael en het ingenomen standpunt</w:t>
                                </w:r>
                              </w:p>
                            </w:tc>
                          </w:tr>
                          <w:tr w:rsidR="00076FD9" w14:paraId="2EA46742" w14:textId="77777777">
                            <w:trPr>
                              <w:trHeight w:val="240"/>
                            </w:trPr>
                            <w:tc>
                              <w:tcPr>
                                <w:tcW w:w="1140" w:type="dxa"/>
                              </w:tcPr>
                              <w:p w14:paraId="5F056475" w14:textId="77777777" w:rsidR="00076FD9" w:rsidRDefault="00076FD9"/>
                            </w:tc>
                            <w:tc>
                              <w:tcPr>
                                <w:tcW w:w="5918" w:type="dxa"/>
                              </w:tcPr>
                              <w:p w14:paraId="6CEBD702" w14:textId="77777777" w:rsidR="00076FD9" w:rsidRDefault="00076FD9"/>
                            </w:tc>
                          </w:tr>
                        </w:tbl>
                        <w:p w14:paraId="7CB6B2B4" w14:textId="77777777" w:rsidR="00076FD9" w:rsidRDefault="00076FD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28D8A2" id="46feebd0-aa3c-11ea-a756-beb5f67e67be" o:spid="_x0000_s1030" type="#_x0000_t202" style="position:absolute;margin-left:79.5pt;margin-top:264pt;width:377pt;height:4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67D49" w14:paraId="2033A8D6" w14:textId="77777777">
                      <w:trPr>
                        <w:trHeight w:val="240"/>
                      </w:trPr>
                      <w:tc>
                        <w:tcPr>
                          <w:tcW w:w="1140" w:type="dxa"/>
                        </w:tcPr>
                        <w:p w14:paraId="5F7E27E2" w14:textId="77777777" w:rsidR="00967D49" w:rsidRDefault="00076FD9">
                          <w:r>
                            <w:t>Datum</w:t>
                          </w:r>
                        </w:p>
                      </w:tc>
                      <w:tc>
                        <w:tcPr>
                          <w:tcW w:w="5918" w:type="dxa"/>
                        </w:tcPr>
                        <w:p w14:paraId="05CCE32B" w14:textId="5BE7974B" w:rsidR="00967D49" w:rsidRDefault="00EB4186">
                          <w:sdt>
                            <w:sdtPr>
                              <w:id w:val="542721106"/>
                              <w:date w:fullDate="2024-10-16T00:00:00Z">
                                <w:dateFormat w:val="d MMMM yyyy"/>
                                <w:lid w:val="nl"/>
                                <w:storeMappedDataAs w:val="dateTime"/>
                                <w:calendar w:val="gregorian"/>
                              </w:date>
                            </w:sdtPr>
                            <w:sdtEndPr/>
                            <w:sdtContent>
                              <w:r w:rsidR="00AB6A45">
                                <w:t>16 oktober</w:t>
                              </w:r>
                              <w:r w:rsidR="00076FD9">
                                <w:t xml:space="preserve"> 2024</w:t>
                              </w:r>
                            </w:sdtContent>
                          </w:sdt>
                        </w:p>
                      </w:tc>
                    </w:tr>
                    <w:tr w:rsidR="00967D49" w14:paraId="4E6B12A2" w14:textId="77777777">
                      <w:trPr>
                        <w:trHeight w:val="240"/>
                      </w:trPr>
                      <w:tc>
                        <w:tcPr>
                          <w:tcW w:w="1140" w:type="dxa"/>
                        </w:tcPr>
                        <w:p w14:paraId="78E0E6C4" w14:textId="77777777" w:rsidR="00967D49" w:rsidRDefault="00076FD9">
                          <w:r>
                            <w:t>Betreft</w:t>
                          </w:r>
                        </w:p>
                      </w:tc>
                      <w:tc>
                        <w:tcPr>
                          <w:tcW w:w="5918" w:type="dxa"/>
                        </w:tcPr>
                        <w:p w14:paraId="6701E2EA" w14:textId="39A8C23C" w:rsidR="00967D49" w:rsidRDefault="00076FD9">
                          <w:r>
                            <w:t xml:space="preserve">Antwoorden Kamervragen over </w:t>
                          </w:r>
                          <w:r w:rsidR="00DB2021">
                            <w:t>de uitspraken van de minister over de zaak Mikael en het ingenomen standpunt</w:t>
                          </w:r>
                        </w:p>
                      </w:tc>
                    </w:tr>
                    <w:tr w:rsidR="00076FD9" w14:paraId="2EA46742" w14:textId="77777777">
                      <w:trPr>
                        <w:trHeight w:val="240"/>
                      </w:trPr>
                      <w:tc>
                        <w:tcPr>
                          <w:tcW w:w="1140" w:type="dxa"/>
                        </w:tcPr>
                        <w:p w14:paraId="5F056475" w14:textId="77777777" w:rsidR="00076FD9" w:rsidRDefault="00076FD9"/>
                      </w:tc>
                      <w:tc>
                        <w:tcPr>
                          <w:tcW w:w="5918" w:type="dxa"/>
                        </w:tcPr>
                        <w:p w14:paraId="6CEBD702" w14:textId="77777777" w:rsidR="00076FD9" w:rsidRDefault="00076FD9"/>
                      </w:tc>
                    </w:tr>
                  </w:tbl>
                  <w:p w14:paraId="7CB6B2B4" w14:textId="77777777" w:rsidR="00076FD9" w:rsidRDefault="00076FD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091E1C" wp14:editId="71D4F1A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C2813A" w14:textId="77777777" w:rsidR="00967D49" w:rsidRDefault="00076FD9">
                          <w:pPr>
                            <w:pStyle w:val="Referentiegegevensbold"/>
                          </w:pPr>
                          <w:r>
                            <w:t>Directoraat-Generaal Migratie</w:t>
                          </w:r>
                        </w:p>
                        <w:p w14:paraId="57E43E9F" w14:textId="77777777" w:rsidR="00967D49" w:rsidRDefault="00967D49">
                          <w:pPr>
                            <w:pStyle w:val="WitregelW1"/>
                          </w:pPr>
                        </w:p>
                        <w:p w14:paraId="6A434E93" w14:textId="77777777" w:rsidR="00967D49" w:rsidRDefault="00076FD9">
                          <w:pPr>
                            <w:pStyle w:val="Referentiegegevens"/>
                          </w:pPr>
                          <w:r>
                            <w:t>Turfmarkt 147</w:t>
                          </w:r>
                        </w:p>
                        <w:p w14:paraId="332A3E10" w14:textId="77777777" w:rsidR="00967D49" w:rsidRDefault="00076FD9">
                          <w:pPr>
                            <w:pStyle w:val="Referentiegegevens"/>
                          </w:pPr>
                          <w:r>
                            <w:t>2511 DP   Den Haag</w:t>
                          </w:r>
                        </w:p>
                        <w:p w14:paraId="769BAB6C" w14:textId="77777777" w:rsidR="00967D49" w:rsidRPr="00DD568C" w:rsidRDefault="00076FD9">
                          <w:pPr>
                            <w:pStyle w:val="Referentiegegevens"/>
                            <w:rPr>
                              <w:lang w:val="de-DE"/>
                            </w:rPr>
                          </w:pPr>
                          <w:r w:rsidRPr="00DD568C">
                            <w:rPr>
                              <w:lang w:val="de-DE"/>
                            </w:rPr>
                            <w:t>Postbus 20011</w:t>
                          </w:r>
                        </w:p>
                        <w:p w14:paraId="4D0C569A" w14:textId="77777777" w:rsidR="00967D49" w:rsidRPr="00DD568C" w:rsidRDefault="00076FD9">
                          <w:pPr>
                            <w:pStyle w:val="Referentiegegevens"/>
                            <w:rPr>
                              <w:lang w:val="de-DE"/>
                            </w:rPr>
                          </w:pPr>
                          <w:r w:rsidRPr="00DD568C">
                            <w:rPr>
                              <w:lang w:val="de-DE"/>
                            </w:rPr>
                            <w:t>2500 EH   Den Haag</w:t>
                          </w:r>
                        </w:p>
                        <w:p w14:paraId="6D634243" w14:textId="77777777" w:rsidR="00967D49" w:rsidRPr="00DD568C" w:rsidRDefault="00076FD9">
                          <w:pPr>
                            <w:pStyle w:val="Referentiegegevens"/>
                            <w:rPr>
                              <w:lang w:val="de-DE"/>
                            </w:rPr>
                          </w:pPr>
                          <w:r w:rsidRPr="00DD568C">
                            <w:rPr>
                              <w:lang w:val="de-DE"/>
                            </w:rPr>
                            <w:t>www.rijksoverheid.nl/jenv</w:t>
                          </w:r>
                        </w:p>
                        <w:p w14:paraId="13F1E8E6" w14:textId="77777777" w:rsidR="00967D49" w:rsidRPr="00DD568C" w:rsidRDefault="00967D49">
                          <w:pPr>
                            <w:pStyle w:val="WitregelW2"/>
                            <w:rPr>
                              <w:lang w:val="de-DE"/>
                            </w:rPr>
                          </w:pPr>
                        </w:p>
                        <w:p w14:paraId="42806A0A" w14:textId="77777777" w:rsidR="00967D49" w:rsidRDefault="00076FD9">
                          <w:pPr>
                            <w:pStyle w:val="Referentiegegevensbold"/>
                          </w:pPr>
                          <w:r>
                            <w:t>Onze referentie</w:t>
                          </w:r>
                        </w:p>
                        <w:p w14:paraId="5370DB19" w14:textId="6DB1BE0F" w:rsidR="00967D49" w:rsidRDefault="00B67154">
                          <w:pPr>
                            <w:pStyle w:val="Referentiegegevens"/>
                          </w:pPr>
                          <w:r>
                            <w:t>5712330</w:t>
                          </w:r>
                        </w:p>
                        <w:p w14:paraId="2B922347" w14:textId="77777777" w:rsidR="00967D49" w:rsidRDefault="00967D49">
                          <w:pPr>
                            <w:pStyle w:val="WitregelW1"/>
                          </w:pPr>
                        </w:p>
                        <w:p w14:paraId="2060226D" w14:textId="77777777" w:rsidR="00967D49" w:rsidRDefault="00076FD9">
                          <w:pPr>
                            <w:pStyle w:val="Referentiegegevensbold"/>
                          </w:pPr>
                          <w:r>
                            <w:t>Uw referentie</w:t>
                          </w:r>
                        </w:p>
                        <w:p w14:paraId="23157BF4" w14:textId="48CD179B" w:rsidR="00967D49" w:rsidRDefault="00EB4186">
                          <w:pPr>
                            <w:pStyle w:val="Referentiegegevens"/>
                          </w:pPr>
                          <w:sdt>
                            <w:sdtPr>
                              <w:id w:val="1152027286"/>
                              <w:dataBinding w:prefixMappings="xmlns:ns0='docgen-assistant'" w:xpath="/ns0:CustomXml[1]/ns0:Variables[1]/ns0:Variable[1]/ns0:Value[1]" w:storeItemID="{00000000-0000-0000-0000-000000000000}"/>
                              <w:text/>
                            </w:sdtPr>
                            <w:sdtEndPr/>
                            <w:sdtContent>
                              <w:r w:rsidR="00B67154">
                                <w:t>2024Z12413</w:t>
                              </w:r>
                            </w:sdtContent>
                          </w:sdt>
                        </w:p>
                      </w:txbxContent>
                    </wps:txbx>
                    <wps:bodyPr vert="horz" wrap="square" lIns="0" tIns="0" rIns="0" bIns="0" anchor="t" anchorCtr="0"/>
                  </wps:wsp>
                </a:graphicData>
              </a:graphic>
            </wp:anchor>
          </w:drawing>
        </mc:Choice>
        <mc:Fallback>
          <w:pict>
            <v:shape w14:anchorId="4D091E1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3C2813A" w14:textId="77777777" w:rsidR="00967D49" w:rsidRDefault="00076FD9">
                    <w:pPr>
                      <w:pStyle w:val="Referentiegegevensbold"/>
                    </w:pPr>
                    <w:r>
                      <w:t>Directoraat-Generaal Migratie</w:t>
                    </w:r>
                  </w:p>
                  <w:p w14:paraId="57E43E9F" w14:textId="77777777" w:rsidR="00967D49" w:rsidRDefault="00967D49">
                    <w:pPr>
                      <w:pStyle w:val="WitregelW1"/>
                    </w:pPr>
                  </w:p>
                  <w:p w14:paraId="6A434E93" w14:textId="77777777" w:rsidR="00967D49" w:rsidRDefault="00076FD9">
                    <w:pPr>
                      <w:pStyle w:val="Referentiegegevens"/>
                    </w:pPr>
                    <w:r>
                      <w:t>Turfmarkt 147</w:t>
                    </w:r>
                  </w:p>
                  <w:p w14:paraId="332A3E10" w14:textId="77777777" w:rsidR="00967D49" w:rsidRDefault="00076FD9">
                    <w:pPr>
                      <w:pStyle w:val="Referentiegegevens"/>
                    </w:pPr>
                    <w:r>
                      <w:t>2511 DP   Den Haag</w:t>
                    </w:r>
                  </w:p>
                  <w:p w14:paraId="769BAB6C" w14:textId="77777777" w:rsidR="00967D49" w:rsidRPr="00DD568C" w:rsidRDefault="00076FD9">
                    <w:pPr>
                      <w:pStyle w:val="Referentiegegevens"/>
                      <w:rPr>
                        <w:lang w:val="de-DE"/>
                      </w:rPr>
                    </w:pPr>
                    <w:r w:rsidRPr="00DD568C">
                      <w:rPr>
                        <w:lang w:val="de-DE"/>
                      </w:rPr>
                      <w:t>Postbus 20011</w:t>
                    </w:r>
                  </w:p>
                  <w:p w14:paraId="4D0C569A" w14:textId="77777777" w:rsidR="00967D49" w:rsidRPr="00DD568C" w:rsidRDefault="00076FD9">
                    <w:pPr>
                      <w:pStyle w:val="Referentiegegevens"/>
                      <w:rPr>
                        <w:lang w:val="de-DE"/>
                      </w:rPr>
                    </w:pPr>
                    <w:r w:rsidRPr="00DD568C">
                      <w:rPr>
                        <w:lang w:val="de-DE"/>
                      </w:rPr>
                      <w:t>2500 EH   Den Haag</w:t>
                    </w:r>
                  </w:p>
                  <w:p w14:paraId="6D634243" w14:textId="77777777" w:rsidR="00967D49" w:rsidRPr="00DD568C" w:rsidRDefault="00076FD9">
                    <w:pPr>
                      <w:pStyle w:val="Referentiegegevens"/>
                      <w:rPr>
                        <w:lang w:val="de-DE"/>
                      </w:rPr>
                    </w:pPr>
                    <w:r w:rsidRPr="00DD568C">
                      <w:rPr>
                        <w:lang w:val="de-DE"/>
                      </w:rPr>
                      <w:t>www.rijksoverheid.nl/jenv</w:t>
                    </w:r>
                  </w:p>
                  <w:p w14:paraId="13F1E8E6" w14:textId="77777777" w:rsidR="00967D49" w:rsidRPr="00DD568C" w:rsidRDefault="00967D49">
                    <w:pPr>
                      <w:pStyle w:val="WitregelW2"/>
                      <w:rPr>
                        <w:lang w:val="de-DE"/>
                      </w:rPr>
                    </w:pPr>
                  </w:p>
                  <w:p w14:paraId="42806A0A" w14:textId="77777777" w:rsidR="00967D49" w:rsidRDefault="00076FD9">
                    <w:pPr>
                      <w:pStyle w:val="Referentiegegevensbold"/>
                    </w:pPr>
                    <w:r>
                      <w:t>Onze referentie</w:t>
                    </w:r>
                  </w:p>
                  <w:p w14:paraId="5370DB19" w14:textId="6DB1BE0F" w:rsidR="00967D49" w:rsidRDefault="00B67154">
                    <w:pPr>
                      <w:pStyle w:val="Referentiegegevens"/>
                    </w:pPr>
                    <w:r>
                      <w:t>5712330</w:t>
                    </w:r>
                  </w:p>
                  <w:p w14:paraId="2B922347" w14:textId="77777777" w:rsidR="00967D49" w:rsidRDefault="00967D49">
                    <w:pPr>
                      <w:pStyle w:val="WitregelW1"/>
                    </w:pPr>
                  </w:p>
                  <w:p w14:paraId="2060226D" w14:textId="77777777" w:rsidR="00967D49" w:rsidRDefault="00076FD9">
                    <w:pPr>
                      <w:pStyle w:val="Referentiegegevensbold"/>
                    </w:pPr>
                    <w:r>
                      <w:t>Uw referentie</w:t>
                    </w:r>
                  </w:p>
                  <w:p w14:paraId="23157BF4" w14:textId="48CD179B" w:rsidR="00967D49" w:rsidRDefault="00EB4186">
                    <w:pPr>
                      <w:pStyle w:val="Referentiegegevens"/>
                    </w:pPr>
                    <w:sdt>
                      <w:sdtPr>
                        <w:id w:val="1152027286"/>
                        <w:dataBinding w:prefixMappings="xmlns:ns0='docgen-assistant'" w:xpath="/ns0:CustomXml[1]/ns0:Variables[1]/ns0:Variable[1]/ns0:Value[1]" w:storeItemID="{00000000-0000-0000-0000-000000000000}"/>
                        <w:text/>
                      </w:sdtPr>
                      <w:sdtEndPr/>
                      <w:sdtContent>
                        <w:r w:rsidR="00B67154">
                          <w:t>2024Z12413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146CF69" wp14:editId="648FB6D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42B17D" w14:textId="77777777" w:rsidR="00076FD9" w:rsidRDefault="00076FD9"/>
                      </w:txbxContent>
                    </wps:txbx>
                    <wps:bodyPr vert="horz" wrap="square" lIns="0" tIns="0" rIns="0" bIns="0" anchor="t" anchorCtr="0"/>
                  </wps:wsp>
                </a:graphicData>
              </a:graphic>
            </wp:anchor>
          </w:drawing>
        </mc:Choice>
        <mc:Fallback>
          <w:pict>
            <v:shape w14:anchorId="1146CF6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942B17D" w14:textId="77777777" w:rsidR="00076FD9" w:rsidRDefault="00076FD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8669C83" wp14:editId="138F4D3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1E24B8" w14:textId="148D96A7" w:rsidR="00967D49" w:rsidRDefault="00076FD9">
                          <w:pPr>
                            <w:pStyle w:val="Referentiegegevens"/>
                          </w:pPr>
                          <w:r>
                            <w:t xml:space="preserve">Pagina </w:t>
                          </w:r>
                          <w:r>
                            <w:fldChar w:fldCharType="begin"/>
                          </w:r>
                          <w:r>
                            <w:instrText>PAGE</w:instrText>
                          </w:r>
                          <w:r>
                            <w:fldChar w:fldCharType="separate"/>
                          </w:r>
                          <w:r w:rsidR="00EB4186">
                            <w:rPr>
                              <w:noProof/>
                            </w:rPr>
                            <w:t>1</w:t>
                          </w:r>
                          <w:r>
                            <w:fldChar w:fldCharType="end"/>
                          </w:r>
                          <w:r>
                            <w:t xml:space="preserve"> van </w:t>
                          </w:r>
                          <w:r>
                            <w:fldChar w:fldCharType="begin"/>
                          </w:r>
                          <w:r>
                            <w:instrText>NUMPAGES</w:instrText>
                          </w:r>
                          <w:r>
                            <w:fldChar w:fldCharType="separate"/>
                          </w:r>
                          <w:r w:rsidR="00EB4186">
                            <w:rPr>
                              <w:noProof/>
                            </w:rPr>
                            <w:t>1</w:t>
                          </w:r>
                          <w:r>
                            <w:fldChar w:fldCharType="end"/>
                          </w:r>
                        </w:p>
                      </w:txbxContent>
                    </wps:txbx>
                    <wps:bodyPr vert="horz" wrap="square" lIns="0" tIns="0" rIns="0" bIns="0" anchor="t" anchorCtr="0"/>
                  </wps:wsp>
                </a:graphicData>
              </a:graphic>
            </wp:anchor>
          </w:drawing>
        </mc:Choice>
        <mc:Fallback>
          <w:pict>
            <v:shape w14:anchorId="78669C8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C1E24B8" w14:textId="148D96A7" w:rsidR="00967D49" w:rsidRDefault="00076FD9">
                    <w:pPr>
                      <w:pStyle w:val="Referentiegegevens"/>
                    </w:pPr>
                    <w:r>
                      <w:t xml:space="preserve">Pagina </w:t>
                    </w:r>
                    <w:r>
                      <w:fldChar w:fldCharType="begin"/>
                    </w:r>
                    <w:r>
                      <w:instrText>PAGE</w:instrText>
                    </w:r>
                    <w:r>
                      <w:fldChar w:fldCharType="separate"/>
                    </w:r>
                    <w:r w:rsidR="00EB4186">
                      <w:rPr>
                        <w:noProof/>
                      </w:rPr>
                      <w:t>1</w:t>
                    </w:r>
                    <w:r>
                      <w:fldChar w:fldCharType="end"/>
                    </w:r>
                    <w:r>
                      <w:t xml:space="preserve"> van </w:t>
                    </w:r>
                    <w:r>
                      <w:fldChar w:fldCharType="begin"/>
                    </w:r>
                    <w:r>
                      <w:instrText>NUMPAGES</w:instrText>
                    </w:r>
                    <w:r>
                      <w:fldChar w:fldCharType="separate"/>
                    </w:r>
                    <w:r w:rsidR="00EB418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B913786" wp14:editId="0D0C110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315862" w14:textId="77777777" w:rsidR="00967D49" w:rsidRDefault="00076FD9">
                          <w:pPr>
                            <w:spacing w:line="240" w:lineRule="auto"/>
                          </w:pPr>
                          <w:r>
                            <w:rPr>
                              <w:noProof/>
                            </w:rPr>
                            <w:drawing>
                              <wp:inline distT="0" distB="0" distL="0" distR="0" wp14:anchorId="5D74130A" wp14:editId="490B5035">
                                <wp:extent cx="467995" cy="1583865"/>
                                <wp:effectExtent l="0" t="0" r="0" b="0"/>
                                <wp:docPr id="16" name="Afbeelding 16"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91378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5315862" w14:textId="77777777" w:rsidR="00967D49" w:rsidRDefault="00076FD9">
                    <w:pPr>
                      <w:spacing w:line="240" w:lineRule="auto"/>
                    </w:pPr>
                    <w:r>
                      <w:rPr>
                        <w:noProof/>
                      </w:rPr>
                      <w:drawing>
                        <wp:inline distT="0" distB="0" distL="0" distR="0" wp14:anchorId="5D74130A" wp14:editId="490B5035">
                          <wp:extent cx="467995" cy="1583865"/>
                          <wp:effectExtent l="0" t="0" r="0" b="0"/>
                          <wp:docPr id="16" name="Afbeelding 16"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F540FC" wp14:editId="35CAD36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2B2040" w14:textId="77777777" w:rsidR="00967D49" w:rsidRDefault="00076FD9">
                          <w:pPr>
                            <w:spacing w:line="240" w:lineRule="auto"/>
                          </w:pPr>
                          <w:r>
                            <w:rPr>
                              <w:noProof/>
                            </w:rPr>
                            <w:drawing>
                              <wp:inline distT="0" distB="0" distL="0" distR="0" wp14:anchorId="5210D878" wp14:editId="6B4D5DEA">
                                <wp:extent cx="2339975" cy="1582834"/>
                                <wp:effectExtent l="0" t="0" r="0" b="0"/>
                                <wp:docPr id="17" name="Afbeelding 17"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F540F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12B2040" w14:textId="77777777" w:rsidR="00967D49" w:rsidRDefault="00076FD9">
                    <w:pPr>
                      <w:spacing w:line="240" w:lineRule="auto"/>
                    </w:pPr>
                    <w:r>
                      <w:rPr>
                        <w:noProof/>
                      </w:rPr>
                      <w:drawing>
                        <wp:inline distT="0" distB="0" distL="0" distR="0" wp14:anchorId="5210D878" wp14:editId="6B4D5DEA">
                          <wp:extent cx="2339975" cy="1582834"/>
                          <wp:effectExtent l="0" t="0" r="0" b="0"/>
                          <wp:docPr id="17" name="Afbeelding 17"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11DA1D6" wp14:editId="28D6732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5364AB" w14:textId="77777777" w:rsidR="00967D49" w:rsidRDefault="00076FD9">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11DA1D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C5364AB" w14:textId="77777777" w:rsidR="00967D49" w:rsidRDefault="00076FD9">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13A248"/>
    <w:multiLevelType w:val="multilevel"/>
    <w:tmpl w:val="D141BB5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84DB585"/>
    <w:multiLevelType w:val="multilevel"/>
    <w:tmpl w:val="A11AF7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E349AED"/>
    <w:multiLevelType w:val="multilevel"/>
    <w:tmpl w:val="F987693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80B3143"/>
    <w:multiLevelType w:val="multilevel"/>
    <w:tmpl w:val="2541CB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98F63EF"/>
    <w:multiLevelType w:val="multilevel"/>
    <w:tmpl w:val="E83B29A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F577A08"/>
    <w:multiLevelType w:val="multilevel"/>
    <w:tmpl w:val="778CB33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D9"/>
    <w:rsid w:val="00076FD9"/>
    <w:rsid w:val="00114742"/>
    <w:rsid w:val="00615BAC"/>
    <w:rsid w:val="00693B96"/>
    <w:rsid w:val="00773276"/>
    <w:rsid w:val="007A274A"/>
    <w:rsid w:val="00845A6A"/>
    <w:rsid w:val="00845C2D"/>
    <w:rsid w:val="008D5AD1"/>
    <w:rsid w:val="00967D49"/>
    <w:rsid w:val="00AB6A45"/>
    <w:rsid w:val="00AC3000"/>
    <w:rsid w:val="00B30D40"/>
    <w:rsid w:val="00B67154"/>
    <w:rsid w:val="00BF76B9"/>
    <w:rsid w:val="00DB2021"/>
    <w:rsid w:val="00DD568C"/>
    <w:rsid w:val="00E566F5"/>
    <w:rsid w:val="00EB4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5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6F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6FD9"/>
    <w:rPr>
      <w:rFonts w:ascii="Verdana" w:hAnsi="Verdana"/>
      <w:color w:val="000000"/>
      <w:sz w:val="18"/>
      <w:szCs w:val="18"/>
    </w:rPr>
  </w:style>
  <w:style w:type="paragraph" w:styleId="Voetnoottekst">
    <w:name w:val="footnote text"/>
    <w:basedOn w:val="Standaard"/>
    <w:link w:val="VoetnoottekstChar"/>
    <w:uiPriority w:val="99"/>
    <w:semiHidden/>
    <w:unhideWhenUsed/>
    <w:rsid w:val="00DD568C"/>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DD568C"/>
    <w:rPr>
      <w:rFonts w:ascii="Calibri" w:eastAsiaTheme="minorHAnsi" w:hAnsi="Calibri" w:cs="Calibri"/>
    </w:rPr>
  </w:style>
  <w:style w:type="character" w:styleId="Voetnootmarkering">
    <w:name w:val="footnote reference"/>
    <w:basedOn w:val="Standaardalinea-lettertype"/>
    <w:uiPriority w:val="99"/>
    <w:semiHidden/>
    <w:unhideWhenUsed/>
    <w:rsid w:val="00DD5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6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nrc.nl/nieuws/2024/08/07/waarom-krijgt-de-armeense-mikael-11-geen-verblijfsvergunninga4862068?t=1723708590"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2032</ap:Words>
  <ap:Characters>11178</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‘Ministerie en IND: uitzetting van Mikael en moeder naar Armenië onvermijdelijk’</vt:lpstr>
    </vt:vector>
  </ap:TitlesOfParts>
  <ap:LinksUpToDate>false</ap:LinksUpToDate>
  <ap:CharactersWithSpaces>13184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2024-10-16T14:45:00.0000000Z</dcterms:created>
  <dcterms:modified xsi:type="dcterms:W3CDTF">2024-10-16T14:45:00.0000000Z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‘Ministerie en IND: uitzetting van Mikael en moeder naar Armenië onvermijdelijk’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augustus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