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37" w:rsidP="001F7437" w:rsidRDefault="001F7437" w14:paraId="64EC8605" w14:textId="77777777">
      <w:bookmarkStart w:name="_GoBack" w:id="0"/>
      <w:bookmarkEnd w:id="0"/>
      <w:r>
        <w:t>Hierbij bied ik u de antwoorden aan op de schriftelijke vragen het</w:t>
      </w:r>
      <w:r w:rsidRPr="002D78AE">
        <w:t xml:space="preserve"> lid Eerdmans (JA21) over de instroom en terugkeer van alleenstaande minderjarige vreemdelingen</w:t>
      </w:r>
      <w:r>
        <w:t>.</w:t>
      </w:r>
      <w:r>
        <w:br/>
      </w:r>
    </w:p>
    <w:p w:rsidR="001F7437" w:rsidP="001F7437" w:rsidRDefault="001F7437" w14:paraId="60DE524C" w14:textId="77777777">
      <w:pPr>
        <w:pStyle w:val="WitregelW1bodytekst"/>
      </w:pPr>
      <w:r>
        <w:t xml:space="preserve">Deze vragen werden ingezonden op 13 augustus 2024 met kenmerk </w:t>
      </w:r>
      <w:r w:rsidRPr="002D78AE">
        <w:t>2024Z12366</w:t>
      </w:r>
      <w:r>
        <w:t>.</w:t>
      </w:r>
    </w:p>
    <w:p w:rsidR="001F7437" w:rsidP="001F7437" w:rsidRDefault="001F7437" w14:paraId="4C080E57" w14:textId="77777777"/>
    <w:p w:rsidR="001F7437" w:rsidP="001F7437" w:rsidRDefault="001F7437" w14:paraId="6C1B0C8D" w14:textId="77777777">
      <w:pPr>
        <w:pStyle w:val="WitregelW1bodytekst"/>
      </w:pPr>
    </w:p>
    <w:p w:rsidR="001F7437" w:rsidP="001F7437" w:rsidRDefault="001F7437" w14:paraId="64BD5B1B" w14:textId="77777777">
      <w:r>
        <w:t>De Minister van Asiel en Migratie,</w:t>
      </w:r>
    </w:p>
    <w:p w:rsidR="001F7437" w:rsidP="001F7437" w:rsidRDefault="001F7437" w14:paraId="4F5D0B93" w14:textId="77777777">
      <w:r>
        <w:br/>
      </w:r>
      <w:r>
        <w:br/>
      </w:r>
    </w:p>
    <w:p w:rsidR="001F7437" w:rsidP="001F7437" w:rsidRDefault="001F7437" w14:paraId="3F91EE67" w14:textId="77777777"/>
    <w:p w:rsidR="001F7437" w:rsidP="001F7437" w:rsidRDefault="001F7437" w14:paraId="5C73C3C0" w14:textId="2F100E0A">
      <w:r>
        <w:t>M.H.M. Faber</w:t>
      </w:r>
      <w:r w:rsidRPr="001B48A9" w:rsidR="001B48A9">
        <w:t xml:space="preserve"> </w:t>
      </w:r>
      <w:r w:rsidR="001B48A9">
        <w:t xml:space="preserve">- </w:t>
      </w:r>
      <w:r w:rsidRPr="004E1E3E" w:rsidR="001B48A9">
        <w:t>Van de Klashorst</w:t>
      </w:r>
    </w:p>
    <w:p w:rsidR="001F7437" w:rsidP="001F7437" w:rsidRDefault="001F7437" w14:paraId="602990E3" w14:textId="77777777"/>
    <w:p w:rsidR="001F7437" w:rsidP="001F7437" w:rsidRDefault="001F7437" w14:paraId="35A84323" w14:textId="77777777"/>
    <w:p w:rsidR="001F7437" w:rsidP="001F7437" w:rsidRDefault="001F7437" w14:paraId="1324540F" w14:textId="77777777"/>
    <w:p w:rsidR="001F7437" w:rsidP="001F7437" w:rsidRDefault="001F7437" w14:paraId="73B97BB8" w14:textId="77777777"/>
    <w:p w:rsidR="001F7437" w:rsidP="001F7437" w:rsidRDefault="001F7437" w14:paraId="2DCC2B7E" w14:textId="77777777"/>
    <w:p w:rsidR="001F7437" w:rsidP="001F7437" w:rsidRDefault="001F7437" w14:paraId="0CAD5F1D" w14:textId="77777777"/>
    <w:p w:rsidR="001F7437" w:rsidP="001F7437" w:rsidRDefault="001F7437" w14:paraId="722682F2" w14:textId="77777777"/>
    <w:p w:rsidR="001F7437" w:rsidP="001F7437" w:rsidRDefault="001F7437" w14:paraId="4A7A6C95" w14:textId="77777777"/>
    <w:p w:rsidR="001F7437" w:rsidP="001F7437" w:rsidRDefault="001F7437" w14:paraId="55A474E8" w14:textId="77777777"/>
    <w:p w:rsidR="001F7437" w:rsidP="001F7437" w:rsidRDefault="001F7437" w14:paraId="2125CDE3" w14:textId="77777777"/>
    <w:p w:rsidR="001F7437" w:rsidP="001F7437" w:rsidRDefault="001F7437" w14:paraId="42583CA1" w14:textId="77777777"/>
    <w:p w:rsidR="001F7437" w:rsidP="001F7437" w:rsidRDefault="001F7437" w14:paraId="4E1ACB0C" w14:textId="77777777"/>
    <w:p w:rsidR="001F7437" w:rsidP="001F7437" w:rsidRDefault="001F7437" w14:paraId="74EC6E09" w14:textId="77777777"/>
    <w:p w:rsidR="001F7437" w:rsidP="001F7437" w:rsidRDefault="001F7437" w14:paraId="2D4657F1" w14:textId="77777777"/>
    <w:p w:rsidR="001F7437" w:rsidP="001F7437" w:rsidRDefault="001F7437" w14:paraId="7EA87803" w14:textId="77777777"/>
    <w:p w:rsidR="001F7437" w:rsidP="001F7437" w:rsidRDefault="001F7437" w14:paraId="20110586" w14:textId="77777777"/>
    <w:p w:rsidR="001F7437" w:rsidP="001F7437" w:rsidRDefault="001F7437" w14:paraId="480DB807" w14:textId="77777777"/>
    <w:p w:rsidR="001F7437" w:rsidP="001F7437" w:rsidRDefault="001F7437" w14:paraId="5159AFEC" w14:textId="77777777"/>
    <w:p w:rsidR="001F7437" w:rsidP="001F7437" w:rsidRDefault="001F7437" w14:paraId="78BEC03B" w14:textId="77777777"/>
    <w:p w:rsidR="001F7437" w:rsidP="001F7437" w:rsidRDefault="001F7437" w14:paraId="48E18CEC" w14:textId="77777777"/>
    <w:p w:rsidR="001F7437" w:rsidP="001F7437" w:rsidRDefault="001F7437" w14:paraId="0FE80C62" w14:textId="77777777"/>
    <w:p w:rsidR="001F7437" w:rsidP="001F7437" w:rsidRDefault="001F7437" w14:paraId="542FCC7D" w14:textId="77777777"/>
    <w:p w:rsidR="001F7437" w:rsidP="001F7437" w:rsidRDefault="001F7437" w14:paraId="48C4BCCA" w14:textId="77777777"/>
    <w:p w:rsidR="001F7437" w:rsidP="001F7437" w:rsidRDefault="001F7437" w14:paraId="3E8B6202" w14:textId="77777777"/>
    <w:p w:rsidR="001F7437" w:rsidP="001F7437" w:rsidRDefault="001F7437" w14:paraId="043BAB4A" w14:textId="77777777"/>
    <w:p w:rsidR="001F7437" w:rsidP="001F7437" w:rsidRDefault="001F7437" w14:paraId="0026F115" w14:textId="77777777"/>
    <w:p w:rsidRPr="002D78AE" w:rsidR="001F7437" w:rsidP="0057236A" w:rsidRDefault="001F7437" w14:paraId="74A34CD8" w14:textId="59CDB773">
      <w:pPr>
        <w:pBdr>
          <w:bottom w:val="single" w:color="auto" w:sz="4" w:space="1"/>
        </w:pBdr>
        <w:rPr>
          <w:b/>
          <w:bCs/>
        </w:rPr>
      </w:pPr>
      <w:r w:rsidRPr="002D78AE">
        <w:rPr>
          <w:b/>
          <w:bCs/>
        </w:rPr>
        <w:lastRenderedPageBreak/>
        <w:t>Vragen van het lid Eerdmans (JA21) aan de minister van Asiel en Migratie over de instroom en terugkeer van alleenstaande minderjarige vreemdelingen</w:t>
      </w:r>
      <w:r w:rsidR="0057236A">
        <w:rPr>
          <w:b/>
          <w:bCs/>
        </w:rPr>
        <w:br/>
      </w:r>
      <w:r w:rsidRPr="0057236A" w:rsidR="0057236A">
        <w:rPr>
          <w:b/>
          <w:bCs/>
        </w:rPr>
        <w:t>(ingezonden 13 augustus 2024,</w:t>
      </w:r>
      <w:r w:rsidR="0057236A">
        <w:t xml:space="preserve"> </w:t>
      </w:r>
      <w:r w:rsidRPr="002D78AE" w:rsidR="0057236A">
        <w:rPr>
          <w:b/>
          <w:bCs/>
        </w:rPr>
        <w:t>2024Z1236</w:t>
      </w:r>
      <w:r w:rsidRPr="0057236A" w:rsidR="0057236A">
        <w:rPr>
          <w:b/>
          <w:bCs/>
        </w:rPr>
        <w:t>6)</w:t>
      </w:r>
    </w:p>
    <w:p w:rsidR="0057236A" w:rsidP="001F7437" w:rsidRDefault="0057236A" w14:paraId="013AA009" w14:textId="77777777">
      <w:pPr>
        <w:autoSpaceDN/>
        <w:spacing w:line="259" w:lineRule="auto"/>
        <w:textAlignment w:val="auto"/>
        <w:rPr>
          <w:b/>
          <w:bCs/>
        </w:rPr>
      </w:pPr>
    </w:p>
    <w:p w:rsidR="0057236A" w:rsidP="001F7437" w:rsidRDefault="0057236A" w14:paraId="25D43A4F" w14:textId="77777777">
      <w:pPr>
        <w:autoSpaceDN/>
        <w:spacing w:line="259" w:lineRule="auto"/>
        <w:textAlignment w:val="auto"/>
        <w:rPr>
          <w:b/>
          <w:bCs/>
        </w:rPr>
      </w:pPr>
    </w:p>
    <w:p w:rsidR="007D098B" w:rsidP="001F7437" w:rsidRDefault="0057236A" w14:paraId="317A9FBE" w14:textId="77777777">
      <w:pPr>
        <w:autoSpaceDN/>
        <w:spacing w:line="259" w:lineRule="auto"/>
        <w:textAlignment w:val="auto"/>
      </w:pPr>
      <w:r w:rsidRPr="002D78AE">
        <w:rPr>
          <w:b/>
          <w:bCs/>
        </w:rPr>
        <w:t>Vraag 1</w:t>
      </w:r>
      <w:r w:rsidRPr="002D78AE">
        <w:rPr>
          <w:b/>
          <w:bCs/>
        </w:rPr>
        <w:br/>
        <w:t>Welk percentage maken al</w:t>
      </w:r>
      <w:r>
        <w:rPr>
          <w:b/>
          <w:bCs/>
        </w:rPr>
        <w:t>l</w:t>
      </w:r>
      <w:r w:rsidRPr="002D78AE">
        <w:rPr>
          <w:b/>
          <w:bCs/>
        </w:rPr>
        <w:t>eenstaande minderjarige vreemdelingen (amv) uit als onderdeel van het totale aantal eerste aanvragen in de eerste helft van 2024?</w:t>
      </w:r>
      <w:r w:rsidRPr="0057236A">
        <w:rPr>
          <w:b/>
          <w:bCs/>
        </w:rPr>
        <w:t>Antwoord op vraag 1</w:t>
      </w:r>
      <w:r>
        <w:br/>
      </w:r>
    </w:p>
    <w:p w:rsidR="001F7437" w:rsidP="001F7437" w:rsidRDefault="007D098B" w14:paraId="37C7FDAB" w14:textId="7605AEA1">
      <w:pPr>
        <w:autoSpaceDN/>
        <w:spacing w:line="259" w:lineRule="auto"/>
        <w:textAlignment w:val="auto"/>
      </w:pPr>
      <w:r w:rsidRPr="007D098B">
        <w:rPr>
          <w:b/>
          <w:bCs/>
        </w:rPr>
        <w:t>Antwoord op vraag 1</w:t>
      </w:r>
      <w:r>
        <w:br/>
      </w:r>
      <w:r w:rsidRPr="00F22E5C" w:rsidR="001F7437">
        <w:t xml:space="preserve">In de eerste helft van 2024 werd 13% van de eerste asielaanvragen </w:t>
      </w:r>
      <w:r w:rsidR="007D4B7B">
        <w:t>in</w:t>
      </w:r>
      <w:r w:rsidRPr="00F22E5C" w:rsidR="001F7437">
        <w:t>gediend door alleenstaande minderjarige vreemdeling</w:t>
      </w:r>
      <w:r w:rsidR="00247843">
        <w:t>en</w:t>
      </w:r>
      <w:r w:rsidRPr="00F22E5C" w:rsidR="001F7437">
        <w:t xml:space="preserve"> (amv).</w:t>
      </w:r>
      <w:r w:rsidR="001F7437">
        <w:rPr>
          <w:rStyle w:val="Voetnootmarkering"/>
        </w:rPr>
        <w:footnoteReference w:id="1"/>
      </w:r>
      <w:r w:rsidRPr="00F22E5C" w:rsidR="001F7437">
        <w:t xml:space="preserve"> </w:t>
      </w:r>
    </w:p>
    <w:p w:rsidRPr="00F22E5C" w:rsidR="001F7437" w:rsidP="001F7437" w:rsidRDefault="001F7437" w14:paraId="0E5B6510" w14:textId="77777777">
      <w:pPr>
        <w:autoSpaceDN/>
        <w:spacing w:line="259" w:lineRule="auto"/>
        <w:textAlignment w:val="auto"/>
      </w:pPr>
    </w:p>
    <w:p w:rsidR="001F7437" w:rsidP="001F7437" w:rsidRDefault="001F7437" w14:paraId="6340C56B" w14:textId="1650E36D">
      <w:pPr>
        <w:autoSpaceDN/>
        <w:spacing w:line="259" w:lineRule="auto"/>
        <w:textAlignment w:val="auto"/>
      </w:pPr>
      <w:r w:rsidRPr="002D78AE">
        <w:rPr>
          <w:b/>
          <w:bCs/>
        </w:rPr>
        <w:t>Vraag 2</w:t>
      </w:r>
      <w:r w:rsidRPr="002D78AE">
        <w:rPr>
          <w:b/>
          <w:bCs/>
        </w:rPr>
        <w:br/>
        <w:t>Wat is het inwilligingspercentage van eerste asielaanvragen door amv in de eerste helft van 2024?</w:t>
      </w:r>
      <w:r w:rsidRPr="002D78AE">
        <w:rPr>
          <w:b/>
          <w:bCs/>
        </w:rPr>
        <w:br/>
      </w:r>
      <w:r w:rsidRPr="002D78AE">
        <w:rPr>
          <w:b/>
          <w:bCs/>
        </w:rPr>
        <w:br/>
      </w:r>
      <w:r w:rsidRPr="0057236A" w:rsidR="0057236A">
        <w:rPr>
          <w:b/>
          <w:bCs/>
        </w:rPr>
        <w:t>Antwoord op vraag 2</w:t>
      </w:r>
      <w:r w:rsidR="0057236A">
        <w:br/>
      </w:r>
      <w:r>
        <w:t>In de eerste helft van 2024 is ongeveer 92% van de eerste asielaanvragen van amv ingewilligd.</w:t>
      </w:r>
      <w:r w:rsidRPr="002D78AE">
        <w:rPr>
          <w:b/>
          <w:bCs/>
        </w:rPr>
        <w:br/>
      </w:r>
      <w:r w:rsidRPr="002D78AE">
        <w:rPr>
          <w:b/>
          <w:bCs/>
        </w:rPr>
        <w:br/>
        <w:t>Vraag 3</w:t>
      </w:r>
      <w:r w:rsidRPr="002D78AE">
        <w:rPr>
          <w:b/>
          <w:bCs/>
        </w:rPr>
        <w:br/>
        <w:t>Wat is het inwilligingspercentage voor amv-aanvragen voor de vijf focuslanden Syrië, Eritrea, Somalië, Jemen en Afghanistan in Nederland in de eerste helft van 2024? Hoe verhoudt dit percentage zich tot dat van andere EU-lidstaten ten opzichte van vorig jaar, toen Nederland (95%) en Duitsland (96%) de kopgroep vormden?</w:t>
      </w:r>
      <w:r w:rsidRPr="002D78AE">
        <w:rPr>
          <w:b/>
          <w:bCs/>
        </w:rPr>
        <w:br/>
      </w:r>
      <w:r w:rsidRPr="002D78AE">
        <w:rPr>
          <w:b/>
          <w:bCs/>
        </w:rPr>
        <w:br/>
      </w:r>
      <w:r w:rsidRPr="0057236A" w:rsidR="0057236A">
        <w:rPr>
          <w:b/>
          <w:bCs/>
        </w:rPr>
        <w:t>Antwoord op vraag 3</w:t>
      </w:r>
      <w:r w:rsidR="0057236A">
        <w:br/>
      </w:r>
      <w:r>
        <w:t>De inwilligingspercentages voor de eerste asielaanvragen van amv in de eerste helft van 2024 zijn weergegeven in tabel 1. Het percentage is berekend volgens de gebruikelijke nationale definitie waarbij het aantal inwilligingen wordt afgezet tegen alle beslissingen, inclusief niet-inhoudelijke beslissingen zoals buitenbehandelingstellingen.</w:t>
      </w:r>
      <w:r>
        <w:br/>
      </w:r>
    </w:p>
    <w:tbl>
      <w:tblPr>
        <w:tblStyle w:val="Tabelrast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ook w:val="04A0" w:firstRow="1" w:lastRow="0" w:firstColumn="1" w:lastColumn="0" w:noHBand="0" w:noVBand="1"/>
      </w:tblPr>
      <w:tblGrid>
        <w:gridCol w:w="3765"/>
        <w:gridCol w:w="3766"/>
      </w:tblGrid>
      <w:tr w:rsidR="001F7437" w:rsidTr="00FE7786" w14:paraId="4118A1DE" w14:textId="77777777">
        <w:tc>
          <w:tcPr>
            <w:tcW w:w="3765" w:type="dxa"/>
            <w:tcBorders>
              <w:top w:val="single" w:color="auto" w:sz="4" w:space="0"/>
              <w:bottom w:val="single" w:color="auto" w:sz="4" w:space="0"/>
            </w:tcBorders>
          </w:tcPr>
          <w:p w:rsidRPr="005807DB" w:rsidR="001F7437" w:rsidP="00FE7786" w:rsidRDefault="001F7437" w14:paraId="46E272F6" w14:textId="77777777">
            <w:pPr>
              <w:autoSpaceDN/>
              <w:spacing w:line="259" w:lineRule="auto"/>
              <w:textAlignment w:val="auto"/>
              <w:rPr>
                <w:b/>
                <w:bCs/>
              </w:rPr>
            </w:pPr>
            <w:r w:rsidRPr="005807DB">
              <w:rPr>
                <w:b/>
                <w:bCs/>
              </w:rPr>
              <w:t>Nationaliteit</w:t>
            </w:r>
          </w:p>
        </w:tc>
        <w:tc>
          <w:tcPr>
            <w:tcW w:w="3766" w:type="dxa"/>
            <w:tcBorders>
              <w:top w:val="single" w:color="auto" w:sz="4" w:space="0"/>
              <w:bottom w:val="single" w:color="auto" w:sz="4" w:space="0"/>
            </w:tcBorders>
          </w:tcPr>
          <w:p w:rsidRPr="005807DB" w:rsidR="001F7437" w:rsidP="00FE7786" w:rsidRDefault="001F7437" w14:paraId="78612014" w14:textId="77777777">
            <w:pPr>
              <w:autoSpaceDN/>
              <w:spacing w:line="259" w:lineRule="auto"/>
              <w:textAlignment w:val="auto"/>
              <w:rPr>
                <w:b/>
                <w:bCs/>
              </w:rPr>
            </w:pPr>
            <w:r w:rsidRPr="005807DB">
              <w:rPr>
                <w:b/>
                <w:bCs/>
              </w:rPr>
              <w:t>Inwilligingspercentage</w:t>
            </w:r>
          </w:p>
        </w:tc>
      </w:tr>
      <w:tr w:rsidR="001F7437" w:rsidTr="00FE7786" w14:paraId="3FF68953" w14:textId="77777777">
        <w:tc>
          <w:tcPr>
            <w:tcW w:w="3765" w:type="dxa"/>
            <w:tcBorders>
              <w:top w:val="single" w:color="auto" w:sz="4" w:space="0"/>
            </w:tcBorders>
          </w:tcPr>
          <w:p w:rsidR="001F7437" w:rsidP="00FE7786" w:rsidRDefault="001F7437" w14:paraId="69068C33" w14:textId="77777777">
            <w:pPr>
              <w:autoSpaceDN/>
              <w:spacing w:line="259" w:lineRule="auto"/>
              <w:textAlignment w:val="auto"/>
            </w:pPr>
            <w:r>
              <w:t>Syrische</w:t>
            </w:r>
          </w:p>
        </w:tc>
        <w:tc>
          <w:tcPr>
            <w:tcW w:w="3766" w:type="dxa"/>
            <w:tcBorders>
              <w:top w:val="single" w:color="auto" w:sz="4" w:space="0"/>
            </w:tcBorders>
          </w:tcPr>
          <w:p w:rsidR="001F7437" w:rsidP="00FE7786" w:rsidRDefault="001F7437" w14:paraId="3B3D7677" w14:textId="77777777">
            <w:pPr>
              <w:autoSpaceDN/>
              <w:spacing w:line="259" w:lineRule="auto"/>
              <w:textAlignment w:val="auto"/>
            </w:pPr>
            <w:r>
              <w:t>98%</w:t>
            </w:r>
          </w:p>
        </w:tc>
      </w:tr>
      <w:tr w:rsidR="001F7437" w:rsidTr="00FE7786" w14:paraId="2D2262E4" w14:textId="77777777">
        <w:tc>
          <w:tcPr>
            <w:tcW w:w="3765" w:type="dxa"/>
          </w:tcPr>
          <w:p w:rsidR="001F7437" w:rsidP="00FE7786" w:rsidRDefault="001F7437" w14:paraId="6FFF03AD" w14:textId="77777777">
            <w:pPr>
              <w:autoSpaceDN/>
              <w:spacing w:line="259" w:lineRule="auto"/>
              <w:textAlignment w:val="auto"/>
            </w:pPr>
            <w:r>
              <w:t>Eritrese</w:t>
            </w:r>
          </w:p>
        </w:tc>
        <w:tc>
          <w:tcPr>
            <w:tcW w:w="3766" w:type="dxa"/>
          </w:tcPr>
          <w:p w:rsidR="001F7437" w:rsidP="00FE7786" w:rsidRDefault="001F7437" w14:paraId="253CEB7A" w14:textId="77777777">
            <w:pPr>
              <w:autoSpaceDN/>
              <w:spacing w:line="259" w:lineRule="auto"/>
              <w:textAlignment w:val="auto"/>
            </w:pPr>
            <w:r>
              <w:t>98%</w:t>
            </w:r>
          </w:p>
        </w:tc>
      </w:tr>
      <w:tr w:rsidR="001F7437" w:rsidTr="00FE7786" w14:paraId="591E377B" w14:textId="77777777">
        <w:tc>
          <w:tcPr>
            <w:tcW w:w="3765" w:type="dxa"/>
          </w:tcPr>
          <w:p w:rsidR="001F7437" w:rsidP="00FE7786" w:rsidRDefault="001F7437" w14:paraId="1B3887D1" w14:textId="77777777">
            <w:pPr>
              <w:autoSpaceDN/>
              <w:spacing w:line="259" w:lineRule="auto"/>
              <w:textAlignment w:val="auto"/>
            </w:pPr>
            <w:r>
              <w:t>Somalische</w:t>
            </w:r>
          </w:p>
        </w:tc>
        <w:tc>
          <w:tcPr>
            <w:tcW w:w="3766" w:type="dxa"/>
          </w:tcPr>
          <w:p w:rsidR="001F7437" w:rsidP="00FE7786" w:rsidRDefault="001F7437" w14:paraId="62BF1F3C" w14:textId="77777777">
            <w:pPr>
              <w:autoSpaceDN/>
              <w:spacing w:line="259" w:lineRule="auto"/>
              <w:textAlignment w:val="auto"/>
            </w:pPr>
            <w:r>
              <w:t>81%</w:t>
            </w:r>
          </w:p>
        </w:tc>
      </w:tr>
      <w:tr w:rsidR="001F7437" w:rsidTr="00FE7786" w14:paraId="26B0B700" w14:textId="77777777">
        <w:tc>
          <w:tcPr>
            <w:tcW w:w="3765" w:type="dxa"/>
          </w:tcPr>
          <w:p w:rsidR="001F7437" w:rsidP="00FE7786" w:rsidRDefault="001F7437" w14:paraId="77435F18" w14:textId="77777777">
            <w:pPr>
              <w:autoSpaceDN/>
              <w:spacing w:line="259" w:lineRule="auto"/>
              <w:textAlignment w:val="auto"/>
            </w:pPr>
            <w:r>
              <w:t>Jemenitische</w:t>
            </w:r>
          </w:p>
        </w:tc>
        <w:tc>
          <w:tcPr>
            <w:tcW w:w="3766" w:type="dxa"/>
          </w:tcPr>
          <w:p w:rsidR="001F7437" w:rsidP="00FE7786" w:rsidRDefault="001F7437" w14:paraId="6EA40DC2" w14:textId="77777777">
            <w:pPr>
              <w:autoSpaceDN/>
              <w:spacing w:line="259" w:lineRule="auto"/>
              <w:textAlignment w:val="auto"/>
            </w:pPr>
            <w:r>
              <w:t>93%</w:t>
            </w:r>
          </w:p>
        </w:tc>
      </w:tr>
      <w:tr w:rsidR="001F7437" w:rsidTr="00FE7786" w14:paraId="1F2B17EE" w14:textId="77777777">
        <w:tc>
          <w:tcPr>
            <w:tcW w:w="3765" w:type="dxa"/>
          </w:tcPr>
          <w:p w:rsidR="001F7437" w:rsidP="00FE7786" w:rsidRDefault="001F7437" w14:paraId="646947A6" w14:textId="77777777">
            <w:pPr>
              <w:autoSpaceDN/>
              <w:spacing w:line="259" w:lineRule="auto"/>
              <w:textAlignment w:val="auto"/>
            </w:pPr>
            <w:r>
              <w:t>Afghaanse</w:t>
            </w:r>
          </w:p>
        </w:tc>
        <w:tc>
          <w:tcPr>
            <w:tcW w:w="3766" w:type="dxa"/>
          </w:tcPr>
          <w:p w:rsidR="001F7437" w:rsidP="00FE7786" w:rsidRDefault="001F7437" w14:paraId="35EEA48A" w14:textId="77777777">
            <w:pPr>
              <w:autoSpaceDN/>
              <w:spacing w:line="259" w:lineRule="auto"/>
              <w:textAlignment w:val="auto"/>
            </w:pPr>
            <w:r>
              <w:t>43%</w:t>
            </w:r>
          </w:p>
        </w:tc>
      </w:tr>
    </w:tbl>
    <w:p w:rsidR="001F7437" w:rsidP="001F7437" w:rsidRDefault="001F7437" w14:paraId="5341B81D" w14:textId="77777777">
      <w:pPr>
        <w:autoSpaceDN/>
        <w:spacing w:line="259" w:lineRule="auto"/>
        <w:textAlignment w:val="auto"/>
      </w:pPr>
      <w:r>
        <w:t>Tabel 1: Inwilligingspercentages eerste asielaanvragen amv, eerste helft 2024.</w:t>
      </w:r>
      <w:r>
        <w:rPr>
          <w:rStyle w:val="Voetnootmarkering"/>
        </w:rPr>
        <w:footnoteReference w:id="2"/>
      </w:r>
      <w:r>
        <w:t xml:space="preserve"> </w:t>
      </w:r>
    </w:p>
    <w:p w:rsidR="001F7437" w:rsidP="001F7437" w:rsidRDefault="001F7437" w14:paraId="1B410249" w14:textId="77777777">
      <w:pPr>
        <w:autoSpaceDN/>
        <w:spacing w:line="259" w:lineRule="auto"/>
        <w:textAlignment w:val="auto"/>
      </w:pPr>
    </w:p>
    <w:p w:rsidR="001F7437" w:rsidP="001F7437" w:rsidRDefault="001F7437" w14:paraId="28016484" w14:textId="5F54ED29">
      <w:pPr>
        <w:autoSpaceDN/>
        <w:spacing w:line="259" w:lineRule="auto"/>
        <w:textAlignment w:val="auto"/>
      </w:pPr>
      <w:r>
        <w:t xml:space="preserve">Om inwilligingspercentages Europees te kunnen vergelijken moet gebruik worden gemaakt van de gegevens in Eurostat. De definities van Eurostat verschillen van de nationale definities. De gegevens over afdoeningen in Eurostat zien op eerste asielaanvragen, herhaalde asielaanvragen en herplaatsing (relocatie). </w:t>
      </w:r>
      <w:r w:rsidR="00CA4226">
        <w:t xml:space="preserve">In Eurostat kunnen de gegevens </w:t>
      </w:r>
      <w:r>
        <w:t xml:space="preserve">niet worden onderscheiden naar type aanvraag. Voorts </w:t>
      </w:r>
      <w:r w:rsidR="00CA4226">
        <w:t xml:space="preserve">zijn in de tabellen in Eurostat de </w:t>
      </w:r>
      <w:r>
        <w:t>Dublinafdoeningen niet opgenomen, omdat op een asielaanvraag op grond van de Dublinverordening binnen het Schengengebied in beginsel slechts door één lidstaat inhoudelijk wordt beslist. De inwilligingspercentages vallen daardoor hoger uit dan wanneer wordt gekeken naar rapportages volgens de gebruikelijke Nederlandse definities.</w:t>
      </w:r>
    </w:p>
    <w:p w:rsidR="001F7437" w:rsidP="001F7437" w:rsidRDefault="001F7437" w14:paraId="5879E60E" w14:textId="77777777">
      <w:pPr>
        <w:autoSpaceDN/>
        <w:spacing w:line="259" w:lineRule="auto"/>
        <w:textAlignment w:val="auto"/>
      </w:pPr>
    </w:p>
    <w:tbl>
      <w:tblPr>
        <w:tblStyle w:val="Tabelrast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75"/>
        <w:gridCol w:w="1076"/>
        <w:gridCol w:w="1076"/>
        <w:gridCol w:w="1076"/>
        <w:gridCol w:w="1076"/>
        <w:gridCol w:w="1076"/>
        <w:gridCol w:w="1076"/>
      </w:tblGrid>
      <w:tr w:rsidRPr="00B76A0D" w:rsidR="001F7437" w:rsidTr="00FE7786" w14:paraId="06801F8D" w14:textId="77777777">
        <w:trPr>
          <w:trHeight w:val="300"/>
        </w:trPr>
        <w:tc>
          <w:tcPr>
            <w:tcW w:w="1075" w:type="dxa"/>
            <w:noWrap/>
            <w:hideMark/>
          </w:tcPr>
          <w:p w:rsidRPr="00B76A0D" w:rsidR="001F7437" w:rsidP="00FE7786" w:rsidRDefault="001F7437" w14:paraId="577B9993" w14:textId="77777777">
            <w:pPr>
              <w:autoSpaceDN/>
              <w:spacing w:line="259" w:lineRule="auto"/>
              <w:textAlignment w:val="auto"/>
              <w:rPr>
                <w:b/>
                <w:bCs/>
                <w:sz w:val="14"/>
                <w:szCs w:val="14"/>
              </w:rPr>
            </w:pPr>
          </w:p>
        </w:tc>
        <w:tc>
          <w:tcPr>
            <w:tcW w:w="1076" w:type="dxa"/>
            <w:noWrap/>
            <w:hideMark/>
          </w:tcPr>
          <w:p w:rsidRPr="00B76A0D" w:rsidR="001F7437" w:rsidP="00FE7786" w:rsidRDefault="001F7437" w14:paraId="3BBF8B39" w14:textId="77777777">
            <w:pPr>
              <w:autoSpaceDN/>
              <w:spacing w:line="259" w:lineRule="auto"/>
              <w:textAlignment w:val="auto"/>
              <w:rPr>
                <w:b/>
                <w:bCs/>
                <w:sz w:val="14"/>
                <w:szCs w:val="14"/>
              </w:rPr>
            </w:pPr>
            <w:r w:rsidRPr="00B76A0D">
              <w:rPr>
                <w:b/>
                <w:bCs/>
                <w:sz w:val="14"/>
                <w:szCs w:val="14"/>
              </w:rPr>
              <w:t>Alle</w:t>
            </w:r>
          </w:p>
        </w:tc>
        <w:tc>
          <w:tcPr>
            <w:tcW w:w="1076" w:type="dxa"/>
            <w:noWrap/>
            <w:hideMark/>
          </w:tcPr>
          <w:p w:rsidRPr="00B76A0D" w:rsidR="001F7437" w:rsidP="00FE7786" w:rsidRDefault="001F7437" w14:paraId="3E4CD5FC" w14:textId="77777777">
            <w:pPr>
              <w:autoSpaceDN/>
              <w:spacing w:line="259" w:lineRule="auto"/>
              <w:textAlignment w:val="auto"/>
              <w:rPr>
                <w:b/>
                <w:bCs/>
                <w:sz w:val="14"/>
                <w:szCs w:val="14"/>
              </w:rPr>
            </w:pPr>
            <w:r w:rsidRPr="00B76A0D">
              <w:rPr>
                <w:b/>
                <w:bCs/>
                <w:sz w:val="14"/>
                <w:szCs w:val="14"/>
              </w:rPr>
              <w:t>Syrische</w:t>
            </w:r>
          </w:p>
        </w:tc>
        <w:tc>
          <w:tcPr>
            <w:tcW w:w="1076" w:type="dxa"/>
            <w:noWrap/>
            <w:hideMark/>
          </w:tcPr>
          <w:p w:rsidRPr="00B76A0D" w:rsidR="001F7437" w:rsidP="00FE7786" w:rsidRDefault="001F7437" w14:paraId="24B9FAF1" w14:textId="77777777">
            <w:pPr>
              <w:autoSpaceDN/>
              <w:spacing w:line="259" w:lineRule="auto"/>
              <w:textAlignment w:val="auto"/>
              <w:rPr>
                <w:b/>
                <w:bCs/>
                <w:sz w:val="14"/>
                <w:szCs w:val="14"/>
              </w:rPr>
            </w:pPr>
            <w:r w:rsidRPr="00B76A0D">
              <w:rPr>
                <w:b/>
                <w:bCs/>
                <w:sz w:val="14"/>
                <w:szCs w:val="14"/>
              </w:rPr>
              <w:t>Eritrese</w:t>
            </w:r>
          </w:p>
        </w:tc>
        <w:tc>
          <w:tcPr>
            <w:tcW w:w="1076" w:type="dxa"/>
            <w:noWrap/>
            <w:hideMark/>
          </w:tcPr>
          <w:p w:rsidRPr="00B76A0D" w:rsidR="001F7437" w:rsidP="00FE7786" w:rsidRDefault="001F7437" w14:paraId="0DDCB397" w14:textId="77777777">
            <w:pPr>
              <w:autoSpaceDN/>
              <w:spacing w:line="259" w:lineRule="auto"/>
              <w:textAlignment w:val="auto"/>
              <w:rPr>
                <w:b/>
                <w:bCs/>
                <w:sz w:val="14"/>
                <w:szCs w:val="14"/>
              </w:rPr>
            </w:pPr>
            <w:r w:rsidRPr="00B76A0D">
              <w:rPr>
                <w:b/>
                <w:bCs/>
                <w:sz w:val="14"/>
                <w:szCs w:val="14"/>
              </w:rPr>
              <w:t>Somalische</w:t>
            </w:r>
          </w:p>
        </w:tc>
        <w:tc>
          <w:tcPr>
            <w:tcW w:w="1076" w:type="dxa"/>
            <w:noWrap/>
            <w:hideMark/>
          </w:tcPr>
          <w:p w:rsidRPr="00B76A0D" w:rsidR="001F7437" w:rsidP="00FE7786" w:rsidRDefault="001F7437" w14:paraId="66E258A2" w14:textId="77777777">
            <w:pPr>
              <w:autoSpaceDN/>
              <w:spacing w:line="259" w:lineRule="auto"/>
              <w:textAlignment w:val="auto"/>
              <w:rPr>
                <w:b/>
                <w:bCs/>
                <w:sz w:val="14"/>
                <w:szCs w:val="14"/>
              </w:rPr>
            </w:pPr>
            <w:r w:rsidRPr="00B76A0D">
              <w:rPr>
                <w:b/>
                <w:bCs/>
                <w:sz w:val="14"/>
                <w:szCs w:val="14"/>
              </w:rPr>
              <w:t>Jemenitische</w:t>
            </w:r>
          </w:p>
        </w:tc>
        <w:tc>
          <w:tcPr>
            <w:tcW w:w="1076" w:type="dxa"/>
            <w:noWrap/>
            <w:hideMark/>
          </w:tcPr>
          <w:p w:rsidRPr="00B76A0D" w:rsidR="001F7437" w:rsidP="00FE7786" w:rsidRDefault="001F7437" w14:paraId="146F2236" w14:textId="77777777">
            <w:pPr>
              <w:autoSpaceDN/>
              <w:spacing w:line="259" w:lineRule="auto"/>
              <w:textAlignment w:val="auto"/>
              <w:rPr>
                <w:b/>
                <w:bCs/>
                <w:sz w:val="14"/>
                <w:szCs w:val="14"/>
              </w:rPr>
            </w:pPr>
            <w:r w:rsidRPr="00B76A0D">
              <w:rPr>
                <w:b/>
                <w:bCs/>
                <w:sz w:val="14"/>
                <w:szCs w:val="14"/>
              </w:rPr>
              <w:t>Afghaanse</w:t>
            </w:r>
          </w:p>
        </w:tc>
      </w:tr>
      <w:tr w:rsidRPr="00B76A0D" w:rsidR="001F7437" w:rsidTr="00FE7786" w14:paraId="3244A6AF" w14:textId="77777777">
        <w:trPr>
          <w:trHeight w:val="300"/>
        </w:trPr>
        <w:tc>
          <w:tcPr>
            <w:tcW w:w="1075" w:type="dxa"/>
            <w:noWrap/>
            <w:hideMark/>
          </w:tcPr>
          <w:p w:rsidR="001F7437" w:rsidP="00FE7786" w:rsidRDefault="001F7437" w14:paraId="4EFC2A20" w14:textId="77777777">
            <w:pPr>
              <w:autoSpaceDN/>
              <w:spacing w:line="259" w:lineRule="auto"/>
              <w:textAlignment w:val="auto"/>
              <w:rPr>
                <w:b/>
                <w:bCs/>
                <w:sz w:val="14"/>
                <w:szCs w:val="14"/>
              </w:rPr>
            </w:pPr>
            <w:r w:rsidRPr="00B76A0D">
              <w:rPr>
                <w:b/>
                <w:bCs/>
                <w:sz w:val="14"/>
                <w:szCs w:val="14"/>
              </w:rPr>
              <w:t>Nederland</w:t>
            </w:r>
          </w:p>
          <w:p w:rsidRPr="00B76A0D" w:rsidR="00CA4226" w:rsidP="00FE7786" w:rsidRDefault="00CA4226" w14:paraId="7C4724F5" w14:textId="12AD1B78">
            <w:pPr>
              <w:autoSpaceDN/>
              <w:spacing w:line="259" w:lineRule="auto"/>
              <w:textAlignment w:val="auto"/>
              <w:rPr>
                <w:b/>
                <w:bCs/>
                <w:sz w:val="14"/>
                <w:szCs w:val="14"/>
              </w:rPr>
            </w:pPr>
            <w:r>
              <w:rPr>
                <w:b/>
                <w:bCs/>
                <w:sz w:val="14"/>
                <w:szCs w:val="14"/>
              </w:rPr>
              <w:t>(1.740)</w:t>
            </w:r>
          </w:p>
        </w:tc>
        <w:tc>
          <w:tcPr>
            <w:tcW w:w="1076" w:type="dxa"/>
            <w:noWrap/>
            <w:hideMark/>
          </w:tcPr>
          <w:p w:rsidRPr="00B76A0D" w:rsidR="001F7437" w:rsidP="00FE7786" w:rsidRDefault="001F7437" w14:paraId="5061C8CF" w14:textId="77777777">
            <w:pPr>
              <w:autoSpaceDN/>
              <w:spacing w:line="259" w:lineRule="auto"/>
              <w:textAlignment w:val="auto"/>
              <w:rPr>
                <w:b/>
                <w:bCs/>
                <w:sz w:val="14"/>
                <w:szCs w:val="14"/>
              </w:rPr>
            </w:pPr>
            <w:r w:rsidRPr="00B76A0D">
              <w:rPr>
                <w:b/>
                <w:bCs/>
                <w:sz w:val="14"/>
                <w:szCs w:val="14"/>
              </w:rPr>
              <w:t>97%</w:t>
            </w:r>
          </w:p>
        </w:tc>
        <w:tc>
          <w:tcPr>
            <w:tcW w:w="1076" w:type="dxa"/>
            <w:noWrap/>
            <w:hideMark/>
          </w:tcPr>
          <w:p w:rsidRPr="00B76A0D" w:rsidR="001F7437" w:rsidP="00FE7786" w:rsidRDefault="001F7437" w14:paraId="52618623" w14:textId="77777777">
            <w:pPr>
              <w:autoSpaceDN/>
              <w:spacing w:line="259" w:lineRule="auto"/>
              <w:textAlignment w:val="auto"/>
              <w:rPr>
                <w:b/>
                <w:bCs/>
                <w:sz w:val="14"/>
                <w:szCs w:val="14"/>
              </w:rPr>
            </w:pPr>
            <w:r w:rsidRPr="00B76A0D">
              <w:rPr>
                <w:b/>
                <w:bCs/>
                <w:sz w:val="14"/>
                <w:szCs w:val="14"/>
              </w:rPr>
              <w:t>100%</w:t>
            </w:r>
          </w:p>
        </w:tc>
        <w:tc>
          <w:tcPr>
            <w:tcW w:w="1076" w:type="dxa"/>
            <w:noWrap/>
            <w:hideMark/>
          </w:tcPr>
          <w:p w:rsidRPr="00B76A0D" w:rsidR="001F7437" w:rsidP="00FE7786" w:rsidRDefault="001F7437" w14:paraId="0263DDDC" w14:textId="77777777">
            <w:pPr>
              <w:autoSpaceDN/>
              <w:spacing w:line="259" w:lineRule="auto"/>
              <w:textAlignment w:val="auto"/>
              <w:rPr>
                <w:b/>
                <w:bCs/>
                <w:sz w:val="14"/>
                <w:szCs w:val="14"/>
              </w:rPr>
            </w:pPr>
            <w:r w:rsidRPr="00B76A0D">
              <w:rPr>
                <w:b/>
                <w:bCs/>
                <w:sz w:val="14"/>
                <w:szCs w:val="14"/>
              </w:rPr>
              <w:t>98%</w:t>
            </w:r>
          </w:p>
        </w:tc>
        <w:tc>
          <w:tcPr>
            <w:tcW w:w="1076" w:type="dxa"/>
            <w:noWrap/>
            <w:hideMark/>
          </w:tcPr>
          <w:p w:rsidRPr="00B76A0D" w:rsidR="001F7437" w:rsidP="00FE7786" w:rsidRDefault="001F7437" w14:paraId="4C42FF09" w14:textId="77777777">
            <w:pPr>
              <w:autoSpaceDN/>
              <w:spacing w:line="259" w:lineRule="auto"/>
              <w:textAlignment w:val="auto"/>
              <w:rPr>
                <w:b/>
                <w:bCs/>
                <w:sz w:val="14"/>
                <w:szCs w:val="14"/>
              </w:rPr>
            </w:pPr>
            <w:r w:rsidRPr="00B76A0D">
              <w:rPr>
                <w:b/>
                <w:bCs/>
                <w:sz w:val="14"/>
                <w:szCs w:val="14"/>
              </w:rPr>
              <w:t>79%</w:t>
            </w:r>
          </w:p>
        </w:tc>
        <w:tc>
          <w:tcPr>
            <w:tcW w:w="1076" w:type="dxa"/>
            <w:noWrap/>
            <w:hideMark/>
          </w:tcPr>
          <w:p w:rsidRPr="00B76A0D" w:rsidR="001F7437" w:rsidP="00FE7786" w:rsidRDefault="001F7437" w14:paraId="413EEC5D" w14:textId="77777777">
            <w:pPr>
              <w:autoSpaceDN/>
              <w:spacing w:line="259" w:lineRule="auto"/>
              <w:textAlignment w:val="auto"/>
              <w:rPr>
                <w:b/>
                <w:bCs/>
                <w:sz w:val="14"/>
                <w:szCs w:val="14"/>
              </w:rPr>
            </w:pPr>
            <w:r w:rsidRPr="00B76A0D">
              <w:rPr>
                <w:b/>
                <w:bCs/>
                <w:sz w:val="14"/>
                <w:szCs w:val="14"/>
              </w:rPr>
              <w:t>80%</w:t>
            </w:r>
          </w:p>
        </w:tc>
        <w:tc>
          <w:tcPr>
            <w:tcW w:w="1076" w:type="dxa"/>
            <w:noWrap/>
            <w:hideMark/>
          </w:tcPr>
          <w:p w:rsidRPr="00B76A0D" w:rsidR="001F7437" w:rsidP="00FE7786" w:rsidRDefault="001F7437" w14:paraId="25FE9270" w14:textId="77777777">
            <w:pPr>
              <w:autoSpaceDN/>
              <w:spacing w:line="259" w:lineRule="auto"/>
              <w:textAlignment w:val="auto"/>
              <w:rPr>
                <w:b/>
                <w:bCs/>
                <w:sz w:val="14"/>
                <w:szCs w:val="14"/>
              </w:rPr>
            </w:pPr>
            <w:r w:rsidRPr="00B76A0D">
              <w:rPr>
                <w:b/>
                <w:bCs/>
                <w:sz w:val="14"/>
                <w:szCs w:val="14"/>
              </w:rPr>
              <w:t>67%</w:t>
            </w:r>
          </w:p>
        </w:tc>
      </w:tr>
      <w:tr w:rsidRPr="00B76A0D" w:rsidR="001F7437" w:rsidTr="00FE7786" w14:paraId="67BA794C" w14:textId="77777777">
        <w:trPr>
          <w:trHeight w:val="300"/>
        </w:trPr>
        <w:tc>
          <w:tcPr>
            <w:tcW w:w="1075" w:type="dxa"/>
            <w:noWrap/>
          </w:tcPr>
          <w:p w:rsidR="001F7437" w:rsidP="00FE7786" w:rsidRDefault="001F7437" w14:paraId="257B6C8F" w14:textId="77777777">
            <w:pPr>
              <w:autoSpaceDN/>
              <w:spacing w:line="259" w:lineRule="auto"/>
              <w:textAlignment w:val="auto"/>
              <w:rPr>
                <w:i/>
                <w:iCs/>
                <w:sz w:val="14"/>
                <w:szCs w:val="14"/>
              </w:rPr>
            </w:pPr>
            <w:r w:rsidRPr="0093783A">
              <w:rPr>
                <w:i/>
                <w:iCs/>
                <w:sz w:val="14"/>
                <w:szCs w:val="14"/>
              </w:rPr>
              <w:t>EU-27*</w:t>
            </w:r>
          </w:p>
          <w:p w:rsidRPr="0093783A" w:rsidR="00CA4226" w:rsidP="00FE7786" w:rsidRDefault="00CA4226" w14:paraId="0EBB52CE" w14:textId="3A994C79">
            <w:pPr>
              <w:autoSpaceDN/>
              <w:spacing w:line="259" w:lineRule="auto"/>
              <w:textAlignment w:val="auto"/>
              <w:rPr>
                <w:i/>
                <w:iCs/>
                <w:sz w:val="14"/>
                <w:szCs w:val="14"/>
              </w:rPr>
            </w:pPr>
            <w:r>
              <w:rPr>
                <w:i/>
                <w:iCs/>
                <w:sz w:val="14"/>
                <w:szCs w:val="14"/>
              </w:rPr>
              <w:t>(8.870)</w:t>
            </w:r>
          </w:p>
        </w:tc>
        <w:tc>
          <w:tcPr>
            <w:tcW w:w="1076" w:type="dxa"/>
            <w:noWrap/>
          </w:tcPr>
          <w:p w:rsidRPr="0093783A" w:rsidR="001F7437" w:rsidP="00FE7786" w:rsidRDefault="001F7437" w14:paraId="43646A66" w14:textId="77777777">
            <w:pPr>
              <w:autoSpaceDN/>
              <w:spacing w:line="259" w:lineRule="auto"/>
              <w:textAlignment w:val="auto"/>
              <w:rPr>
                <w:i/>
                <w:iCs/>
                <w:sz w:val="14"/>
                <w:szCs w:val="14"/>
              </w:rPr>
            </w:pPr>
            <w:r w:rsidRPr="0093783A">
              <w:rPr>
                <w:i/>
                <w:iCs/>
                <w:sz w:val="14"/>
                <w:szCs w:val="14"/>
              </w:rPr>
              <w:t>86%*</w:t>
            </w:r>
          </w:p>
        </w:tc>
        <w:tc>
          <w:tcPr>
            <w:tcW w:w="1076" w:type="dxa"/>
            <w:noWrap/>
          </w:tcPr>
          <w:p w:rsidRPr="0093783A" w:rsidR="001F7437" w:rsidP="00FE7786" w:rsidRDefault="001F7437" w14:paraId="7E52A26B" w14:textId="77777777">
            <w:pPr>
              <w:autoSpaceDN/>
              <w:spacing w:line="259" w:lineRule="auto"/>
              <w:textAlignment w:val="auto"/>
              <w:rPr>
                <w:i/>
                <w:iCs/>
                <w:sz w:val="14"/>
                <w:szCs w:val="14"/>
              </w:rPr>
            </w:pPr>
            <w:r w:rsidRPr="0093783A">
              <w:rPr>
                <w:i/>
                <w:iCs/>
                <w:sz w:val="14"/>
                <w:szCs w:val="14"/>
              </w:rPr>
              <w:t>99%*</w:t>
            </w:r>
          </w:p>
        </w:tc>
        <w:tc>
          <w:tcPr>
            <w:tcW w:w="1076" w:type="dxa"/>
            <w:noWrap/>
          </w:tcPr>
          <w:p w:rsidRPr="0093783A" w:rsidR="001F7437" w:rsidP="00FE7786" w:rsidRDefault="001F7437" w14:paraId="432DDB22" w14:textId="77777777">
            <w:pPr>
              <w:autoSpaceDN/>
              <w:spacing w:line="259" w:lineRule="auto"/>
              <w:textAlignment w:val="auto"/>
              <w:rPr>
                <w:i/>
                <w:iCs/>
                <w:sz w:val="14"/>
                <w:szCs w:val="14"/>
              </w:rPr>
            </w:pPr>
            <w:r w:rsidRPr="0093783A">
              <w:rPr>
                <w:i/>
                <w:iCs/>
                <w:sz w:val="14"/>
                <w:szCs w:val="14"/>
              </w:rPr>
              <w:t>98%*</w:t>
            </w:r>
          </w:p>
        </w:tc>
        <w:tc>
          <w:tcPr>
            <w:tcW w:w="1076" w:type="dxa"/>
            <w:noWrap/>
          </w:tcPr>
          <w:p w:rsidRPr="0093783A" w:rsidR="001F7437" w:rsidP="00FE7786" w:rsidRDefault="001F7437" w14:paraId="513C6F5B" w14:textId="77777777">
            <w:pPr>
              <w:autoSpaceDN/>
              <w:spacing w:line="259" w:lineRule="auto"/>
              <w:textAlignment w:val="auto"/>
              <w:rPr>
                <w:i/>
                <w:iCs/>
                <w:sz w:val="14"/>
                <w:szCs w:val="14"/>
              </w:rPr>
            </w:pPr>
            <w:r w:rsidRPr="0093783A">
              <w:rPr>
                <w:i/>
                <w:iCs/>
                <w:sz w:val="14"/>
                <w:szCs w:val="14"/>
              </w:rPr>
              <w:t>84%*</w:t>
            </w:r>
          </w:p>
        </w:tc>
        <w:tc>
          <w:tcPr>
            <w:tcW w:w="1076" w:type="dxa"/>
            <w:noWrap/>
          </w:tcPr>
          <w:p w:rsidRPr="0093783A" w:rsidR="001F7437" w:rsidP="00FE7786" w:rsidRDefault="001F7437" w14:paraId="1688E541" w14:textId="77777777">
            <w:pPr>
              <w:autoSpaceDN/>
              <w:spacing w:line="259" w:lineRule="auto"/>
              <w:textAlignment w:val="auto"/>
              <w:rPr>
                <w:i/>
                <w:iCs/>
                <w:sz w:val="14"/>
                <w:szCs w:val="14"/>
              </w:rPr>
            </w:pPr>
            <w:r w:rsidRPr="0093783A">
              <w:rPr>
                <w:i/>
                <w:iCs/>
                <w:sz w:val="14"/>
                <w:szCs w:val="14"/>
              </w:rPr>
              <w:t>83%*</w:t>
            </w:r>
          </w:p>
        </w:tc>
        <w:tc>
          <w:tcPr>
            <w:tcW w:w="1076" w:type="dxa"/>
            <w:noWrap/>
          </w:tcPr>
          <w:p w:rsidRPr="0093783A" w:rsidR="001F7437" w:rsidP="00FE7786" w:rsidRDefault="001F7437" w14:paraId="1CCFB75F" w14:textId="77777777">
            <w:pPr>
              <w:autoSpaceDN/>
              <w:spacing w:line="259" w:lineRule="auto"/>
              <w:textAlignment w:val="auto"/>
              <w:rPr>
                <w:i/>
                <w:iCs/>
                <w:sz w:val="14"/>
                <w:szCs w:val="14"/>
              </w:rPr>
            </w:pPr>
            <w:r w:rsidRPr="0093783A">
              <w:rPr>
                <w:i/>
                <w:iCs/>
                <w:sz w:val="14"/>
                <w:szCs w:val="14"/>
              </w:rPr>
              <w:t>87%*</w:t>
            </w:r>
          </w:p>
        </w:tc>
      </w:tr>
      <w:tr w:rsidRPr="00B76A0D" w:rsidR="001F7437" w:rsidTr="00FE7786" w14:paraId="65881990" w14:textId="77777777">
        <w:trPr>
          <w:trHeight w:val="300"/>
        </w:trPr>
        <w:tc>
          <w:tcPr>
            <w:tcW w:w="1075" w:type="dxa"/>
            <w:noWrap/>
            <w:hideMark/>
          </w:tcPr>
          <w:p w:rsidR="001F7437" w:rsidP="00FE7786" w:rsidRDefault="001F7437" w14:paraId="113360BC" w14:textId="77777777">
            <w:pPr>
              <w:autoSpaceDN/>
              <w:spacing w:line="259" w:lineRule="auto"/>
              <w:textAlignment w:val="auto"/>
              <w:rPr>
                <w:sz w:val="14"/>
                <w:szCs w:val="14"/>
              </w:rPr>
            </w:pPr>
            <w:r w:rsidRPr="00B76A0D">
              <w:rPr>
                <w:sz w:val="14"/>
                <w:szCs w:val="14"/>
              </w:rPr>
              <w:t>Duitsland</w:t>
            </w:r>
          </w:p>
          <w:p w:rsidRPr="00B76A0D" w:rsidR="00CA4226" w:rsidP="00FE7786" w:rsidRDefault="00CA4226" w14:paraId="77CC44E1" w14:textId="6F5D1159">
            <w:pPr>
              <w:autoSpaceDN/>
              <w:spacing w:line="259" w:lineRule="auto"/>
              <w:textAlignment w:val="auto"/>
              <w:rPr>
                <w:sz w:val="14"/>
                <w:szCs w:val="14"/>
              </w:rPr>
            </w:pPr>
            <w:r>
              <w:rPr>
                <w:sz w:val="14"/>
                <w:szCs w:val="14"/>
              </w:rPr>
              <w:t>(3.770)</w:t>
            </w:r>
          </w:p>
        </w:tc>
        <w:tc>
          <w:tcPr>
            <w:tcW w:w="1076" w:type="dxa"/>
            <w:noWrap/>
            <w:hideMark/>
          </w:tcPr>
          <w:p w:rsidRPr="00B76A0D" w:rsidR="001F7437" w:rsidP="00FE7786" w:rsidRDefault="001F7437" w14:paraId="727B57A2" w14:textId="77777777">
            <w:pPr>
              <w:autoSpaceDN/>
              <w:spacing w:line="259" w:lineRule="auto"/>
              <w:textAlignment w:val="auto"/>
              <w:rPr>
                <w:sz w:val="14"/>
                <w:szCs w:val="14"/>
              </w:rPr>
            </w:pPr>
            <w:r w:rsidRPr="00B76A0D">
              <w:rPr>
                <w:sz w:val="14"/>
                <w:szCs w:val="14"/>
              </w:rPr>
              <w:t>94%</w:t>
            </w:r>
          </w:p>
        </w:tc>
        <w:tc>
          <w:tcPr>
            <w:tcW w:w="1076" w:type="dxa"/>
            <w:noWrap/>
            <w:hideMark/>
          </w:tcPr>
          <w:p w:rsidRPr="00B76A0D" w:rsidR="001F7437" w:rsidP="00FE7786" w:rsidRDefault="001F7437" w14:paraId="00DDD146" w14:textId="77777777">
            <w:pPr>
              <w:autoSpaceDN/>
              <w:spacing w:line="259" w:lineRule="auto"/>
              <w:textAlignment w:val="auto"/>
              <w:rPr>
                <w:sz w:val="14"/>
                <w:szCs w:val="14"/>
              </w:rPr>
            </w:pPr>
            <w:r w:rsidRPr="00B76A0D">
              <w:rPr>
                <w:sz w:val="14"/>
                <w:szCs w:val="14"/>
              </w:rPr>
              <w:t>100%</w:t>
            </w:r>
          </w:p>
        </w:tc>
        <w:tc>
          <w:tcPr>
            <w:tcW w:w="1076" w:type="dxa"/>
            <w:noWrap/>
            <w:hideMark/>
          </w:tcPr>
          <w:p w:rsidRPr="00B76A0D" w:rsidR="001F7437" w:rsidP="00FE7786" w:rsidRDefault="001F7437" w14:paraId="58B221CD" w14:textId="77777777">
            <w:pPr>
              <w:autoSpaceDN/>
              <w:spacing w:line="259" w:lineRule="auto"/>
              <w:textAlignment w:val="auto"/>
              <w:rPr>
                <w:sz w:val="14"/>
                <w:szCs w:val="14"/>
              </w:rPr>
            </w:pPr>
            <w:r w:rsidRPr="00B76A0D">
              <w:rPr>
                <w:sz w:val="14"/>
                <w:szCs w:val="14"/>
              </w:rPr>
              <w:t>100%</w:t>
            </w:r>
          </w:p>
        </w:tc>
        <w:tc>
          <w:tcPr>
            <w:tcW w:w="1076" w:type="dxa"/>
            <w:noWrap/>
            <w:hideMark/>
          </w:tcPr>
          <w:p w:rsidRPr="00B76A0D" w:rsidR="001F7437" w:rsidP="00FE7786" w:rsidRDefault="001F7437" w14:paraId="44C7983B" w14:textId="77777777">
            <w:pPr>
              <w:autoSpaceDN/>
              <w:spacing w:line="259" w:lineRule="auto"/>
              <w:textAlignment w:val="auto"/>
              <w:rPr>
                <w:sz w:val="14"/>
                <w:szCs w:val="14"/>
              </w:rPr>
            </w:pPr>
            <w:r w:rsidRPr="00B76A0D">
              <w:rPr>
                <w:sz w:val="14"/>
                <w:szCs w:val="14"/>
              </w:rPr>
              <w:t>94%</w:t>
            </w:r>
          </w:p>
        </w:tc>
        <w:tc>
          <w:tcPr>
            <w:tcW w:w="1076" w:type="dxa"/>
            <w:noWrap/>
            <w:hideMark/>
          </w:tcPr>
          <w:p w:rsidRPr="00B76A0D" w:rsidR="001F7437" w:rsidP="00FE7786" w:rsidRDefault="001F7437" w14:paraId="3827DDCF" w14:textId="77777777">
            <w:pPr>
              <w:autoSpaceDN/>
              <w:spacing w:line="259" w:lineRule="auto"/>
              <w:textAlignment w:val="auto"/>
              <w:rPr>
                <w:sz w:val="14"/>
                <w:szCs w:val="14"/>
              </w:rPr>
            </w:pPr>
            <w:r w:rsidRPr="00B76A0D">
              <w:rPr>
                <w:sz w:val="14"/>
                <w:szCs w:val="14"/>
              </w:rPr>
              <w:t> </w:t>
            </w:r>
          </w:p>
        </w:tc>
        <w:tc>
          <w:tcPr>
            <w:tcW w:w="1076" w:type="dxa"/>
            <w:noWrap/>
            <w:hideMark/>
          </w:tcPr>
          <w:p w:rsidRPr="00B76A0D" w:rsidR="001F7437" w:rsidP="00FE7786" w:rsidRDefault="001F7437" w14:paraId="6C7527E3" w14:textId="77777777">
            <w:pPr>
              <w:autoSpaceDN/>
              <w:spacing w:line="259" w:lineRule="auto"/>
              <w:textAlignment w:val="auto"/>
              <w:rPr>
                <w:sz w:val="14"/>
                <w:szCs w:val="14"/>
              </w:rPr>
            </w:pPr>
            <w:r w:rsidRPr="00B76A0D">
              <w:rPr>
                <w:sz w:val="14"/>
                <w:szCs w:val="14"/>
              </w:rPr>
              <w:t>98%</w:t>
            </w:r>
          </w:p>
        </w:tc>
      </w:tr>
      <w:tr w:rsidRPr="00B76A0D" w:rsidR="001F7437" w:rsidTr="00FE7786" w14:paraId="6BF00FF9" w14:textId="77777777">
        <w:trPr>
          <w:trHeight w:val="300"/>
        </w:trPr>
        <w:tc>
          <w:tcPr>
            <w:tcW w:w="1075" w:type="dxa"/>
            <w:noWrap/>
            <w:hideMark/>
          </w:tcPr>
          <w:p w:rsidR="001F7437" w:rsidP="00FE7786" w:rsidRDefault="001F7437" w14:paraId="46A2138B" w14:textId="77777777">
            <w:pPr>
              <w:autoSpaceDN/>
              <w:spacing w:line="259" w:lineRule="auto"/>
              <w:textAlignment w:val="auto"/>
              <w:rPr>
                <w:sz w:val="14"/>
                <w:szCs w:val="14"/>
              </w:rPr>
            </w:pPr>
            <w:r w:rsidRPr="00B76A0D">
              <w:rPr>
                <w:sz w:val="14"/>
                <w:szCs w:val="14"/>
              </w:rPr>
              <w:t>België</w:t>
            </w:r>
          </w:p>
          <w:p w:rsidRPr="00B76A0D" w:rsidR="00CA4226" w:rsidP="00FE7786" w:rsidRDefault="00CA4226" w14:paraId="31498AF2" w14:textId="0D97D02F">
            <w:pPr>
              <w:autoSpaceDN/>
              <w:spacing w:line="259" w:lineRule="auto"/>
              <w:textAlignment w:val="auto"/>
              <w:rPr>
                <w:sz w:val="14"/>
                <w:szCs w:val="14"/>
              </w:rPr>
            </w:pPr>
            <w:r>
              <w:rPr>
                <w:sz w:val="14"/>
                <w:szCs w:val="14"/>
              </w:rPr>
              <w:t>(815)</w:t>
            </w:r>
          </w:p>
        </w:tc>
        <w:tc>
          <w:tcPr>
            <w:tcW w:w="1076" w:type="dxa"/>
            <w:noWrap/>
            <w:hideMark/>
          </w:tcPr>
          <w:p w:rsidRPr="00B76A0D" w:rsidR="001F7437" w:rsidP="00FE7786" w:rsidRDefault="001F7437" w14:paraId="6D643363" w14:textId="77777777">
            <w:pPr>
              <w:autoSpaceDN/>
              <w:spacing w:line="259" w:lineRule="auto"/>
              <w:textAlignment w:val="auto"/>
              <w:rPr>
                <w:sz w:val="14"/>
                <w:szCs w:val="14"/>
              </w:rPr>
            </w:pPr>
            <w:r w:rsidRPr="00B76A0D">
              <w:rPr>
                <w:sz w:val="14"/>
                <w:szCs w:val="14"/>
              </w:rPr>
              <w:t>66%</w:t>
            </w:r>
          </w:p>
        </w:tc>
        <w:tc>
          <w:tcPr>
            <w:tcW w:w="1076" w:type="dxa"/>
            <w:noWrap/>
            <w:hideMark/>
          </w:tcPr>
          <w:p w:rsidRPr="00B76A0D" w:rsidR="001F7437" w:rsidP="00FE7786" w:rsidRDefault="001F7437" w14:paraId="38145620" w14:textId="77777777">
            <w:pPr>
              <w:autoSpaceDN/>
              <w:spacing w:line="259" w:lineRule="auto"/>
              <w:textAlignment w:val="auto"/>
              <w:rPr>
                <w:sz w:val="14"/>
                <w:szCs w:val="14"/>
              </w:rPr>
            </w:pPr>
            <w:r w:rsidRPr="00B76A0D">
              <w:rPr>
                <w:sz w:val="14"/>
                <w:szCs w:val="14"/>
              </w:rPr>
              <w:t>100%</w:t>
            </w:r>
          </w:p>
        </w:tc>
        <w:tc>
          <w:tcPr>
            <w:tcW w:w="1076" w:type="dxa"/>
            <w:noWrap/>
            <w:hideMark/>
          </w:tcPr>
          <w:p w:rsidRPr="00B76A0D" w:rsidR="001F7437" w:rsidP="00FE7786" w:rsidRDefault="001F7437" w14:paraId="7F38D885" w14:textId="77777777">
            <w:pPr>
              <w:autoSpaceDN/>
              <w:spacing w:line="259" w:lineRule="auto"/>
              <w:textAlignment w:val="auto"/>
              <w:rPr>
                <w:sz w:val="14"/>
                <w:szCs w:val="14"/>
              </w:rPr>
            </w:pPr>
            <w:r w:rsidRPr="00B76A0D">
              <w:rPr>
                <w:sz w:val="14"/>
                <w:szCs w:val="14"/>
              </w:rPr>
              <w:t>100%</w:t>
            </w:r>
          </w:p>
        </w:tc>
        <w:tc>
          <w:tcPr>
            <w:tcW w:w="1076" w:type="dxa"/>
            <w:noWrap/>
            <w:hideMark/>
          </w:tcPr>
          <w:p w:rsidRPr="00B76A0D" w:rsidR="001F7437" w:rsidP="00FE7786" w:rsidRDefault="001F7437" w14:paraId="42D770C9" w14:textId="77777777">
            <w:pPr>
              <w:autoSpaceDN/>
              <w:spacing w:line="259" w:lineRule="auto"/>
              <w:textAlignment w:val="auto"/>
              <w:rPr>
                <w:sz w:val="14"/>
                <w:szCs w:val="14"/>
              </w:rPr>
            </w:pPr>
            <w:r w:rsidRPr="00B76A0D">
              <w:rPr>
                <w:sz w:val="14"/>
                <w:szCs w:val="14"/>
              </w:rPr>
              <w:t>50%</w:t>
            </w:r>
          </w:p>
        </w:tc>
        <w:tc>
          <w:tcPr>
            <w:tcW w:w="1076" w:type="dxa"/>
            <w:noWrap/>
            <w:hideMark/>
          </w:tcPr>
          <w:p w:rsidRPr="00B76A0D" w:rsidR="001F7437" w:rsidP="00FE7786" w:rsidRDefault="001F7437" w14:paraId="5E0E9C45" w14:textId="77777777">
            <w:pPr>
              <w:autoSpaceDN/>
              <w:spacing w:line="259" w:lineRule="auto"/>
              <w:textAlignment w:val="auto"/>
              <w:rPr>
                <w:sz w:val="14"/>
                <w:szCs w:val="14"/>
              </w:rPr>
            </w:pPr>
            <w:r w:rsidRPr="00B76A0D">
              <w:rPr>
                <w:sz w:val="14"/>
                <w:szCs w:val="14"/>
              </w:rPr>
              <w:t> </w:t>
            </w:r>
          </w:p>
        </w:tc>
        <w:tc>
          <w:tcPr>
            <w:tcW w:w="1076" w:type="dxa"/>
            <w:noWrap/>
            <w:hideMark/>
          </w:tcPr>
          <w:p w:rsidRPr="00B76A0D" w:rsidR="001F7437" w:rsidP="00FE7786" w:rsidRDefault="001F7437" w14:paraId="718DE751" w14:textId="77777777">
            <w:pPr>
              <w:autoSpaceDN/>
              <w:spacing w:line="259" w:lineRule="auto"/>
              <w:textAlignment w:val="auto"/>
              <w:rPr>
                <w:sz w:val="14"/>
                <w:szCs w:val="14"/>
              </w:rPr>
            </w:pPr>
            <w:r w:rsidRPr="00B76A0D">
              <w:rPr>
                <w:sz w:val="14"/>
                <w:szCs w:val="14"/>
              </w:rPr>
              <w:t>47%</w:t>
            </w:r>
          </w:p>
        </w:tc>
      </w:tr>
      <w:tr w:rsidRPr="00B76A0D" w:rsidR="001F7437" w:rsidTr="00FE7786" w14:paraId="24B0F1C9" w14:textId="77777777">
        <w:trPr>
          <w:trHeight w:val="300"/>
        </w:trPr>
        <w:tc>
          <w:tcPr>
            <w:tcW w:w="1075" w:type="dxa"/>
            <w:noWrap/>
            <w:hideMark/>
          </w:tcPr>
          <w:p w:rsidR="001F7437" w:rsidP="00FE7786" w:rsidRDefault="001F7437" w14:paraId="0FEBCE48" w14:textId="77777777">
            <w:pPr>
              <w:autoSpaceDN/>
              <w:spacing w:line="259" w:lineRule="auto"/>
              <w:textAlignment w:val="auto"/>
              <w:rPr>
                <w:sz w:val="14"/>
                <w:szCs w:val="14"/>
              </w:rPr>
            </w:pPr>
            <w:r w:rsidRPr="00B76A0D">
              <w:rPr>
                <w:sz w:val="14"/>
                <w:szCs w:val="14"/>
              </w:rPr>
              <w:t>Frankrijk</w:t>
            </w:r>
          </w:p>
          <w:p w:rsidRPr="00B76A0D" w:rsidR="00CA4226" w:rsidP="00FE7786" w:rsidRDefault="00CA4226" w14:paraId="73A1C5E8" w14:textId="3FA78B3E">
            <w:pPr>
              <w:autoSpaceDN/>
              <w:spacing w:line="259" w:lineRule="auto"/>
              <w:textAlignment w:val="auto"/>
              <w:rPr>
                <w:sz w:val="14"/>
                <w:szCs w:val="14"/>
              </w:rPr>
            </w:pPr>
            <w:r>
              <w:rPr>
                <w:sz w:val="14"/>
                <w:szCs w:val="14"/>
              </w:rPr>
              <w:t>(395)</w:t>
            </w:r>
          </w:p>
        </w:tc>
        <w:tc>
          <w:tcPr>
            <w:tcW w:w="1076" w:type="dxa"/>
            <w:noWrap/>
            <w:hideMark/>
          </w:tcPr>
          <w:p w:rsidRPr="00B76A0D" w:rsidR="001F7437" w:rsidP="00FE7786" w:rsidRDefault="001F7437" w14:paraId="20323844" w14:textId="77777777">
            <w:pPr>
              <w:autoSpaceDN/>
              <w:spacing w:line="259" w:lineRule="auto"/>
              <w:textAlignment w:val="auto"/>
              <w:rPr>
                <w:sz w:val="14"/>
                <w:szCs w:val="14"/>
              </w:rPr>
            </w:pPr>
            <w:r w:rsidRPr="00B76A0D">
              <w:rPr>
                <w:sz w:val="14"/>
                <w:szCs w:val="14"/>
              </w:rPr>
              <w:t>85%</w:t>
            </w:r>
          </w:p>
        </w:tc>
        <w:tc>
          <w:tcPr>
            <w:tcW w:w="1076" w:type="dxa"/>
            <w:noWrap/>
            <w:hideMark/>
          </w:tcPr>
          <w:p w:rsidRPr="00B76A0D" w:rsidR="001F7437" w:rsidP="00FE7786" w:rsidRDefault="001F7437" w14:paraId="41A53A3B" w14:textId="77777777">
            <w:pPr>
              <w:autoSpaceDN/>
              <w:spacing w:line="259" w:lineRule="auto"/>
              <w:textAlignment w:val="auto"/>
              <w:rPr>
                <w:sz w:val="14"/>
                <w:szCs w:val="14"/>
              </w:rPr>
            </w:pPr>
            <w:r w:rsidRPr="00B76A0D">
              <w:rPr>
                <w:sz w:val="14"/>
                <w:szCs w:val="14"/>
              </w:rPr>
              <w:t>100%</w:t>
            </w:r>
          </w:p>
        </w:tc>
        <w:tc>
          <w:tcPr>
            <w:tcW w:w="1076" w:type="dxa"/>
            <w:noWrap/>
            <w:hideMark/>
          </w:tcPr>
          <w:p w:rsidRPr="00B76A0D" w:rsidR="001F7437" w:rsidP="00FE7786" w:rsidRDefault="001F7437" w14:paraId="7AB7C5BE" w14:textId="77777777">
            <w:pPr>
              <w:autoSpaceDN/>
              <w:spacing w:line="259" w:lineRule="auto"/>
              <w:textAlignment w:val="auto"/>
              <w:rPr>
                <w:sz w:val="14"/>
                <w:szCs w:val="14"/>
              </w:rPr>
            </w:pPr>
            <w:r w:rsidRPr="00B76A0D">
              <w:rPr>
                <w:sz w:val="14"/>
                <w:szCs w:val="14"/>
              </w:rPr>
              <w:t> </w:t>
            </w:r>
          </w:p>
        </w:tc>
        <w:tc>
          <w:tcPr>
            <w:tcW w:w="1076" w:type="dxa"/>
            <w:noWrap/>
            <w:hideMark/>
          </w:tcPr>
          <w:p w:rsidRPr="00B76A0D" w:rsidR="001F7437" w:rsidP="00FE7786" w:rsidRDefault="001F7437" w14:paraId="772A01D5" w14:textId="77777777">
            <w:pPr>
              <w:autoSpaceDN/>
              <w:spacing w:line="259" w:lineRule="auto"/>
              <w:textAlignment w:val="auto"/>
              <w:rPr>
                <w:sz w:val="14"/>
                <w:szCs w:val="14"/>
              </w:rPr>
            </w:pPr>
            <w:r w:rsidRPr="00B76A0D">
              <w:rPr>
                <w:sz w:val="14"/>
                <w:szCs w:val="14"/>
              </w:rPr>
              <w:t>50%</w:t>
            </w:r>
          </w:p>
        </w:tc>
        <w:tc>
          <w:tcPr>
            <w:tcW w:w="1076" w:type="dxa"/>
            <w:noWrap/>
            <w:hideMark/>
          </w:tcPr>
          <w:p w:rsidRPr="00B76A0D" w:rsidR="001F7437" w:rsidP="00FE7786" w:rsidRDefault="001F7437" w14:paraId="2195334E" w14:textId="77777777">
            <w:pPr>
              <w:autoSpaceDN/>
              <w:spacing w:line="259" w:lineRule="auto"/>
              <w:textAlignment w:val="auto"/>
              <w:rPr>
                <w:sz w:val="14"/>
                <w:szCs w:val="14"/>
              </w:rPr>
            </w:pPr>
            <w:r w:rsidRPr="00B76A0D">
              <w:rPr>
                <w:sz w:val="14"/>
                <w:szCs w:val="14"/>
              </w:rPr>
              <w:t> </w:t>
            </w:r>
          </w:p>
        </w:tc>
        <w:tc>
          <w:tcPr>
            <w:tcW w:w="1076" w:type="dxa"/>
            <w:noWrap/>
            <w:hideMark/>
          </w:tcPr>
          <w:p w:rsidRPr="00B76A0D" w:rsidR="001F7437" w:rsidP="00FE7786" w:rsidRDefault="001F7437" w14:paraId="73DDF29A" w14:textId="77777777">
            <w:pPr>
              <w:autoSpaceDN/>
              <w:spacing w:line="259" w:lineRule="auto"/>
              <w:textAlignment w:val="auto"/>
              <w:rPr>
                <w:sz w:val="14"/>
                <w:szCs w:val="14"/>
              </w:rPr>
            </w:pPr>
            <w:r w:rsidRPr="00B76A0D">
              <w:rPr>
                <w:sz w:val="14"/>
                <w:szCs w:val="14"/>
              </w:rPr>
              <w:t>100%</w:t>
            </w:r>
          </w:p>
        </w:tc>
      </w:tr>
      <w:tr w:rsidRPr="00B76A0D" w:rsidR="001F7437" w:rsidTr="00FE7786" w14:paraId="1D86516C" w14:textId="77777777">
        <w:trPr>
          <w:trHeight w:val="300"/>
        </w:trPr>
        <w:tc>
          <w:tcPr>
            <w:tcW w:w="1075" w:type="dxa"/>
            <w:noWrap/>
            <w:hideMark/>
          </w:tcPr>
          <w:p w:rsidR="001F7437" w:rsidP="00FE7786" w:rsidRDefault="001F7437" w14:paraId="48F5D3C3" w14:textId="77777777">
            <w:pPr>
              <w:autoSpaceDN/>
              <w:spacing w:line="259" w:lineRule="auto"/>
              <w:textAlignment w:val="auto"/>
              <w:rPr>
                <w:sz w:val="14"/>
                <w:szCs w:val="14"/>
              </w:rPr>
            </w:pPr>
            <w:r w:rsidRPr="00B76A0D">
              <w:rPr>
                <w:sz w:val="14"/>
                <w:szCs w:val="14"/>
              </w:rPr>
              <w:t>Oostenrijk</w:t>
            </w:r>
          </w:p>
          <w:p w:rsidRPr="00B76A0D" w:rsidR="00CA4226" w:rsidP="00FE7786" w:rsidRDefault="00CA4226" w14:paraId="33387EF7" w14:textId="027867F8">
            <w:pPr>
              <w:autoSpaceDN/>
              <w:spacing w:line="259" w:lineRule="auto"/>
              <w:textAlignment w:val="auto"/>
              <w:rPr>
                <w:sz w:val="14"/>
                <w:szCs w:val="14"/>
              </w:rPr>
            </w:pPr>
            <w:r>
              <w:rPr>
                <w:sz w:val="14"/>
                <w:szCs w:val="14"/>
              </w:rPr>
              <w:t>(315)</w:t>
            </w:r>
          </w:p>
        </w:tc>
        <w:tc>
          <w:tcPr>
            <w:tcW w:w="1076" w:type="dxa"/>
            <w:noWrap/>
            <w:hideMark/>
          </w:tcPr>
          <w:p w:rsidRPr="00B76A0D" w:rsidR="001F7437" w:rsidP="00FE7786" w:rsidRDefault="001F7437" w14:paraId="196BA67F" w14:textId="77777777">
            <w:pPr>
              <w:autoSpaceDN/>
              <w:spacing w:line="259" w:lineRule="auto"/>
              <w:textAlignment w:val="auto"/>
              <w:rPr>
                <w:sz w:val="14"/>
                <w:szCs w:val="14"/>
              </w:rPr>
            </w:pPr>
            <w:r w:rsidRPr="00B76A0D">
              <w:rPr>
                <w:sz w:val="14"/>
                <w:szCs w:val="14"/>
              </w:rPr>
              <w:t>90%</w:t>
            </w:r>
          </w:p>
        </w:tc>
        <w:tc>
          <w:tcPr>
            <w:tcW w:w="1076" w:type="dxa"/>
            <w:noWrap/>
            <w:hideMark/>
          </w:tcPr>
          <w:p w:rsidRPr="00B76A0D" w:rsidR="001F7437" w:rsidP="00FE7786" w:rsidRDefault="001F7437" w14:paraId="51DF04AB" w14:textId="77777777">
            <w:pPr>
              <w:autoSpaceDN/>
              <w:spacing w:line="259" w:lineRule="auto"/>
              <w:textAlignment w:val="auto"/>
              <w:rPr>
                <w:sz w:val="14"/>
                <w:szCs w:val="14"/>
              </w:rPr>
            </w:pPr>
            <w:r w:rsidRPr="00B76A0D">
              <w:rPr>
                <w:sz w:val="14"/>
                <w:szCs w:val="14"/>
              </w:rPr>
              <w:t>98%</w:t>
            </w:r>
          </w:p>
        </w:tc>
        <w:tc>
          <w:tcPr>
            <w:tcW w:w="1076" w:type="dxa"/>
            <w:noWrap/>
            <w:hideMark/>
          </w:tcPr>
          <w:p w:rsidRPr="00B76A0D" w:rsidR="001F7437" w:rsidP="00FE7786" w:rsidRDefault="001F7437" w14:paraId="73C2E63D" w14:textId="77777777">
            <w:pPr>
              <w:autoSpaceDN/>
              <w:spacing w:line="259" w:lineRule="auto"/>
              <w:textAlignment w:val="auto"/>
              <w:rPr>
                <w:sz w:val="14"/>
                <w:szCs w:val="14"/>
              </w:rPr>
            </w:pPr>
            <w:r w:rsidRPr="00B76A0D">
              <w:rPr>
                <w:sz w:val="14"/>
                <w:szCs w:val="14"/>
              </w:rPr>
              <w:t> </w:t>
            </w:r>
          </w:p>
        </w:tc>
        <w:tc>
          <w:tcPr>
            <w:tcW w:w="1076" w:type="dxa"/>
            <w:noWrap/>
            <w:hideMark/>
          </w:tcPr>
          <w:p w:rsidRPr="00B76A0D" w:rsidR="001F7437" w:rsidP="00FE7786" w:rsidRDefault="001F7437" w14:paraId="1707B55D" w14:textId="77777777">
            <w:pPr>
              <w:autoSpaceDN/>
              <w:spacing w:line="259" w:lineRule="auto"/>
              <w:textAlignment w:val="auto"/>
              <w:rPr>
                <w:sz w:val="14"/>
                <w:szCs w:val="14"/>
              </w:rPr>
            </w:pPr>
            <w:r w:rsidRPr="00B76A0D">
              <w:rPr>
                <w:sz w:val="14"/>
                <w:szCs w:val="14"/>
              </w:rPr>
              <w:t>100%</w:t>
            </w:r>
          </w:p>
        </w:tc>
        <w:tc>
          <w:tcPr>
            <w:tcW w:w="1076" w:type="dxa"/>
            <w:noWrap/>
            <w:hideMark/>
          </w:tcPr>
          <w:p w:rsidRPr="00B76A0D" w:rsidR="001F7437" w:rsidP="00FE7786" w:rsidRDefault="001F7437" w14:paraId="1DC5665C" w14:textId="77777777">
            <w:pPr>
              <w:autoSpaceDN/>
              <w:spacing w:line="259" w:lineRule="auto"/>
              <w:textAlignment w:val="auto"/>
              <w:rPr>
                <w:sz w:val="14"/>
                <w:szCs w:val="14"/>
              </w:rPr>
            </w:pPr>
            <w:r w:rsidRPr="00B76A0D">
              <w:rPr>
                <w:sz w:val="14"/>
                <w:szCs w:val="14"/>
              </w:rPr>
              <w:t> </w:t>
            </w:r>
          </w:p>
        </w:tc>
        <w:tc>
          <w:tcPr>
            <w:tcW w:w="1076" w:type="dxa"/>
            <w:noWrap/>
            <w:hideMark/>
          </w:tcPr>
          <w:p w:rsidRPr="00B76A0D" w:rsidR="001F7437" w:rsidP="00FE7786" w:rsidRDefault="001F7437" w14:paraId="38F4AC64" w14:textId="77777777">
            <w:pPr>
              <w:autoSpaceDN/>
              <w:spacing w:line="259" w:lineRule="auto"/>
              <w:textAlignment w:val="auto"/>
              <w:rPr>
                <w:sz w:val="14"/>
                <w:szCs w:val="14"/>
              </w:rPr>
            </w:pPr>
            <w:r w:rsidRPr="00B76A0D">
              <w:rPr>
                <w:sz w:val="14"/>
                <w:szCs w:val="14"/>
              </w:rPr>
              <w:t>91%</w:t>
            </w:r>
          </w:p>
        </w:tc>
      </w:tr>
      <w:tr w:rsidRPr="00B76A0D" w:rsidR="001F7437" w:rsidTr="00FE7786" w14:paraId="2A770FB2" w14:textId="77777777">
        <w:trPr>
          <w:trHeight w:val="300"/>
        </w:trPr>
        <w:tc>
          <w:tcPr>
            <w:tcW w:w="1075" w:type="dxa"/>
            <w:noWrap/>
            <w:hideMark/>
          </w:tcPr>
          <w:p w:rsidR="001F7437" w:rsidP="00FE7786" w:rsidRDefault="001F7437" w14:paraId="66DBB868" w14:textId="77777777">
            <w:pPr>
              <w:autoSpaceDN/>
              <w:spacing w:line="259" w:lineRule="auto"/>
              <w:textAlignment w:val="auto"/>
              <w:rPr>
                <w:sz w:val="14"/>
                <w:szCs w:val="14"/>
              </w:rPr>
            </w:pPr>
            <w:r w:rsidRPr="00B76A0D">
              <w:rPr>
                <w:sz w:val="14"/>
                <w:szCs w:val="14"/>
              </w:rPr>
              <w:t>Zweden</w:t>
            </w:r>
          </w:p>
          <w:p w:rsidRPr="00B76A0D" w:rsidR="00CA4226" w:rsidP="00FE7786" w:rsidRDefault="00CA4226" w14:paraId="44EE4E96" w14:textId="3B8A73BE">
            <w:pPr>
              <w:autoSpaceDN/>
              <w:spacing w:line="259" w:lineRule="auto"/>
              <w:textAlignment w:val="auto"/>
              <w:rPr>
                <w:sz w:val="14"/>
                <w:szCs w:val="14"/>
              </w:rPr>
            </w:pPr>
            <w:r>
              <w:rPr>
                <w:sz w:val="14"/>
                <w:szCs w:val="14"/>
              </w:rPr>
              <w:t>(90)</w:t>
            </w:r>
          </w:p>
        </w:tc>
        <w:tc>
          <w:tcPr>
            <w:tcW w:w="1076" w:type="dxa"/>
            <w:noWrap/>
            <w:hideMark/>
          </w:tcPr>
          <w:p w:rsidRPr="00B76A0D" w:rsidR="001F7437" w:rsidP="00FE7786" w:rsidRDefault="001F7437" w14:paraId="0549ACBC" w14:textId="77777777">
            <w:pPr>
              <w:autoSpaceDN/>
              <w:spacing w:line="259" w:lineRule="auto"/>
              <w:textAlignment w:val="auto"/>
              <w:rPr>
                <w:sz w:val="14"/>
                <w:szCs w:val="14"/>
              </w:rPr>
            </w:pPr>
            <w:r w:rsidRPr="00B76A0D">
              <w:rPr>
                <w:sz w:val="14"/>
                <w:szCs w:val="14"/>
              </w:rPr>
              <w:t>56%</w:t>
            </w:r>
          </w:p>
        </w:tc>
        <w:tc>
          <w:tcPr>
            <w:tcW w:w="1076" w:type="dxa"/>
            <w:noWrap/>
            <w:hideMark/>
          </w:tcPr>
          <w:p w:rsidRPr="00B76A0D" w:rsidR="001F7437" w:rsidP="00FE7786" w:rsidRDefault="001F7437" w14:paraId="76744C69" w14:textId="77777777">
            <w:pPr>
              <w:autoSpaceDN/>
              <w:spacing w:line="259" w:lineRule="auto"/>
              <w:textAlignment w:val="auto"/>
              <w:rPr>
                <w:sz w:val="14"/>
                <w:szCs w:val="14"/>
              </w:rPr>
            </w:pPr>
            <w:r w:rsidRPr="00B76A0D">
              <w:rPr>
                <w:sz w:val="14"/>
                <w:szCs w:val="14"/>
              </w:rPr>
              <w:t>100%</w:t>
            </w:r>
          </w:p>
        </w:tc>
        <w:tc>
          <w:tcPr>
            <w:tcW w:w="1076" w:type="dxa"/>
            <w:noWrap/>
            <w:hideMark/>
          </w:tcPr>
          <w:p w:rsidRPr="00B76A0D" w:rsidR="001F7437" w:rsidP="00FE7786" w:rsidRDefault="001F7437" w14:paraId="66A4471C" w14:textId="77777777">
            <w:pPr>
              <w:autoSpaceDN/>
              <w:spacing w:line="259" w:lineRule="auto"/>
              <w:textAlignment w:val="auto"/>
              <w:rPr>
                <w:sz w:val="14"/>
                <w:szCs w:val="14"/>
              </w:rPr>
            </w:pPr>
            <w:r w:rsidRPr="00B76A0D">
              <w:rPr>
                <w:sz w:val="14"/>
                <w:szCs w:val="14"/>
              </w:rPr>
              <w:t>0%</w:t>
            </w:r>
          </w:p>
        </w:tc>
        <w:tc>
          <w:tcPr>
            <w:tcW w:w="1076" w:type="dxa"/>
            <w:noWrap/>
            <w:hideMark/>
          </w:tcPr>
          <w:p w:rsidRPr="00B76A0D" w:rsidR="001F7437" w:rsidP="00FE7786" w:rsidRDefault="001F7437" w14:paraId="4748FDD3" w14:textId="77777777">
            <w:pPr>
              <w:autoSpaceDN/>
              <w:spacing w:line="259" w:lineRule="auto"/>
              <w:textAlignment w:val="auto"/>
              <w:rPr>
                <w:sz w:val="14"/>
                <w:szCs w:val="14"/>
              </w:rPr>
            </w:pPr>
            <w:r w:rsidRPr="00B76A0D">
              <w:rPr>
                <w:sz w:val="14"/>
                <w:szCs w:val="14"/>
              </w:rPr>
              <w:t>100%</w:t>
            </w:r>
          </w:p>
        </w:tc>
        <w:tc>
          <w:tcPr>
            <w:tcW w:w="1076" w:type="dxa"/>
            <w:noWrap/>
            <w:hideMark/>
          </w:tcPr>
          <w:p w:rsidRPr="00B76A0D" w:rsidR="001F7437" w:rsidP="00FE7786" w:rsidRDefault="001F7437" w14:paraId="563E5CC5" w14:textId="77777777">
            <w:pPr>
              <w:autoSpaceDN/>
              <w:spacing w:line="259" w:lineRule="auto"/>
              <w:textAlignment w:val="auto"/>
              <w:rPr>
                <w:sz w:val="14"/>
                <w:szCs w:val="14"/>
              </w:rPr>
            </w:pPr>
            <w:r w:rsidRPr="00B76A0D">
              <w:rPr>
                <w:sz w:val="14"/>
                <w:szCs w:val="14"/>
              </w:rPr>
              <w:t> </w:t>
            </w:r>
          </w:p>
        </w:tc>
        <w:tc>
          <w:tcPr>
            <w:tcW w:w="1076" w:type="dxa"/>
            <w:noWrap/>
            <w:hideMark/>
          </w:tcPr>
          <w:p w:rsidRPr="00B76A0D" w:rsidR="001F7437" w:rsidP="00FE7786" w:rsidRDefault="001F7437" w14:paraId="3179D898" w14:textId="77777777">
            <w:pPr>
              <w:autoSpaceDN/>
              <w:spacing w:line="259" w:lineRule="auto"/>
              <w:textAlignment w:val="auto"/>
              <w:rPr>
                <w:sz w:val="14"/>
                <w:szCs w:val="14"/>
              </w:rPr>
            </w:pPr>
            <w:r w:rsidRPr="00B76A0D">
              <w:rPr>
                <w:sz w:val="14"/>
                <w:szCs w:val="14"/>
              </w:rPr>
              <w:t>40%</w:t>
            </w:r>
          </w:p>
        </w:tc>
      </w:tr>
    </w:tbl>
    <w:p w:rsidR="00C731BC" w:rsidP="001F7437" w:rsidRDefault="001F7437" w14:paraId="09817F29" w14:textId="77777777">
      <w:pPr>
        <w:autoSpaceDN/>
        <w:spacing w:line="240" w:lineRule="auto"/>
        <w:textAlignment w:val="auto"/>
      </w:pPr>
      <w:r w:rsidRPr="000777BF">
        <w:t xml:space="preserve">Tabel 2: </w:t>
      </w:r>
      <w:r>
        <w:t>Inwilligingspercentages asielaanvragen amv, eerste helft 2024</w:t>
      </w:r>
      <w:r>
        <w:rPr>
          <w:rStyle w:val="Voetnootmarkering"/>
        </w:rPr>
        <w:footnoteReference w:id="3"/>
      </w:r>
      <w:r>
        <w:t xml:space="preserve">. </w:t>
      </w:r>
      <w:r w:rsidR="00CA4226">
        <w:t xml:space="preserve">In de eerste kolom </w:t>
      </w:r>
      <w:r w:rsidR="00C731BC">
        <w:t xml:space="preserve">is </w:t>
      </w:r>
      <w:r w:rsidR="00CA4226">
        <w:t xml:space="preserve">het aantal </w:t>
      </w:r>
      <w:r w:rsidR="00C731BC">
        <w:t xml:space="preserve">beslissingen weergegeven. </w:t>
      </w:r>
      <w:r w:rsidRPr="000777BF">
        <w:t xml:space="preserve">Een leeg </w:t>
      </w:r>
      <w:r>
        <w:t xml:space="preserve">veld </w:t>
      </w:r>
      <w:r w:rsidRPr="000777BF">
        <w:t>betekent dat er geen afdoeningen in Eurostat staan geregistreerd.</w:t>
      </w:r>
      <w:r>
        <w:t xml:space="preserve"> </w:t>
      </w:r>
    </w:p>
    <w:p w:rsidR="001F7437" w:rsidP="001F7437" w:rsidRDefault="001F7437" w14:paraId="34A1D64A" w14:textId="139992E3">
      <w:pPr>
        <w:autoSpaceDN/>
        <w:spacing w:line="240" w:lineRule="auto"/>
        <w:textAlignment w:val="auto"/>
      </w:pPr>
      <w:r>
        <w:t>*</w:t>
      </w:r>
      <w:r w:rsidR="00C731BC">
        <w:t xml:space="preserve">De </w:t>
      </w:r>
      <w:r>
        <w:t>percentage</w:t>
      </w:r>
      <w:r w:rsidR="00C731BC">
        <w:t>s</w:t>
      </w:r>
      <w:r>
        <w:t xml:space="preserve"> voor de EU-27 </w:t>
      </w:r>
      <w:r w:rsidR="00C731BC">
        <w:t xml:space="preserve">zijn </w:t>
      </w:r>
      <w:r>
        <w:t>voorlopig</w:t>
      </w:r>
      <w:r w:rsidR="00C731BC">
        <w:t>e</w:t>
      </w:r>
      <w:r>
        <w:t xml:space="preserve"> percentage</w:t>
      </w:r>
      <w:r w:rsidR="00C731BC">
        <w:t>s</w:t>
      </w:r>
      <w:r w:rsidR="00CA4226">
        <w:t xml:space="preserve"> omdat nog niet voor </w:t>
      </w:r>
      <w:r>
        <w:t>alle lidstaten de gegevens over het tweede kwartaal beschikbaar</w:t>
      </w:r>
      <w:r w:rsidR="00CA4226">
        <w:t xml:space="preserve"> zijn</w:t>
      </w:r>
      <w:r>
        <w:t xml:space="preserve">. </w:t>
      </w:r>
    </w:p>
    <w:p w:rsidR="001F7437" w:rsidP="001F7437" w:rsidRDefault="001F7437" w14:paraId="3FA69852" w14:textId="45050BF0">
      <w:pPr>
        <w:autoSpaceDN/>
        <w:spacing w:line="259" w:lineRule="auto"/>
        <w:textAlignment w:val="auto"/>
      </w:pPr>
      <w:r w:rsidRPr="002D78AE">
        <w:rPr>
          <w:b/>
          <w:bCs/>
        </w:rPr>
        <w:br/>
        <w:t>Vraag 4</w:t>
      </w:r>
      <w:r w:rsidRPr="002D78AE">
        <w:rPr>
          <w:b/>
          <w:bCs/>
        </w:rPr>
        <w:br/>
        <w:t>Deelt u de conclusie dat zowel de forse toename van het aantal asielaanvragen door amv (een stijging van 38% in 2023), het stijgende aandeel amv als onderdeel van het totale aantal eerste asielaanvragen (16% in 2023 ten opzichte van 9% in 2015) en de forse toename van het totale inwilligingspercentage bij eerste asielaanvragen door amv (87% in 2023 versus 39% vijf jaar geleden) aantonen dat Nederland veel te aantrekkelijk is voor amv en de perverse praktijk van het vooruitsturen van minderjarigen? Zo nee, waarom niet?</w:t>
      </w:r>
      <w:r w:rsidRPr="002D78AE">
        <w:rPr>
          <w:b/>
          <w:bCs/>
        </w:rPr>
        <w:br/>
      </w:r>
      <w:r w:rsidRPr="002D78AE">
        <w:rPr>
          <w:b/>
          <w:bCs/>
        </w:rPr>
        <w:br/>
      </w:r>
      <w:r w:rsidRPr="0057236A" w:rsidR="0057236A">
        <w:rPr>
          <w:b/>
          <w:bCs/>
        </w:rPr>
        <w:t>Antwoord op vraag 4</w:t>
      </w:r>
      <w:r w:rsidR="0057236A">
        <w:br/>
      </w:r>
      <w:r>
        <w:t>Het klopt dat zowel het aantal asielaanvragen door amv als het aandeel amv als onderdeel van het totale aantal eerste asielaanvragen, in recente jaren fors is gestegen. In december 2023 heeft mijn voorganger uw Kamer geïnformeerd over het onderzoek naar de oorzaken van de hoge instroom van amv.</w:t>
      </w:r>
      <w:r>
        <w:rPr>
          <w:rStyle w:val="Voetnootmarkering"/>
        </w:rPr>
        <w:footnoteReference w:id="4"/>
      </w:r>
      <w:r>
        <w:t xml:space="preserve"> Uit de analyse blijkt dat de samenstelling van de meest voorkomende nationaliteiten en de inwilligingspercentages per nationaliteit, in recente jaren zijn veranderd. De instroom van Syrische amv is vanaf 2017 het sterkst toegenomen. Gelet op het hoge inwilligingspercentage van asielzoekers met de Syrische nationaliteit, is dientengevolge het totale inwilligingspercentage bij eerste asielaanvragen door amv ook fors gestegen.</w:t>
      </w:r>
    </w:p>
    <w:p w:rsidR="001F7437" w:rsidP="001F7437" w:rsidRDefault="001F7437" w14:paraId="752E478B" w14:textId="77777777">
      <w:pPr>
        <w:autoSpaceDN/>
        <w:spacing w:line="259" w:lineRule="auto"/>
        <w:textAlignment w:val="auto"/>
      </w:pPr>
      <w:r>
        <w:t xml:space="preserve"> </w:t>
      </w:r>
    </w:p>
    <w:p w:rsidR="001F7437" w:rsidP="001F7437" w:rsidRDefault="001F7437" w14:paraId="0B7BA3D3" w14:textId="1580E6F7">
      <w:pPr>
        <w:autoSpaceDN/>
        <w:spacing w:line="259" w:lineRule="auto"/>
        <w:textAlignment w:val="auto"/>
      </w:pPr>
      <w:r>
        <w:t xml:space="preserve">Uit het Kennisbericht van het WODC dat met voornoemde brief met uw Kamer is gedeeld, blijkt dat er belangrijke verschillen zijn onder amv </w:t>
      </w:r>
      <w:r w:rsidR="00181291">
        <w:t>of zij voor</w:t>
      </w:r>
      <w:r>
        <w:t xml:space="preserve"> vertrek uit het land van herkomst al een bestemmingsland op het oog h</w:t>
      </w:r>
      <w:r w:rsidR="00181291">
        <w:t>adde</w:t>
      </w:r>
      <w:r>
        <w:t xml:space="preserve">n. Op hoofdlijnen geldt dat veel amv die in Nederland asiel hebben aangevraagd, zonder een beoogde bestemming waren vertrokken of beoogden om naar Europa te gaan. </w:t>
      </w:r>
    </w:p>
    <w:p w:rsidR="001F7437" w:rsidP="003B01A4" w:rsidRDefault="001F7437" w14:paraId="757F9724" w14:textId="3D19768D">
      <w:pPr>
        <w:autoSpaceDN/>
        <w:spacing w:line="259" w:lineRule="auto"/>
        <w:textAlignment w:val="auto"/>
      </w:pPr>
      <w:r>
        <w:t>Het onderzoek van het WODC bevestigt echter dat Syrische amv</w:t>
      </w:r>
      <w:r w:rsidR="00181291">
        <w:t xml:space="preserve"> hierop</w:t>
      </w:r>
      <w:r>
        <w:t xml:space="preserve"> een uitzondering vormen. De beoogde bestemming van Syrische jongeren die recentelijk naar Nederland zijn gekomen, was vaak Nederland. Deze groep is goed geïnformeerd over de mogelijkheden tot verblijfsrecht en gezinshereniging in Nederland. Door de verslechterde situatie in Turkije zijn Syrische amv uit Turkije op zoek naar betere toekomstmogelijkheden voor het gezin als geheel. In bepaalde gevallen worden amv door de familie vooruitgestuurd met als doel om gezinshereniging in Nederland aan te vragen, aangezien amv slechts zeer zelden kunnen worden overgedragen naar het eerste EU-land waar ze zijn ingereisd of een asielaanvraag hebben gedaan. </w:t>
      </w:r>
      <w:r w:rsidRPr="00F9351E">
        <w:t>Deze praktijk vind ik zeer onwenselijk. Voorkomen</w:t>
      </w:r>
      <w:r>
        <w:t xml:space="preserve"> moet worden dat deze kwetsbare groep op een illegale manier alleen door Europa rei</w:t>
      </w:r>
      <w:r w:rsidR="00DD07E4">
        <w:t>st</w:t>
      </w:r>
      <w:r>
        <w:t xml:space="preserve"> en daarbij bewust Nederland als bestemmingsland verkie</w:t>
      </w:r>
      <w:r w:rsidR="00DD07E4">
        <w:t>st</w:t>
      </w:r>
      <w:r>
        <w:t xml:space="preserve">. </w:t>
      </w:r>
      <w:r w:rsidRPr="00EE767E">
        <w:t>Op 14 mei 2024 heeft de EU het nieuwe asiel</w:t>
      </w:r>
      <w:r>
        <w:t>- en migratie</w:t>
      </w:r>
      <w:r w:rsidRPr="00EE767E">
        <w:t>pact aangenomen. Onderdeel hiervan zijn een herschreven Dublinverordening (</w:t>
      </w:r>
      <w:r w:rsidR="00644572">
        <w:t>hernoemd tot</w:t>
      </w:r>
      <w:r w:rsidRPr="00EE767E">
        <w:t xml:space="preserve"> AMMR) en Eurodacverordening. De huidige Eurodac bevat gegevens (waaronder vingerafdrukken) over vreemdelingen van 14 jaar of ouder. Deze leeftijd wordt met de nieuwe Eurodac-verordening verlaagd naar 6 jaar of ouder. Deze </w:t>
      </w:r>
      <w:r>
        <w:t xml:space="preserve">aanscherping </w:t>
      </w:r>
      <w:r w:rsidRPr="00EE767E">
        <w:t xml:space="preserve">helpt bij het vaststellen van de identiteit van de minderjarige en het traceren van ouders indien deze reeds in de </w:t>
      </w:r>
      <w:r w:rsidR="003C4BD8">
        <w:t xml:space="preserve">Europese </w:t>
      </w:r>
      <w:r w:rsidRPr="00EE767E">
        <w:t>Unie zouden verblijven.</w:t>
      </w:r>
    </w:p>
    <w:p w:rsidRPr="00EE767E" w:rsidR="001F7437" w:rsidP="001F7437" w:rsidRDefault="001F7437" w14:paraId="3AD64108" w14:textId="77777777">
      <w:pPr>
        <w:spacing w:line="240" w:lineRule="exact"/>
      </w:pPr>
    </w:p>
    <w:p w:rsidR="001F7437" w:rsidP="001F7437" w:rsidRDefault="001F7437" w14:paraId="48899A9C" w14:textId="34AA7F2C">
      <w:pPr>
        <w:spacing w:line="240" w:lineRule="exact"/>
      </w:pPr>
      <w:r w:rsidRPr="00EE767E">
        <w:t xml:space="preserve">Onder de nieuwe Dublinregels wordt het ook mogelijk om een </w:t>
      </w:r>
      <w:r>
        <w:t xml:space="preserve">amv </w:t>
      </w:r>
      <w:r w:rsidRPr="00EE767E">
        <w:t>terug te geleiden naar de EU-lidstaat waar deze reeds een asielaanvraag heeft ingediend. Dit moet het door</w:t>
      </w:r>
      <w:r>
        <w:t>r</w:t>
      </w:r>
      <w:r w:rsidRPr="00EE767E">
        <w:t xml:space="preserve">eizen van deze groep ontmoedigen. Hierbij dient </w:t>
      </w:r>
      <w:r w:rsidR="00E710C5">
        <w:t xml:space="preserve">echter </w:t>
      </w:r>
      <w:r>
        <w:t xml:space="preserve">wel beargumenteerd </w:t>
      </w:r>
      <w:r w:rsidRPr="00EE767E">
        <w:t>te worden dat de overdracht naar die andere lidstaat in het belang van de minderjarige is</w:t>
      </w:r>
      <w:r w:rsidR="00E710C5">
        <w:t>, hetgeen voor de uitvoeringspraktijk mogelijk complex zal zijn.</w:t>
      </w:r>
      <w:r>
        <w:t xml:space="preserve"> </w:t>
      </w:r>
      <w:r w:rsidRPr="00EE767E">
        <w:t xml:space="preserve">De nieuwe EU-regels worden in juni 2026 van toepassing. </w:t>
      </w:r>
    </w:p>
    <w:p w:rsidR="001F7437" w:rsidP="001F7437" w:rsidRDefault="001F7437" w14:paraId="61FD302E" w14:textId="77777777">
      <w:pPr>
        <w:spacing w:line="240" w:lineRule="exact"/>
      </w:pPr>
    </w:p>
    <w:p w:rsidR="001F7437" w:rsidP="001F7437" w:rsidRDefault="001F7437" w14:paraId="492E48ED" w14:textId="77777777">
      <w:pPr>
        <w:spacing w:line="240" w:lineRule="exact"/>
      </w:pPr>
      <w:r w:rsidRPr="00EE767E">
        <w:t xml:space="preserve">De komende periode zal </w:t>
      </w:r>
      <w:r>
        <w:t>verder worden onderzocht of aanvullende maatregelen kunnen worden genomen om te voorkomen dat amv vooruit worden gestuurd naar Nederland.</w:t>
      </w:r>
      <w:r w:rsidRPr="00EE767E">
        <w:t xml:space="preserve"> </w:t>
      </w:r>
      <w:r>
        <w:t>Daarbij moet worden opgemerkt dat uit eerdere onderzoeken is gebleken dat de beweegredenen van amv om voor een bepaald land te kiezen afhankelijk zijn van veel factoren, die ook per nationaliteit kunnen verschillen.</w:t>
      </w:r>
    </w:p>
    <w:p w:rsidRPr="005D3CD6" w:rsidR="001F7437" w:rsidP="001F7437" w:rsidRDefault="001F7437" w14:paraId="0FB07B60" w14:textId="77777777">
      <w:pPr>
        <w:spacing w:line="240" w:lineRule="exact"/>
        <w:rPr>
          <w:b/>
          <w:bCs/>
          <w:u w:val="single"/>
        </w:rPr>
      </w:pPr>
      <w:r>
        <w:t xml:space="preserve"> </w:t>
      </w:r>
    </w:p>
    <w:p w:rsidR="001F7437" w:rsidP="001F7437" w:rsidRDefault="001F7437" w14:paraId="0079CC19" w14:textId="77777777">
      <w:pPr>
        <w:autoSpaceDN/>
        <w:spacing w:line="259" w:lineRule="auto"/>
        <w:textAlignment w:val="auto"/>
      </w:pPr>
      <w:r>
        <w:t xml:space="preserve">Parallel wordt door het WODC nader onderzoek verricht naar de beweegredenen van amv met </w:t>
      </w:r>
      <w:r w:rsidRPr="00EE5D77">
        <w:t>een kansrijke nationaliteit,</w:t>
      </w:r>
      <w:r>
        <w:t xml:space="preserve"> zoals Syrische amv, om specifiek Nederland als bestemmingsland te kiezen. Informatie over deze beweegredenen is van belang om gerichte beleidsmaatregelen uit te werken.</w:t>
      </w:r>
    </w:p>
    <w:p w:rsidR="001F7437" w:rsidP="001F7437" w:rsidRDefault="001F7437" w14:paraId="5B9793BA" w14:textId="77777777">
      <w:pPr>
        <w:autoSpaceDN/>
        <w:spacing w:line="259" w:lineRule="auto"/>
        <w:textAlignment w:val="auto"/>
        <w:rPr>
          <w:b/>
          <w:bCs/>
        </w:rPr>
      </w:pPr>
      <w:r w:rsidRPr="002D78AE">
        <w:rPr>
          <w:b/>
          <w:bCs/>
        </w:rPr>
        <w:br/>
        <w:t>Vraag 5</w:t>
      </w:r>
      <w:r w:rsidRPr="002D78AE">
        <w:rPr>
          <w:b/>
          <w:bCs/>
        </w:rPr>
        <w:br/>
        <w:t>Deelt u de mening dat het een zeer slechte zaak is dat amv zijn vrijgesteld van de grensprocedure binnen het nieuwe Europese migratiepact en deelt u de vrees dat deze uitzonderingspositie het alleen maar aantrekkelijker zal maken om minderjarige vreemdelingen vooruit te sturen? Zo nee, waarom niet? Zo ja, op welke wijze gaat u zich inspannen om deze fout en/of de dreigende gevolgen ervan recht te zetten?</w:t>
      </w:r>
    </w:p>
    <w:p w:rsidR="001F7437" w:rsidP="001F7437" w:rsidRDefault="001F7437" w14:paraId="610B2CB2" w14:textId="77777777">
      <w:pPr>
        <w:autoSpaceDN/>
        <w:spacing w:line="259" w:lineRule="auto"/>
        <w:textAlignment w:val="auto"/>
      </w:pPr>
    </w:p>
    <w:p w:rsidR="001F7437" w:rsidP="001F7437" w:rsidRDefault="0057236A" w14:paraId="04BEA413" w14:textId="1A80131F">
      <w:pPr>
        <w:autoSpaceDN/>
        <w:spacing w:line="259" w:lineRule="auto"/>
        <w:textAlignment w:val="auto"/>
      </w:pPr>
      <w:r w:rsidRPr="0057236A">
        <w:rPr>
          <w:b/>
          <w:bCs/>
        </w:rPr>
        <w:t>Antwoord op vraag 5</w:t>
      </w:r>
      <w:r>
        <w:br/>
      </w:r>
      <w:r w:rsidR="001F7437">
        <w:t xml:space="preserve">Tijdens de onderhandelingen over de tekst van de Procedureverordening heeft Nederland steeds naar voren gebracht dat de grensprocedure in beginsel zou moeten gelden voor alle asielaanvragen aan de buitengrens. Nederland heeft ook gewezen op het risico van misbruik als amv worden uitgezonderd van de grensprocedure. Zo zal het erg moeilijk zijn om te beoordelen of een amv (net) jonger of (net) ouder is dan 18 jaar. Daarnaast heeft Nederland erop gewezen dat er een aansporing kan zijn </w:t>
      </w:r>
      <w:r w:rsidRPr="00E449C1" w:rsidR="001F7437">
        <w:t xml:space="preserve">kinderen in gevaarlijke situaties te brengen, zoals illegale grensoverschrijdingen, of </w:t>
      </w:r>
      <w:r w:rsidR="001F7437">
        <w:t>het vooruitsturen van</w:t>
      </w:r>
      <w:r w:rsidRPr="00E449C1" w:rsidR="001F7437">
        <w:t xml:space="preserve"> minderjarigen.</w:t>
      </w:r>
      <w:r w:rsidR="001F7437">
        <w:t xml:space="preserve"> De verordening is nu vastgesteld, maar het kabinet zal waar nodig dit standpunt naar voren blijven brengen.</w:t>
      </w:r>
    </w:p>
    <w:p w:rsidR="001F7437" w:rsidP="001F7437" w:rsidRDefault="001F7437" w14:paraId="20A92699" w14:textId="77777777">
      <w:pPr>
        <w:autoSpaceDN/>
        <w:spacing w:line="259" w:lineRule="auto"/>
        <w:textAlignment w:val="auto"/>
      </w:pPr>
    </w:p>
    <w:p w:rsidR="001F7437" w:rsidP="001F7437" w:rsidRDefault="001F7437" w14:paraId="143A902E" w14:textId="18F6FF6D">
      <w:pPr>
        <w:autoSpaceDN/>
        <w:spacing w:line="259" w:lineRule="auto"/>
        <w:textAlignment w:val="auto"/>
      </w:pPr>
      <w:r>
        <w:t>Dit alles laat overigens onverlet dat wanneer een amv die een dreiging vormt voor de openbare orde of de nationale veiligheid aan de buitengrens asiel aanvraagt, de grensprocedure in beginsel wel van toepassing is.</w:t>
      </w:r>
      <w:r w:rsidRPr="002D78AE">
        <w:rPr>
          <w:b/>
          <w:bCs/>
        </w:rPr>
        <w:br/>
      </w:r>
      <w:r w:rsidRPr="002D78AE">
        <w:rPr>
          <w:b/>
          <w:bCs/>
        </w:rPr>
        <w:br/>
        <w:t>Vraag 6</w:t>
      </w:r>
      <w:r w:rsidRPr="002D78AE">
        <w:rPr>
          <w:b/>
          <w:bCs/>
        </w:rPr>
        <w:br/>
        <w:t>Hoeveel amv vertrokken de afgelopen tien jaar tijdens de asielprocedure met onbekende bestemming (MOB)? Kunt u dit per jaar aangeven?</w:t>
      </w:r>
      <w:r w:rsidRPr="002D78AE">
        <w:rPr>
          <w:b/>
          <w:bCs/>
        </w:rPr>
        <w:br/>
      </w:r>
      <w:r w:rsidRPr="002D78AE">
        <w:rPr>
          <w:b/>
          <w:bCs/>
        </w:rPr>
        <w:br/>
      </w:r>
      <w:r w:rsidRPr="0057236A" w:rsidR="0057236A">
        <w:rPr>
          <w:b/>
          <w:bCs/>
        </w:rPr>
        <w:t>Antwoord op vraag 6</w:t>
      </w:r>
      <w:r w:rsidR="0057236A">
        <w:br/>
      </w:r>
      <w:r>
        <w:t>In tabel 3 is weergegeven hoe</w:t>
      </w:r>
      <w:r w:rsidR="00C3554E">
        <w:t xml:space="preserve"> vaak een </w:t>
      </w:r>
      <w:r>
        <w:t xml:space="preserve">amv </w:t>
      </w:r>
      <w:r w:rsidR="00C3554E">
        <w:t xml:space="preserve">met onbekende bestemming </w:t>
      </w:r>
      <w:r w:rsidR="00A9780E">
        <w:t xml:space="preserve">van een COA-locatie is </w:t>
      </w:r>
      <w:r w:rsidR="00C3554E">
        <w:t xml:space="preserve">vertrokken. De weergegeven aantallen betreft amv die (nog) geen vergunninghouder zijn. </w:t>
      </w:r>
      <w:r w:rsidR="00903C96">
        <w:t>A</w:t>
      </w:r>
      <w:r w:rsidR="00C3554E">
        <w:t xml:space="preserve">mv die ten tijde van het vertrek verbleven in een gezinslocatie </w:t>
      </w:r>
      <w:r w:rsidR="00C957BB">
        <w:t xml:space="preserve">(GLO) </w:t>
      </w:r>
      <w:r w:rsidR="00C3554E">
        <w:t xml:space="preserve">of in een </w:t>
      </w:r>
      <w:r w:rsidR="00C957BB">
        <w:t>vrijheidsbeperkende locatie (</w:t>
      </w:r>
      <w:r w:rsidR="00C3554E">
        <w:t>VBL</w:t>
      </w:r>
      <w:r w:rsidR="00C957BB">
        <w:t xml:space="preserve">) </w:t>
      </w:r>
      <w:r w:rsidR="00903C96">
        <w:t xml:space="preserve">zijn </w:t>
      </w:r>
      <w:r w:rsidR="00C3554E">
        <w:t>niet meegeteld</w:t>
      </w:r>
      <w:r w:rsidR="00903C96">
        <w:t xml:space="preserve"> omdat op deze </w:t>
      </w:r>
      <w:r w:rsidR="00C3554E">
        <w:t xml:space="preserve">locaties vreemdelingen </w:t>
      </w:r>
      <w:r w:rsidR="00903C96">
        <w:t xml:space="preserve">verblijven </w:t>
      </w:r>
      <w:r w:rsidR="00C3554E">
        <w:t>die Nederland dienen te verlaten.</w:t>
      </w:r>
      <w:r w:rsidR="00903C96">
        <w:t xml:space="preserve"> </w:t>
      </w:r>
      <w:r w:rsidR="00C957BB">
        <w:t xml:space="preserve">Hun </w:t>
      </w:r>
      <w:r w:rsidR="00903C96">
        <w:t xml:space="preserve">asielprocedure is daarmee in beginsel afgerond. </w:t>
      </w:r>
      <w:r w:rsidR="00C3554E">
        <w:t xml:space="preserve">Een amv kan meerdere keren in de tabel voorkomen. </w:t>
      </w:r>
    </w:p>
    <w:p w:rsidRPr="00971D08" w:rsidR="001F7437" w:rsidP="001F7437" w:rsidRDefault="001F7437" w14:paraId="25B9EAF6" w14:textId="77777777">
      <w:pPr>
        <w:autoSpaceDN/>
        <w:spacing w:line="259" w:lineRule="auto"/>
        <w:textAlignment w:val="auto"/>
      </w:pPr>
    </w:p>
    <w:tbl>
      <w:tblPr>
        <w:tblW w:w="3861" w:type="dxa"/>
        <w:tblBorders>
          <w:bottom w:val="single" w:color="auto" w:sz="4" w:space="0"/>
        </w:tblBorders>
        <w:tblCellMar>
          <w:left w:w="70" w:type="dxa"/>
          <w:right w:w="70" w:type="dxa"/>
        </w:tblCellMar>
        <w:tblLook w:val="04A0" w:firstRow="1" w:lastRow="0" w:firstColumn="1" w:lastColumn="0" w:noHBand="0" w:noVBand="1"/>
      </w:tblPr>
      <w:tblGrid>
        <w:gridCol w:w="1985"/>
        <w:gridCol w:w="1876"/>
      </w:tblGrid>
      <w:tr w:rsidRPr="00971D08" w:rsidR="001F7437" w:rsidTr="00FE7786" w14:paraId="69CBDC0A" w14:textId="77777777">
        <w:trPr>
          <w:trHeight w:val="255"/>
        </w:trPr>
        <w:tc>
          <w:tcPr>
            <w:tcW w:w="1985" w:type="dxa"/>
            <w:tcBorders>
              <w:top w:val="single" w:color="auto" w:sz="4" w:space="0"/>
              <w:bottom w:val="single" w:color="auto" w:sz="4" w:space="0"/>
            </w:tcBorders>
            <w:shd w:val="clear" w:color="auto" w:fill="auto"/>
            <w:noWrap/>
            <w:vAlign w:val="bottom"/>
            <w:hideMark/>
          </w:tcPr>
          <w:p w:rsidRPr="00971D08" w:rsidR="001F7437" w:rsidP="00FE7786" w:rsidRDefault="001F7437" w14:paraId="6877A652" w14:textId="77B5545C">
            <w:pPr>
              <w:autoSpaceDN/>
              <w:spacing w:line="240" w:lineRule="auto"/>
              <w:textAlignment w:val="auto"/>
              <w:rPr>
                <w:rFonts w:ascii="Tahoma" w:hAnsi="Tahoma" w:eastAsia="Times New Roman" w:cs="Tahoma"/>
                <w:b/>
                <w:bCs/>
                <w:sz w:val="20"/>
                <w:szCs w:val="20"/>
              </w:rPr>
            </w:pPr>
            <w:r w:rsidRPr="00971D08">
              <w:rPr>
                <w:rFonts w:ascii="Tahoma" w:hAnsi="Tahoma" w:eastAsia="Times New Roman" w:cs="Tahoma"/>
                <w:b/>
                <w:bCs/>
                <w:sz w:val="20"/>
                <w:szCs w:val="20"/>
              </w:rPr>
              <w:t>Jaar</w:t>
            </w:r>
          </w:p>
        </w:tc>
        <w:tc>
          <w:tcPr>
            <w:tcW w:w="1876" w:type="dxa"/>
            <w:tcBorders>
              <w:top w:val="single" w:color="auto" w:sz="4" w:space="0"/>
              <w:bottom w:val="single" w:color="auto" w:sz="4" w:space="0"/>
            </w:tcBorders>
            <w:shd w:val="clear" w:color="auto" w:fill="auto"/>
            <w:noWrap/>
            <w:vAlign w:val="bottom"/>
            <w:hideMark/>
          </w:tcPr>
          <w:p w:rsidRPr="00971D08" w:rsidR="001F7437" w:rsidP="00FE7786" w:rsidRDefault="001F7437" w14:paraId="51349884" w14:textId="77777777">
            <w:pPr>
              <w:autoSpaceDN/>
              <w:spacing w:line="240" w:lineRule="auto"/>
              <w:jc w:val="right"/>
              <w:textAlignment w:val="auto"/>
              <w:rPr>
                <w:rFonts w:ascii="Tahoma" w:hAnsi="Tahoma" w:eastAsia="Times New Roman" w:cs="Tahoma"/>
                <w:b/>
                <w:bCs/>
                <w:sz w:val="20"/>
                <w:szCs w:val="20"/>
              </w:rPr>
            </w:pPr>
            <w:r w:rsidRPr="00971D08">
              <w:rPr>
                <w:rFonts w:ascii="Tahoma" w:hAnsi="Tahoma" w:eastAsia="Times New Roman" w:cs="Tahoma"/>
                <w:b/>
                <w:bCs/>
                <w:sz w:val="20"/>
                <w:szCs w:val="20"/>
              </w:rPr>
              <w:t>Aantal</w:t>
            </w:r>
            <w:r>
              <w:rPr>
                <w:rFonts w:ascii="Tahoma" w:hAnsi="Tahoma" w:eastAsia="Times New Roman" w:cs="Tahoma"/>
                <w:b/>
                <w:bCs/>
                <w:sz w:val="20"/>
                <w:szCs w:val="20"/>
              </w:rPr>
              <w:t xml:space="preserve"> mob</w:t>
            </w:r>
          </w:p>
        </w:tc>
      </w:tr>
      <w:tr w:rsidRPr="00971D08" w:rsidR="00C3554E" w:rsidTr="00C3554E" w14:paraId="12917AA7" w14:textId="77777777">
        <w:trPr>
          <w:trHeight w:val="255"/>
        </w:trPr>
        <w:tc>
          <w:tcPr>
            <w:tcW w:w="1985" w:type="dxa"/>
            <w:tcBorders>
              <w:top w:val="single" w:color="auto" w:sz="4" w:space="0"/>
            </w:tcBorders>
            <w:shd w:val="clear" w:color="auto" w:fill="auto"/>
            <w:noWrap/>
            <w:vAlign w:val="bottom"/>
            <w:hideMark/>
          </w:tcPr>
          <w:p w:rsidRPr="00971D08" w:rsidR="00C3554E" w:rsidP="00C3554E" w:rsidRDefault="00C3554E" w14:paraId="4CC54E8A" w14:textId="77777777">
            <w:pPr>
              <w:autoSpaceDN/>
              <w:spacing w:line="240" w:lineRule="auto"/>
              <w:textAlignment w:val="auto"/>
              <w:rPr>
                <w:rFonts w:ascii="Tahoma" w:hAnsi="Tahoma" w:eastAsia="Times New Roman" w:cs="Tahoma"/>
                <w:sz w:val="20"/>
                <w:szCs w:val="20"/>
              </w:rPr>
            </w:pPr>
            <w:r w:rsidRPr="00971D08">
              <w:rPr>
                <w:rFonts w:ascii="Tahoma" w:hAnsi="Tahoma" w:eastAsia="Times New Roman" w:cs="Tahoma"/>
                <w:sz w:val="20"/>
                <w:szCs w:val="20"/>
              </w:rPr>
              <w:t>2014</w:t>
            </w:r>
          </w:p>
        </w:tc>
        <w:tc>
          <w:tcPr>
            <w:tcW w:w="1876" w:type="dxa"/>
            <w:tcBorders>
              <w:top w:val="single" w:color="auto" w:sz="4" w:space="0"/>
            </w:tcBorders>
            <w:shd w:val="clear" w:color="auto" w:fill="auto"/>
            <w:noWrap/>
            <w:vAlign w:val="bottom"/>
          </w:tcPr>
          <w:p w:rsidRPr="00971D08" w:rsidR="00C3554E" w:rsidP="00C3554E" w:rsidRDefault="00C3554E" w14:paraId="4862D4FB" w14:textId="571544E7">
            <w:pPr>
              <w:autoSpaceDN/>
              <w:spacing w:line="240" w:lineRule="auto"/>
              <w:jc w:val="right"/>
              <w:textAlignment w:val="auto"/>
              <w:rPr>
                <w:rFonts w:ascii="Tahoma" w:hAnsi="Tahoma" w:eastAsia="Times New Roman" w:cs="Tahoma"/>
                <w:sz w:val="20"/>
                <w:szCs w:val="20"/>
              </w:rPr>
            </w:pPr>
            <w:r>
              <w:rPr>
                <w:rFonts w:ascii="Arial" w:hAnsi="Arial" w:cs="Arial"/>
                <w:sz w:val="20"/>
                <w:szCs w:val="20"/>
              </w:rPr>
              <w:t>80</w:t>
            </w:r>
          </w:p>
        </w:tc>
      </w:tr>
      <w:tr w:rsidRPr="00971D08" w:rsidR="00C3554E" w:rsidTr="00C3554E" w14:paraId="7895C1B3" w14:textId="77777777">
        <w:trPr>
          <w:trHeight w:val="255"/>
        </w:trPr>
        <w:tc>
          <w:tcPr>
            <w:tcW w:w="1985" w:type="dxa"/>
            <w:shd w:val="clear" w:color="auto" w:fill="auto"/>
            <w:noWrap/>
            <w:vAlign w:val="bottom"/>
            <w:hideMark/>
          </w:tcPr>
          <w:p w:rsidRPr="00971D08" w:rsidR="00C3554E" w:rsidP="00C3554E" w:rsidRDefault="00C3554E" w14:paraId="721B077F" w14:textId="77777777">
            <w:pPr>
              <w:autoSpaceDN/>
              <w:spacing w:line="240" w:lineRule="auto"/>
              <w:textAlignment w:val="auto"/>
              <w:rPr>
                <w:rFonts w:ascii="Tahoma" w:hAnsi="Tahoma" w:eastAsia="Times New Roman" w:cs="Tahoma"/>
                <w:sz w:val="20"/>
                <w:szCs w:val="20"/>
              </w:rPr>
            </w:pPr>
            <w:r w:rsidRPr="00971D08">
              <w:rPr>
                <w:rFonts w:ascii="Tahoma" w:hAnsi="Tahoma" w:eastAsia="Times New Roman" w:cs="Tahoma"/>
                <w:sz w:val="20"/>
                <w:szCs w:val="20"/>
              </w:rPr>
              <w:t>2015</w:t>
            </w:r>
          </w:p>
        </w:tc>
        <w:tc>
          <w:tcPr>
            <w:tcW w:w="1876" w:type="dxa"/>
            <w:shd w:val="clear" w:color="auto" w:fill="auto"/>
            <w:noWrap/>
            <w:vAlign w:val="bottom"/>
          </w:tcPr>
          <w:p w:rsidRPr="00971D08" w:rsidR="00C3554E" w:rsidP="00C3554E" w:rsidRDefault="00C3554E" w14:paraId="11FB8122" w14:textId="66013100">
            <w:pPr>
              <w:autoSpaceDN/>
              <w:spacing w:line="240" w:lineRule="auto"/>
              <w:jc w:val="right"/>
              <w:textAlignment w:val="auto"/>
              <w:rPr>
                <w:rFonts w:ascii="Tahoma" w:hAnsi="Tahoma" w:eastAsia="Times New Roman" w:cs="Tahoma"/>
                <w:sz w:val="20"/>
                <w:szCs w:val="20"/>
              </w:rPr>
            </w:pPr>
            <w:r>
              <w:rPr>
                <w:rFonts w:ascii="Arial" w:hAnsi="Arial" w:cs="Arial"/>
                <w:sz w:val="20"/>
                <w:szCs w:val="20"/>
              </w:rPr>
              <w:t>110</w:t>
            </w:r>
          </w:p>
        </w:tc>
      </w:tr>
      <w:tr w:rsidRPr="00971D08" w:rsidR="00C3554E" w:rsidTr="00C3554E" w14:paraId="7AB8EACC" w14:textId="77777777">
        <w:trPr>
          <w:trHeight w:val="255"/>
        </w:trPr>
        <w:tc>
          <w:tcPr>
            <w:tcW w:w="1985" w:type="dxa"/>
            <w:shd w:val="clear" w:color="auto" w:fill="auto"/>
            <w:noWrap/>
            <w:vAlign w:val="bottom"/>
            <w:hideMark/>
          </w:tcPr>
          <w:p w:rsidRPr="00971D08" w:rsidR="00C3554E" w:rsidP="00C3554E" w:rsidRDefault="00C3554E" w14:paraId="2434F3C1" w14:textId="77777777">
            <w:pPr>
              <w:autoSpaceDN/>
              <w:spacing w:line="240" w:lineRule="auto"/>
              <w:textAlignment w:val="auto"/>
              <w:rPr>
                <w:rFonts w:ascii="Tahoma" w:hAnsi="Tahoma" w:eastAsia="Times New Roman" w:cs="Tahoma"/>
                <w:sz w:val="20"/>
                <w:szCs w:val="20"/>
              </w:rPr>
            </w:pPr>
            <w:r w:rsidRPr="00971D08">
              <w:rPr>
                <w:rFonts w:ascii="Tahoma" w:hAnsi="Tahoma" w:eastAsia="Times New Roman" w:cs="Tahoma"/>
                <w:sz w:val="20"/>
                <w:szCs w:val="20"/>
              </w:rPr>
              <w:t>2016</w:t>
            </w:r>
          </w:p>
        </w:tc>
        <w:tc>
          <w:tcPr>
            <w:tcW w:w="1876" w:type="dxa"/>
            <w:shd w:val="clear" w:color="auto" w:fill="auto"/>
            <w:noWrap/>
            <w:vAlign w:val="bottom"/>
          </w:tcPr>
          <w:p w:rsidRPr="00971D08" w:rsidR="00C3554E" w:rsidP="00C3554E" w:rsidRDefault="00C3554E" w14:paraId="1E77F32E" w14:textId="56C1BA18">
            <w:pPr>
              <w:autoSpaceDN/>
              <w:spacing w:line="240" w:lineRule="auto"/>
              <w:jc w:val="right"/>
              <w:textAlignment w:val="auto"/>
              <w:rPr>
                <w:rFonts w:ascii="Tahoma" w:hAnsi="Tahoma" w:eastAsia="Times New Roman" w:cs="Tahoma"/>
                <w:sz w:val="20"/>
                <w:szCs w:val="20"/>
              </w:rPr>
            </w:pPr>
            <w:r>
              <w:rPr>
                <w:rFonts w:ascii="Arial" w:hAnsi="Arial" w:cs="Arial"/>
                <w:sz w:val="20"/>
                <w:szCs w:val="20"/>
              </w:rPr>
              <w:t>210</w:t>
            </w:r>
          </w:p>
        </w:tc>
      </w:tr>
      <w:tr w:rsidRPr="00971D08" w:rsidR="00C3554E" w:rsidTr="00C3554E" w14:paraId="5DEE86D6" w14:textId="77777777">
        <w:trPr>
          <w:trHeight w:val="255"/>
        </w:trPr>
        <w:tc>
          <w:tcPr>
            <w:tcW w:w="1985" w:type="dxa"/>
            <w:shd w:val="clear" w:color="auto" w:fill="auto"/>
            <w:noWrap/>
            <w:vAlign w:val="bottom"/>
            <w:hideMark/>
          </w:tcPr>
          <w:p w:rsidRPr="00971D08" w:rsidR="00C3554E" w:rsidP="00C3554E" w:rsidRDefault="00C3554E" w14:paraId="23149211" w14:textId="77777777">
            <w:pPr>
              <w:autoSpaceDN/>
              <w:spacing w:line="240" w:lineRule="auto"/>
              <w:textAlignment w:val="auto"/>
              <w:rPr>
                <w:rFonts w:ascii="Tahoma" w:hAnsi="Tahoma" w:eastAsia="Times New Roman" w:cs="Tahoma"/>
                <w:sz w:val="20"/>
                <w:szCs w:val="20"/>
              </w:rPr>
            </w:pPr>
            <w:r w:rsidRPr="00971D08">
              <w:rPr>
                <w:rFonts w:ascii="Tahoma" w:hAnsi="Tahoma" w:eastAsia="Times New Roman" w:cs="Tahoma"/>
                <w:sz w:val="20"/>
                <w:szCs w:val="20"/>
              </w:rPr>
              <w:t>2017</w:t>
            </w:r>
          </w:p>
        </w:tc>
        <w:tc>
          <w:tcPr>
            <w:tcW w:w="1876" w:type="dxa"/>
            <w:shd w:val="clear" w:color="auto" w:fill="auto"/>
            <w:noWrap/>
            <w:vAlign w:val="bottom"/>
          </w:tcPr>
          <w:p w:rsidRPr="00971D08" w:rsidR="00C3554E" w:rsidP="00C3554E" w:rsidRDefault="00C3554E" w14:paraId="673456B0" w14:textId="610D168A">
            <w:pPr>
              <w:autoSpaceDN/>
              <w:spacing w:line="240" w:lineRule="auto"/>
              <w:jc w:val="right"/>
              <w:textAlignment w:val="auto"/>
              <w:rPr>
                <w:rFonts w:ascii="Tahoma" w:hAnsi="Tahoma" w:eastAsia="Times New Roman" w:cs="Tahoma"/>
                <w:sz w:val="20"/>
                <w:szCs w:val="20"/>
              </w:rPr>
            </w:pPr>
            <w:r>
              <w:rPr>
                <w:rFonts w:ascii="Arial" w:hAnsi="Arial" w:cs="Arial"/>
                <w:sz w:val="20"/>
                <w:szCs w:val="20"/>
              </w:rPr>
              <w:t>250</w:t>
            </w:r>
          </w:p>
        </w:tc>
      </w:tr>
      <w:tr w:rsidRPr="00971D08" w:rsidR="00C3554E" w:rsidTr="00C3554E" w14:paraId="1D59033F" w14:textId="77777777">
        <w:trPr>
          <w:trHeight w:val="255"/>
        </w:trPr>
        <w:tc>
          <w:tcPr>
            <w:tcW w:w="1985" w:type="dxa"/>
            <w:shd w:val="clear" w:color="auto" w:fill="auto"/>
            <w:noWrap/>
            <w:vAlign w:val="bottom"/>
            <w:hideMark/>
          </w:tcPr>
          <w:p w:rsidRPr="00971D08" w:rsidR="00C3554E" w:rsidP="00C3554E" w:rsidRDefault="00C3554E" w14:paraId="22B7A4F9" w14:textId="77777777">
            <w:pPr>
              <w:autoSpaceDN/>
              <w:spacing w:line="240" w:lineRule="auto"/>
              <w:textAlignment w:val="auto"/>
              <w:rPr>
                <w:rFonts w:ascii="Tahoma" w:hAnsi="Tahoma" w:eastAsia="Times New Roman" w:cs="Tahoma"/>
                <w:sz w:val="20"/>
                <w:szCs w:val="20"/>
              </w:rPr>
            </w:pPr>
            <w:r w:rsidRPr="00971D08">
              <w:rPr>
                <w:rFonts w:ascii="Tahoma" w:hAnsi="Tahoma" w:eastAsia="Times New Roman" w:cs="Tahoma"/>
                <w:sz w:val="20"/>
                <w:szCs w:val="20"/>
              </w:rPr>
              <w:t>2018</w:t>
            </w:r>
          </w:p>
        </w:tc>
        <w:tc>
          <w:tcPr>
            <w:tcW w:w="1876" w:type="dxa"/>
            <w:shd w:val="clear" w:color="auto" w:fill="auto"/>
            <w:noWrap/>
            <w:vAlign w:val="bottom"/>
          </w:tcPr>
          <w:p w:rsidRPr="00971D08" w:rsidR="00C3554E" w:rsidP="00C3554E" w:rsidRDefault="00C3554E" w14:paraId="7A40A724" w14:textId="4E269495">
            <w:pPr>
              <w:autoSpaceDN/>
              <w:spacing w:line="240" w:lineRule="auto"/>
              <w:jc w:val="right"/>
              <w:textAlignment w:val="auto"/>
              <w:rPr>
                <w:rFonts w:ascii="Tahoma" w:hAnsi="Tahoma" w:eastAsia="Times New Roman" w:cs="Tahoma"/>
                <w:sz w:val="20"/>
                <w:szCs w:val="20"/>
              </w:rPr>
            </w:pPr>
            <w:r>
              <w:rPr>
                <w:rFonts w:ascii="Arial" w:hAnsi="Arial" w:cs="Arial"/>
                <w:sz w:val="20"/>
                <w:szCs w:val="20"/>
              </w:rPr>
              <w:t>260</w:t>
            </w:r>
          </w:p>
        </w:tc>
      </w:tr>
      <w:tr w:rsidRPr="00971D08" w:rsidR="00C3554E" w:rsidTr="00C3554E" w14:paraId="7962B39D" w14:textId="77777777">
        <w:trPr>
          <w:trHeight w:val="255"/>
        </w:trPr>
        <w:tc>
          <w:tcPr>
            <w:tcW w:w="1985" w:type="dxa"/>
            <w:shd w:val="clear" w:color="auto" w:fill="auto"/>
            <w:noWrap/>
            <w:vAlign w:val="bottom"/>
            <w:hideMark/>
          </w:tcPr>
          <w:p w:rsidRPr="00971D08" w:rsidR="00C3554E" w:rsidP="00C3554E" w:rsidRDefault="00C3554E" w14:paraId="7ADE4267" w14:textId="77777777">
            <w:pPr>
              <w:autoSpaceDN/>
              <w:spacing w:line="240" w:lineRule="auto"/>
              <w:textAlignment w:val="auto"/>
              <w:rPr>
                <w:rFonts w:ascii="Tahoma" w:hAnsi="Tahoma" w:eastAsia="Times New Roman" w:cs="Tahoma"/>
                <w:sz w:val="20"/>
                <w:szCs w:val="20"/>
              </w:rPr>
            </w:pPr>
            <w:r w:rsidRPr="00971D08">
              <w:rPr>
                <w:rFonts w:ascii="Tahoma" w:hAnsi="Tahoma" w:eastAsia="Times New Roman" w:cs="Tahoma"/>
                <w:sz w:val="20"/>
                <w:szCs w:val="20"/>
              </w:rPr>
              <w:t>2019</w:t>
            </w:r>
          </w:p>
        </w:tc>
        <w:tc>
          <w:tcPr>
            <w:tcW w:w="1876" w:type="dxa"/>
            <w:shd w:val="clear" w:color="auto" w:fill="auto"/>
            <w:noWrap/>
            <w:vAlign w:val="bottom"/>
          </w:tcPr>
          <w:p w:rsidRPr="00971D08" w:rsidR="00C3554E" w:rsidP="00C3554E" w:rsidRDefault="00C3554E" w14:paraId="3BA6644D" w14:textId="391EF9E9">
            <w:pPr>
              <w:autoSpaceDN/>
              <w:spacing w:line="240" w:lineRule="auto"/>
              <w:jc w:val="right"/>
              <w:textAlignment w:val="auto"/>
              <w:rPr>
                <w:rFonts w:ascii="Tahoma" w:hAnsi="Tahoma" w:eastAsia="Times New Roman" w:cs="Tahoma"/>
                <w:sz w:val="20"/>
                <w:szCs w:val="20"/>
              </w:rPr>
            </w:pPr>
            <w:r>
              <w:rPr>
                <w:rFonts w:ascii="Arial" w:hAnsi="Arial" w:cs="Arial"/>
                <w:sz w:val="20"/>
                <w:szCs w:val="20"/>
              </w:rPr>
              <w:t>300</w:t>
            </w:r>
          </w:p>
        </w:tc>
      </w:tr>
      <w:tr w:rsidRPr="00971D08" w:rsidR="00C3554E" w:rsidTr="00C3554E" w14:paraId="5C79870C" w14:textId="77777777">
        <w:trPr>
          <w:trHeight w:val="255"/>
        </w:trPr>
        <w:tc>
          <w:tcPr>
            <w:tcW w:w="1985" w:type="dxa"/>
            <w:shd w:val="clear" w:color="auto" w:fill="auto"/>
            <w:noWrap/>
            <w:vAlign w:val="bottom"/>
            <w:hideMark/>
          </w:tcPr>
          <w:p w:rsidRPr="00971D08" w:rsidR="00C3554E" w:rsidP="00C3554E" w:rsidRDefault="00C3554E" w14:paraId="5A917F7A" w14:textId="77777777">
            <w:pPr>
              <w:autoSpaceDN/>
              <w:spacing w:line="240" w:lineRule="auto"/>
              <w:textAlignment w:val="auto"/>
              <w:rPr>
                <w:rFonts w:ascii="Tahoma" w:hAnsi="Tahoma" w:eastAsia="Times New Roman" w:cs="Tahoma"/>
                <w:sz w:val="20"/>
                <w:szCs w:val="20"/>
              </w:rPr>
            </w:pPr>
            <w:r w:rsidRPr="00971D08">
              <w:rPr>
                <w:rFonts w:ascii="Tahoma" w:hAnsi="Tahoma" w:eastAsia="Times New Roman" w:cs="Tahoma"/>
                <w:sz w:val="20"/>
                <w:szCs w:val="20"/>
              </w:rPr>
              <w:t>2020</w:t>
            </w:r>
          </w:p>
        </w:tc>
        <w:tc>
          <w:tcPr>
            <w:tcW w:w="1876" w:type="dxa"/>
            <w:shd w:val="clear" w:color="auto" w:fill="auto"/>
            <w:noWrap/>
            <w:vAlign w:val="bottom"/>
          </w:tcPr>
          <w:p w:rsidRPr="00971D08" w:rsidR="00C3554E" w:rsidP="00C3554E" w:rsidRDefault="00C3554E" w14:paraId="1AD44576" w14:textId="74663B0E">
            <w:pPr>
              <w:autoSpaceDN/>
              <w:spacing w:line="240" w:lineRule="auto"/>
              <w:jc w:val="right"/>
              <w:textAlignment w:val="auto"/>
              <w:rPr>
                <w:rFonts w:ascii="Tahoma" w:hAnsi="Tahoma" w:eastAsia="Times New Roman" w:cs="Tahoma"/>
                <w:sz w:val="20"/>
                <w:szCs w:val="20"/>
              </w:rPr>
            </w:pPr>
            <w:r>
              <w:rPr>
                <w:rFonts w:ascii="Arial" w:hAnsi="Arial" w:cs="Arial"/>
                <w:sz w:val="20"/>
                <w:szCs w:val="20"/>
              </w:rPr>
              <w:t>200</w:t>
            </w:r>
          </w:p>
        </w:tc>
      </w:tr>
      <w:tr w:rsidRPr="00971D08" w:rsidR="00C3554E" w:rsidTr="00C3554E" w14:paraId="1B97A1A6" w14:textId="77777777">
        <w:trPr>
          <w:trHeight w:val="255"/>
        </w:trPr>
        <w:tc>
          <w:tcPr>
            <w:tcW w:w="1985" w:type="dxa"/>
            <w:shd w:val="clear" w:color="auto" w:fill="auto"/>
            <w:noWrap/>
            <w:vAlign w:val="bottom"/>
            <w:hideMark/>
          </w:tcPr>
          <w:p w:rsidRPr="00971D08" w:rsidR="00C3554E" w:rsidP="00C3554E" w:rsidRDefault="00C3554E" w14:paraId="3D3EC6A1" w14:textId="77777777">
            <w:pPr>
              <w:autoSpaceDN/>
              <w:spacing w:line="240" w:lineRule="auto"/>
              <w:textAlignment w:val="auto"/>
              <w:rPr>
                <w:rFonts w:ascii="Tahoma" w:hAnsi="Tahoma" w:eastAsia="Times New Roman" w:cs="Tahoma"/>
                <w:sz w:val="20"/>
                <w:szCs w:val="20"/>
              </w:rPr>
            </w:pPr>
            <w:r w:rsidRPr="00971D08">
              <w:rPr>
                <w:rFonts w:ascii="Tahoma" w:hAnsi="Tahoma" w:eastAsia="Times New Roman" w:cs="Tahoma"/>
                <w:sz w:val="20"/>
                <w:szCs w:val="20"/>
              </w:rPr>
              <w:t>2021</w:t>
            </w:r>
          </w:p>
        </w:tc>
        <w:tc>
          <w:tcPr>
            <w:tcW w:w="1876" w:type="dxa"/>
            <w:shd w:val="clear" w:color="auto" w:fill="auto"/>
            <w:noWrap/>
            <w:vAlign w:val="bottom"/>
          </w:tcPr>
          <w:p w:rsidRPr="00971D08" w:rsidR="00C3554E" w:rsidP="00C3554E" w:rsidRDefault="00C3554E" w14:paraId="2C56DE37" w14:textId="10F47902">
            <w:pPr>
              <w:autoSpaceDN/>
              <w:spacing w:line="240" w:lineRule="auto"/>
              <w:jc w:val="right"/>
              <w:textAlignment w:val="auto"/>
              <w:rPr>
                <w:rFonts w:ascii="Tahoma" w:hAnsi="Tahoma" w:eastAsia="Times New Roman" w:cs="Tahoma"/>
                <w:sz w:val="20"/>
                <w:szCs w:val="20"/>
              </w:rPr>
            </w:pPr>
            <w:r>
              <w:rPr>
                <w:rFonts w:ascii="Arial" w:hAnsi="Arial" w:cs="Arial"/>
                <w:sz w:val="20"/>
                <w:szCs w:val="20"/>
              </w:rPr>
              <w:t>310</w:t>
            </w:r>
          </w:p>
        </w:tc>
      </w:tr>
      <w:tr w:rsidRPr="00971D08" w:rsidR="00C3554E" w:rsidTr="00C3554E" w14:paraId="60703476" w14:textId="77777777">
        <w:trPr>
          <w:trHeight w:val="255"/>
        </w:trPr>
        <w:tc>
          <w:tcPr>
            <w:tcW w:w="1985" w:type="dxa"/>
            <w:shd w:val="clear" w:color="auto" w:fill="auto"/>
            <w:noWrap/>
            <w:vAlign w:val="bottom"/>
            <w:hideMark/>
          </w:tcPr>
          <w:p w:rsidRPr="00971D08" w:rsidR="00C3554E" w:rsidP="00C3554E" w:rsidRDefault="00C3554E" w14:paraId="23212397" w14:textId="77777777">
            <w:pPr>
              <w:autoSpaceDN/>
              <w:spacing w:line="240" w:lineRule="auto"/>
              <w:textAlignment w:val="auto"/>
              <w:rPr>
                <w:rFonts w:ascii="Tahoma" w:hAnsi="Tahoma" w:eastAsia="Times New Roman" w:cs="Tahoma"/>
                <w:sz w:val="20"/>
                <w:szCs w:val="20"/>
              </w:rPr>
            </w:pPr>
            <w:r w:rsidRPr="00971D08">
              <w:rPr>
                <w:rFonts w:ascii="Tahoma" w:hAnsi="Tahoma" w:eastAsia="Times New Roman" w:cs="Tahoma"/>
                <w:sz w:val="20"/>
                <w:szCs w:val="20"/>
              </w:rPr>
              <w:t>2022</w:t>
            </w:r>
          </w:p>
        </w:tc>
        <w:tc>
          <w:tcPr>
            <w:tcW w:w="1876" w:type="dxa"/>
            <w:shd w:val="clear" w:color="auto" w:fill="auto"/>
            <w:noWrap/>
            <w:vAlign w:val="bottom"/>
          </w:tcPr>
          <w:p w:rsidRPr="00971D08" w:rsidR="00C3554E" w:rsidP="00C3554E" w:rsidRDefault="00C3554E" w14:paraId="495F19DE" w14:textId="0DD2EB04">
            <w:pPr>
              <w:autoSpaceDN/>
              <w:spacing w:line="240" w:lineRule="auto"/>
              <w:jc w:val="right"/>
              <w:textAlignment w:val="auto"/>
              <w:rPr>
                <w:rFonts w:ascii="Tahoma" w:hAnsi="Tahoma" w:eastAsia="Times New Roman" w:cs="Tahoma"/>
                <w:sz w:val="20"/>
                <w:szCs w:val="20"/>
              </w:rPr>
            </w:pPr>
            <w:r>
              <w:rPr>
                <w:rFonts w:ascii="Arial" w:hAnsi="Arial" w:cs="Arial"/>
                <w:sz w:val="20"/>
                <w:szCs w:val="20"/>
              </w:rPr>
              <w:t>260</w:t>
            </w:r>
          </w:p>
        </w:tc>
      </w:tr>
      <w:tr w:rsidRPr="00971D08" w:rsidR="00C3554E" w:rsidTr="00C3554E" w14:paraId="577EF7AD" w14:textId="77777777">
        <w:trPr>
          <w:trHeight w:val="255"/>
        </w:trPr>
        <w:tc>
          <w:tcPr>
            <w:tcW w:w="1985" w:type="dxa"/>
            <w:shd w:val="clear" w:color="auto" w:fill="auto"/>
            <w:noWrap/>
            <w:vAlign w:val="bottom"/>
            <w:hideMark/>
          </w:tcPr>
          <w:p w:rsidRPr="00971D08" w:rsidR="00C3554E" w:rsidP="00C3554E" w:rsidRDefault="00C3554E" w14:paraId="4B997266" w14:textId="77777777">
            <w:pPr>
              <w:autoSpaceDN/>
              <w:spacing w:line="240" w:lineRule="auto"/>
              <w:textAlignment w:val="auto"/>
              <w:rPr>
                <w:rFonts w:ascii="Tahoma" w:hAnsi="Tahoma" w:eastAsia="Times New Roman" w:cs="Tahoma"/>
                <w:sz w:val="20"/>
                <w:szCs w:val="20"/>
              </w:rPr>
            </w:pPr>
            <w:r w:rsidRPr="00971D08">
              <w:rPr>
                <w:rFonts w:ascii="Tahoma" w:hAnsi="Tahoma" w:eastAsia="Times New Roman" w:cs="Tahoma"/>
                <w:sz w:val="20"/>
                <w:szCs w:val="20"/>
              </w:rPr>
              <w:t>2023</w:t>
            </w:r>
          </w:p>
        </w:tc>
        <w:tc>
          <w:tcPr>
            <w:tcW w:w="1876" w:type="dxa"/>
            <w:shd w:val="clear" w:color="auto" w:fill="auto"/>
            <w:noWrap/>
            <w:vAlign w:val="bottom"/>
          </w:tcPr>
          <w:p w:rsidRPr="00971D08" w:rsidR="00C3554E" w:rsidP="00C3554E" w:rsidRDefault="00C3554E" w14:paraId="58C6A399" w14:textId="6F8EAF26">
            <w:pPr>
              <w:autoSpaceDN/>
              <w:spacing w:line="240" w:lineRule="auto"/>
              <w:jc w:val="right"/>
              <w:textAlignment w:val="auto"/>
              <w:rPr>
                <w:rFonts w:ascii="Tahoma" w:hAnsi="Tahoma" w:eastAsia="Times New Roman" w:cs="Tahoma"/>
                <w:sz w:val="20"/>
                <w:szCs w:val="20"/>
              </w:rPr>
            </w:pPr>
            <w:r>
              <w:rPr>
                <w:rFonts w:ascii="Arial" w:hAnsi="Arial" w:cs="Arial"/>
                <w:sz w:val="20"/>
                <w:szCs w:val="20"/>
              </w:rPr>
              <w:t>240</w:t>
            </w:r>
          </w:p>
        </w:tc>
      </w:tr>
      <w:tr w:rsidRPr="00971D08" w:rsidR="00C3554E" w:rsidTr="00C3554E" w14:paraId="5C9C6176" w14:textId="77777777">
        <w:trPr>
          <w:trHeight w:val="255"/>
        </w:trPr>
        <w:tc>
          <w:tcPr>
            <w:tcW w:w="1985" w:type="dxa"/>
            <w:tcBorders>
              <w:bottom w:val="single" w:color="auto" w:sz="4" w:space="0"/>
            </w:tcBorders>
            <w:shd w:val="clear" w:color="auto" w:fill="auto"/>
            <w:noWrap/>
            <w:vAlign w:val="bottom"/>
            <w:hideMark/>
          </w:tcPr>
          <w:p w:rsidRPr="00971D08" w:rsidR="00C3554E" w:rsidP="00C3554E" w:rsidRDefault="00C3554E" w14:paraId="3CF0928C" w14:textId="77777777">
            <w:pPr>
              <w:autoSpaceDN/>
              <w:spacing w:line="240" w:lineRule="auto"/>
              <w:textAlignment w:val="auto"/>
              <w:rPr>
                <w:rFonts w:ascii="Tahoma" w:hAnsi="Tahoma" w:eastAsia="Times New Roman" w:cs="Tahoma"/>
                <w:sz w:val="20"/>
                <w:szCs w:val="20"/>
              </w:rPr>
            </w:pPr>
            <w:r w:rsidRPr="00971D08">
              <w:rPr>
                <w:rFonts w:ascii="Tahoma" w:hAnsi="Tahoma" w:eastAsia="Times New Roman" w:cs="Tahoma"/>
                <w:sz w:val="20"/>
                <w:szCs w:val="20"/>
              </w:rPr>
              <w:t>2024</w:t>
            </w:r>
            <w:r>
              <w:rPr>
                <w:rFonts w:ascii="Tahoma" w:hAnsi="Tahoma" w:eastAsia="Times New Roman" w:cs="Tahoma"/>
                <w:sz w:val="20"/>
                <w:szCs w:val="20"/>
              </w:rPr>
              <w:t xml:space="preserve"> t/m augustus</w:t>
            </w:r>
          </w:p>
        </w:tc>
        <w:tc>
          <w:tcPr>
            <w:tcW w:w="1876" w:type="dxa"/>
            <w:tcBorders>
              <w:bottom w:val="single" w:color="auto" w:sz="4" w:space="0"/>
            </w:tcBorders>
            <w:shd w:val="clear" w:color="auto" w:fill="auto"/>
            <w:noWrap/>
            <w:vAlign w:val="bottom"/>
          </w:tcPr>
          <w:p w:rsidRPr="00971D08" w:rsidR="00C3554E" w:rsidP="00C3554E" w:rsidRDefault="00C3554E" w14:paraId="7432D182" w14:textId="4FE23592">
            <w:pPr>
              <w:autoSpaceDN/>
              <w:spacing w:line="240" w:lineRule="auto"/>
              <w:jc w:val="right"/>
              <w:textAlignment w:val="auto"/>
              <w:rPr>
                <w:rFonts w:ascii="Tahoma" w:hAnsi="Tahoma" w:eastAsia="Times New Roman" w:cs="Tahoma"/>
                <w:sz w:val="20"/>
                <w:szCs w:val="20"/>
              </w:rPr>
            </w:pPr>
            <w:r>
              <w:rPr>
                <w:rFonts w:ascii="Arial" w:hAnsi="Arial" w:cs="Arial"/>
                <w:sz w:val="20"/>
                <w:szCs w:val="20"/>
              </w:rPr>
              <w:t>160</w:t>
            </w:r>
          </w:p>
        </w:tc>
      </w:tr>
      <w:tr w:rsidRPr="00971D08" w:rsidR="00C3554E" w:rsidTr="00C3554E" w14:paraId="3B4EE6D3" w14:textId="77777777">
        <w:trPr>
          <w:trHeight w:val="255"/>
        </w:trPr>
        <w:tc>
          <w:tcPr>
            <w:tcW w:w="1985" w:type="dxa"/>
            <w:tcBorders>
              <w:top w:val="single" w:color="auto" w:sz="4" w:space="0"/>
              <w:bottom w:val="single" w:color="auto" w:sz="4" w:space="0"/>
            </w:tcBorders>
            <w:shd w:val="clear" w:color="auto" w:fill="auto"/>
            <w:noWrap/>
            <w:vAlign w:val="bottom"/>
            <w:hideMark/>
          </w:tcPr>
          <w:p w:rsidRPr="00971D08" w:rsidR="00C3554E" w:rsidP="00C3554E" w:rsidRDefault="00C3554E" w14:paraId="7653C1CF" w14:textId="77777777">
            <w:pPr>
              <w:autoSpaceDN/>
              <w:spacing w:line="240" w:lineRule="auto"/>
              <w:textAlignment w:val="auto"/>
              <w:rPr>
                <w:rFonts w:ascii="Tahoma" w:hAnsi="Tahoma" w:eastAsia="Times New Roman" w:cs="Tahoma"/>
                <w:b/>
                <w:bCs/>
                <w:sz w:val="20"/>
                <w:szCs w:val="20"/>
              </w:rPr>
            </w:pPr>
            <w:r w:rsidRPr="00971D08">
              <w:rPr>
                <w:rFonts w:ascii="Tahoma" w:hAnsi="Tahoma" w:eastAsia="Times New Roman" w:cs="Tahoma"/>
                <w:b/>
                <w:bCs/>
                <w:sz w:val="20"/>
                <w:szCs w:val="20"/>
              </w:rPr>
              <w:t>Eindtotaal</w:t>
            </w:r>
          </w:p>
        </w:tc>
        <w:tc>
          <w:tcPr>
            <w:tcW w:w="1876" w:type="dxa"/>
            <w:tcBorders>
              <w:top w:val="single" w:color="auto" w:sz="4" w:space="0"/>
              <w:bottom w:val="single" w:color="auto" w:sz="4" w:space="0"/>
            </w:tcBorders>
            <w:shd w:val="clear" w:color="auto" w:fill="auto"/>
            <w:noWrap/>
            <w:vAlign w:val="bottom"/>
          </w:tcPr>
          <w:p w:rsidRPr="00971D08" w:rsidR="00C3554E" w:rsidP="00C3554E" w:rsidRDefault="00C3554E" w14:paraId="063F0928" w14:textId="6546DFD6">
            <w:pPr>
              <w:autoSpaceDN/>
              <w:spacing w:line="240" w:lineRule="auto"/>
              <w:jc w:val="right"/>
              <w:textAlignment w:val="auto"/>
              <w:rPr>
                <w:rFonts w:ascii="Tahoma" w:hAnsi="Tahoma" w:eastAsia="Times New Roman" w:cs="Tahoma"/>
                <w:b/>
                <w:bCs/>
                <w:sz w:val="20"/>
                <w:szCs w:val="20"/>
              </w:rPr>
            </w:pPr>
            <w:r>
              <w:rPr>
                <w:rFonts w:ascii="Arial" w:hAnsi="Arial" w:cs="Arial"/>
                <w:sz w:val="20"/>
                <w:szCs w:val="20"/>
              </w:rPr>
              <w:t>2.380</w:t>
            </w:r>
          </w:p>
        </w:tc>
      </w:tr>
    </w:tbl>
    <w:p w:rsidR="001F7437" w:rsidP="001F7437" w:rsidRDefault="001F7437" w14:paraId="5CF9F555" w14:textId="581B321B">
      <w:pPr>
        <w:autoSpaceDN/>
        <w:spacing w:line="259" w:lineRule="auto"/>
        <w:textAlignment w:val="auto"/>
      </w:pPr>
      <w:r>
        <w:t xml:space="preserve">Tabel 3: </w:t>
      </w:r>
      <w:r w:rsidR="00A9780E">
        <w:t xml:space="preserve">Aantal </w:t>
      </w:r>
      <w:r>
        <w:t xml:space="preserve">amv </w:t>
      </w:r>
      <w:r w:rsidR="00A9780E">
        <w:t xml:space="preserve">dat </w:t>
      </w:r>
      <w:r w:rsidR="00903C96">
        <w:t xml:space="preserve">(nog) geen vergunninghouder </w:t>
      </w:r>
      <w:r w:rsidR="00A9780E">
        <w:t xml:space="preserve">is </w:t>
      </w:r>
      <w:r w:rsidR="00903C96">
        <w:t xml:space="preserve">en met onbekende bestemming van een COA-locatie </w:t>
      </w:r>
      <w:r w:rsidR="00A9780E">
        <w:t xml:space="preserve">is </w:t>
      </w:r>
      <w:r w:rsidR="00903C96">
        <w:t>uitgestroomd, exclusief vertrek uit GLO en VBL</w:t>
      </w:r>
      <w:r>
        <w:t xml:space="preserve">, 2014-2024 tot en met </w:t>
      </w:r>
      <w:r w:rsidR="00C3554E">
        <w:t>augustus</w:t>
      </w:r>
      <w:r>
        <w:t>, afgerond op tientallen.</w:t>
      </w:r>
      <w:r>
        <w:rPr>
          <w:rStyle w:val="Voetnootmarkering"/>
        </w:rPr>
        <w:footnoteReference w:id="5"/>
      </w:r>
    </w:p>
    <w:p w:rsidRPr="00A67F96" w:rsidR="001F7437" w:rsidP="001F7437" w:rsidRDefault="001F7437" w14:paraId="7C459F0F" w14:textId="77777777">
      <w:pPr>
        <w:autoSpaceDN/>
        <w:spacing w:line="259" w:lineRule="auto"/>
        <w:textAlignment w:val="auto"/>
      </w:pPr>
    </w:p>
    <w:p w:rsidR="0057236A" w:rsidP="001F7437" w:rsidRDefault="001F7437" w14:paraId="7B9B8A1F" w14:textId="77777777">
      <w:pPr>
        <w:autoSpaceDN/>
        <w:spacing w:line="259" w:lineRule="auto"/>
        <w:textAlignment w:val="auto"/>
      </w:pPr>
      <w:r w:rsidRPr="002D78AE">
        <w:rPr>
          <w:b/>
          <w:bCs/>
        </w:rPr>
        <w:t>Vraag 7</w:t>
      </w:r>
      <w:r w:rsidRPr="002D78AE">
        <w:rPr>
          <w:b/>
          <w:bCs/>
        </w:rPr>
        <w:br/>
        <w:t>Kunt u aangeven tot hoeveel nareizende familieleden de ingewilligde asielverzoeken van amv de afgelopen tien jaar hebben geleid? Kunt u dit per jaar aangeven? Om hoeveel nareizigers ging het gemiddeld per amv?</w:t>
      </w:r>
      <w:r w:rsidRPr="002D78AE">
        <w:rPr>
          <w:b/>
          <w:bCs/>
        </w:rPr>
        <w:br/>
      </w:r>
      <w:r w:rsidRPr="002D78AE">
        <w:rPr>
          <w:b/>
          <w:bCs/>
        </w:rPr>
        <w:br/>
      </w:r>
    </w:p>
    <w:p w:rsidR="0057236A" w:rsidRDefault="0057236A" w14:paraId="63525CA7" w14:textId="77777777">
      <w:pPr>
        <w:spacing w:line="240" w:lineRule="auto"/>
      </w:pPr>
      <w:r>
        <w:br w:type="page"/>
      </w:r>
    </w:p>
    <w:p w:rsidR="001F7437" w:rsidP="001F7437" w:rsidRDefault="0057236A" w14:paraId="15F3F2D8" w14:textId="72D654E1">
      <w:pPr>
        <w:autoSpaceDN/>
        <w:spacing w:line="259" w:lineRule="auto"/>
        <w:textAlignment w:val="auto"/>
      </w:pPr>
      <w:r w:rsidRPr="0057236A">
        <w:rPr>
          <w:b/>
          <w:bCs/>
        </w:rPr>
        <w:t>Antwoord op vraag 7</w:t>
      </w:r>
      <w:r>
        <w:br/>
      </w:r>
      <w:r w:rsidR="001F7437">
        <w:t xml:space="preserve">In tabel 4 is weergegeven hoeveel gezinsleden een amv via nareis heeft laten overkomen. Gemiddeld is </w:t>
      </w:r>
      <w:r w:rsidRPr="00EE5D77" w:rsidR="001F7437">
        <w:t>dat 1,1 nareiziger per amv. Dit</w:t>
      </w:r>
      <w:r w:rsidR="001F7437">
        <w:t xml:space="preserve"> betreft in beginsel de ouder(s) van de amv.</w:t>
      </w:r>
      <w:r w:rsidR="001F7437">
        <w:rPr>
          <w:rStyle w:val="Voetnootmarkering"/>
        </w:rPr>
        <w:footnoteReference w:id="6"/>
      </w:r>
    </w:p>
    <w:p w:rsidRPr="00CE76CA" w:rsidR="001F7437" w:rsidP="001F7437" w:rsidRDefault="001F7437" w14:paraId="4AB80DA1" w14:textId="77777777">
      <w:pPr>
        <w:autoSpaceDN/>
        <w:spacing w:line="259" w:lineRule="auto"/>
        <w:textAlignment w:val="auto"/>
      </w:pPr>
    </w:p>
    <w:tbl>
      <w:tblPr>
        <w:tblW w:w="5670" w:type="dxa"/>
        <w:tblBorders>
          <w:top w:val="single" w:color="auto" w:sz="4" w:space="0"/>
        </w:tblBorders>
        <w:tblCellMar>
          <w:left w:w="70" w:type="dxa"/>
          <w:right w:w="70" w:type="dxa"/>
        </w:tblCellMar>
        <w:tblLook w:val="04A0" w:firstRow="1" w:lastRow="0" w:firstColumn="1" w:lastColumn="0" w:noHBand="0" w:noVBand="1"/>
      </w:tblPr>
      <w:tblGrid>
        <w:gridCol w:w="2410"/>
        <w:gridCol w:w="3260"/>
      </w:tblGrid>
      <w:tr w:rsidRPr="00CE76CA" w:rsidR="001F7437" w:rsidTr="00FE7786" w14:paraId="136A272F" w14:textId="77777777">
        <w:trPr>
          <w:trHeight w:val="258"/>
        </w:trPr>
        <w:tc>
          <w:tcPr>
            <w:tcW w:w="2410" w:type="dxa"/>
            <w:tcBorders>
              <w:top w:val="single" w:color="auto" w:sz="4" w:space="0"/>
              <w:bottom w:val="single" w:color="auto" w:sz="4" w:space="0"/>
            </w:tcBorders>
            <w:shd w:val="clear" w:color="auto" w:fill="auto"/>
            <w:noWrap/>
            <w:vAlign w:val="bottom"/>
            <w:hideMark/>
          </w:tcPr>
          <w:p w:rsidRPr="00CE76CA" w:rsidR="001F7437" w:rsidP="00FE7786" w:rsidRDefault="001F7437" w14:paraId="11EFA611" w14:textId="5CF5CE8D">
            <w:pPr>
              <w:autoSpaceDN/>
              <w:spacing w:line="240" w:lineRule="auto"/>
              <w:textAlignment w:val="auto"/>
              <w:rPr>
                <w:rFonts w:ascii="Tahoma" w:hAnsi="Tahoma" w:eastAsia="Times New Roman" w:cs="Tahoma"/>
                <w:b/>
                <w:bCs/>
                <w:sz w:val="20"/>
                <w:szCs w:val="20"/>
              </w:rPr>
            </w:pPr>
            <w:r>
              <w:rPr>
                <w:rFonts w:ascii="Tahoma" w:hAnsi="Tahoma" w:eastAsia="Times New Roman" w:cs="Tahoma"/>
                <w:b/>
                <w:bCs/>
                <w:sz w:val="20"/>
                <w:szCs w:val="20"/>
              </w:rPr>
              <w:t>Jaar</w:t>
            </w:r>
          </w:p>
        </w:tc>
        <w:tc>
          <w:tcPr>
            <w:tcW w:w="3260" w:type="dxa"/>
            <w:tcBorders>
              <w:top w:val="single" w:color="auto" w:sz="4" w:space="0"/>
              <w:bottom w:val="single" w:color="auto" w:sz="4" w:space="0"/>
            </w:tcBorders>
            <w:shd w:val="clear" w:color="auto" w:fill="auto"/>
            <w:noWrap/>
            <w:vAlign w:val="bottom"/>
            <w:hideMark/>
          </w:tcPr>
          <w:p w:rsidRPr="00CE76CA" w:rsidR="001F7437" w:rsidP="00FE7786" w:rsidRDefault="001F7437" w14:paraId="31C2A614" w14:textId="77777777">
            <w:pPr>
              <w:autoSpaceDN/>
              <w:spacing w:line="240" w:lineRule="auto"/>
              <w:textAlignment w:val="auto"/>
              <w:rPr>
                <w:rFonts w:ascii="Tahoma" w:hAnsi="Tahoma" w:eastAsia="Times New Roman" w:cs="Tahoma"/>
                <w:b/>
                <w:bCs/>
                <w:sz w:val="20"/>
                <w:szCs w:val="20"/>
              </w:rPr>
            </w:pPr>
            <w:r w:rsidRPr="00CE76CA">
              <w:rPr>
                <w:rFonts w:ascii="Tahoma" w:hAnsi="Tahoma" w:eastAsia="Times New Roman" w:cs="Tahoma"/>
                <w:b/>
                <w:bCs/>
                <w:sz w:val="20"/>
                <w:szCs w:val="20"/>
              </w:rPr>
              <w:t xml:space="preserve">Aantal nareizigers </w:t>
            </w:r>
            <w:r>
              <w:rPr>
                <w:rFonts w:ascii="Tahoma" w:hAnsi="Tahoma" w:eastAsia="Times New Roman" w:cs="Tahoma"/>
                <w:b/>
                <w:bCs/>
                <w:sz w:val="20"/>
                <w:szCs w:val="20"/>
              </w:rPr>
              <w:t>van amv</w:t>
            </w:r>
          </w:p>
        </w:tc>
      </w:tr>
      <w:tr w:rsidRPr="00CE76CA" w:rsidR="001F7437" w:rsidTr="00FE7786" w14:paraId="21128A0A" w14:textId="77777777">
        <w:trPr>
          <w:trHeight w:val="258"/>
        </w:trPr>
        <w:tc>
          <w:tcPr>
            <w:tcW w:w="2410" w:type="dxa"/>
            <w:shd w:val="clear" w:color="auto" w:fill="auto"/>
            <w:noWrap/>
            <w:vAlign w:val="bottom"/>
            <w:hideMark/>
          </w:tcPr>
          <w:p w:rsidRPr="00CE76CA" w:rsidR="001F7437" w:rsidP="00FE7786" w:rsidRDefault="001F7437" w14:paraId="2F3AF01C" w14:textId="77777777">
            <w:pPr>
              <w:autoSpaceDN/>
              <w:spacing w:line="240" w:lineRule="auto"/>
              <w:textAlignment w:val="auto"/>
              <w:rPr>
                <w:rFonts w:ascii="Tahoma" w:hAnsi="Tahoma" w:eastAsia="Times New Roman" w:cs="Tahoma"/>
                <w:sz w:val="20"/>
                <w:szCs w:val="20"/>
              </w:rPr>
            </w:pPr>
            <w:r w:rsidRPr="00CE76CA">
              <w:rPr>
                <w:rFonts w:ascii="Tahoma" w:hAnsi="Tahoma" w:eastAsia="Times New Roman" w:cs="Tahoma"/>
                <w:sz w:val="20"/>
                <w:szCs w:val="20"/>
              </w:rPr>
              <w:t>2014</w:t>
            </w:r>
          </w:p>
        </w:tc>
        <w:tc>
          <w:tcPr>
            <w:tcW w:w="3260" w:type="dxa"/>
            <w:shd w:val="clear" w:color="auto" w:fill="auto"/>
            <w:noWrap/>
            <w:vAlign w:val="bottom"/>
            <w:hideMark/>
          </w:tcPr>
          <w:p w:rsidRPr="00CE76CA" w:rsidR="001F7437" w:rsidP="00FE7786" w:rsidRDefault="001F7437" w14:paraId="031A3FE9" w14:textId="77777777">
            <w:pPr>
              <w:autoSpaceDN/>
              <w:spacing w:line="240" w:lineRule="auto"/>
              <w:jc w:val="right"/>
              <w:textAlignment w:val="auto"/>
              <w:rPr>
                <w:rFonts w:ascii="Tahoma" w:hAnsi="Tahoma" w:eastAsia="Times New Roman" w:cs="Tahoma"/>
                <w:sz w:val="20"/>
                <w:szCs w:val="20"/>
              </w:rPr>
            </w:pPr>
            <w:r w:rsidRPr="00CE76CA">
              <w:rPr>
                <w:rFonts w:ascii="Tahoma" w:hAnsi="Tahoma" w:eastAsia="Times New Roman" w:cs="Tahoma"/>
                <w:sz w:val="20"/>
                <w:szCs w:val="20"/>
              </w:rPr>
              <w:t>310</w:t>
            </w:r>
          </w:p>
        </w:tc>
      </w:tr>
      <w:tr w:rsidRPr="00CE76CA" w:rsidR="001F7437" w:rsidTr="00FE7786" w14:paraId="5CE2B9A1" w14:textId="77777777">
        <w:trPr>
          <w:trHeight w:val="258"/>
        </w:trPr>
        <w:tc>
          <w:tcPr>
            <w:tcW w:w="2410" w:type="dxa"/>
            <w:shd w:val="clear" w:color="auto" w:fill="auto"/>
            <w:noWrap/>
            <w:vAlign w:val="bottom"/>
            <w:hideMark/>
          </w:tcPr>
          <w:p w:rsidRPr="00CE76CA" w:rsidR="001F7437" w:rsidP="00FE7786" w:rsidRDefault="001F7437" w14:paraId="5F46648B" w14:textId="77777777">
            <w:pPr>
              <w:autoSpaceDN/>
              <w:spacing w:line="240" w:lineRule="auto"/>
              <w:textAlignment w:val="auto"/>
              <w:rPr>
                <w:rFonts w:ascii="Tahoma" w:hAnsi="Tahoma" w:eastAsia="Times New Roman" w:cs="Tahoma"/>
                <w:sz w:val="20"/>
                <w:szCs w:val="20"/>
              </w:rPr>
            </w:pPr>
            <w:r w:rsidRPr="00CE76CA">
              <w:rPr>
                <w:rFonts w:ascii="Tahoma" w:hAnsi="Tahoma" w:eastAsia="Times New Roman" w:cs="Tahoma"/>
                <w:sz w:val="20"/>
                <w:szCs w:val="20"/>
              </w:rPr>
              <w:t>2015</w:t>
            </w:r>
          </w:p>
        </w:tc>
        <w:tc>
          <w:tcPr>
            <w:tcW w:w="3260" w:type="dxa"/>
            <w:shd w:val="clear" w:color="auto" w:fill="auto"/>
            <w:noWrap/>
            <w:vAlign w:val="bottom"/>
            <w:hideMark/>
          </w:tcPr>
          <w:p w:rsidRPr="00CE76CA" w:rsidR="001F7437" w:rsidP="00FE7786" w:rsidRDefault="001F7437" w14:paraId="2A8C2135" w14:textId="77777777">
            <w:pPr>
              <w:autoSpaceDN/>
              <w:spacing w:line="240" w:lineRule="auto"/>
              <w:jc w:val="right"/>
              <w:textAlignment w:val="auto"/>
              <w:rPr>
                <w:rFonts w:ascii="Tahoma" w:hAnsi="Tahoma" w:eastAsia="Times New Roman" w:cs="Tahoma"/>
                <w:sz w:val="20"/>
                <w:szCs w:val="20"/>
              </w:rPr>
            </w:pPr>
            <w:r w:rsidRPr="00CE76CA">
              <w:rPr>
                <w:rFonts w:ascii="Tahoma" w:hAnsi="Tahoma" w:eastAsia="Times New Roman" w:cs="Tahoma"/>
                <w:sz w:val="20"/>
                <w:szCs w:val="20"/>
              </w:rPr>
              <w:t>940</w:t>
            </w:r>
          </w:p>
        </w:tc>
      </w:tr>
      <w:tr w:rsidRPr="00CE76CA" w:rsidR="001F7437" w:rsidTr="00FE7786" w14:paraId="622D6CEF" w14:textId="77777777">
        <w:trPr>
          <w:trHeight w:val="258"/>
        </w:trPr>
        <w:tc>
          <w:tcPr>
            <w:tcW w:w="2410" w:type="dxa"/>
            <w:shd w:val="clear" w:color="auto" w:fill="auto"/>
            <w:noWrap/>
            <w:vAlign w:val="bottom"/>
            <w:hideMark/>
          </w:tcPr>
          <w:p w:rsidRPr="00CE76CA" w:rsidR="001F7437" w:rsidP="00FE7786" w:rsidRDefault="001F7437" w14:paraId="00F84B5B" w14:textId="77777777">
            <w:pPr>
              <w:autoSpaceDN/>
              <w:spacing w:line="240" w:lineRule="auto"/>
              <w:textAlignment w:val="auto"/>
              <w:rPr>
                <w:rFonts w:ascii="Tahoma" w:hAnsi="Tahoma" w:eastAsia="Times New Roman" w:cs="Tahoma"/>
                <w:sz w:val="20"/>
                <w:szCs w:val="20"/>
              </w:rPr>
            </w:pPr>
            <w:r w:rsidRPr="00CE76CA">
              <w:rPr>
                <w:rFonts w:ascii="Tahoma" w:hAnsi="Tahoma" w:eastAsia="Times New Roman" w:cs="Tahoma"/>
                <w:sz w:val="20"/>
                <w:szCs w:val="20"/>
              </w:rPr>
              <w:t>2016</w:t>
            </w:r>
          </w:p>
        </w:tc>
        <w:tc>
          <w:tcPr>
            <w:tcW w:w="3260" w:type="dxa"/>
            <w:shd w:val="clear" w:color="auto" w:fill="auto"/>
            <w:noWrap/>
            <w:vAlign w:val="bottom"/>
            <w:hideMark/>
          </w:tcPr>
          <w:p w:rsidRPr="00CE76CA" w:rsidR="001F7437" w:rsidP="00FE7786" w:rsidRDefault="001F7437" w14:paraId="506F8AD2" w14:textId="77777777">
            <w:pPr>
              <w:autoSpaceDN/>
              <w:spacing w:line="240" w:lineRule="auto"/>
              <w:jc w:val="right"/>
              <w:textAlignment w:val="auto"/>
              <w:rPr>
                <w:rFonts w:ascii="Tahoma" w:hAnsi="Tahoma" w:eastAsia="Times New Roman" w:cs="Tahoma"/>
                <w:sz w:val="20"/>
                <w:szCs w:val="20"/>
              </w:rPr>
            </w:pPr>
            <w:r w:rsidRPr="00CE76CA">
              <w:rPr>
                <w:rFonts w:ascii="Tahoma" w:hAnsi="Tahoma" w:eastAsia="Times New Roman" w:cs="Tahoma"/>
                <w:sz w:val="20"/>
                <w:szCs w:val="20"/>
              </w:rPr>
              <w:t>1</w:t>
            </w:r>
            <w:r>
              <w:rPr>
                <w:rFonts w:ascii="Tahoma" w:hAnsi="Tahoma" w:eastAsia="Times New Roman" w:cs="Tahoma"/>
                <w:sz w:val="20"/>
                <w:szCs w:val="20"/>
              </w:rPr>
              <w:t>.</w:t>
            </w:r>
            <w:r w:rsidRPr="00CE76CA">
              <w:rPr>
                <w:rFonts w:ascii="Tahoma" w:hAnsi="Tahoma" w:eastAsia="Times New Roman" w:cs="Tahoma"/>
                <w:sz w:val="20"/>
                <w:szCs w:val="20"/>
              </w:rPr>
              <w:t>740</w:t>
            </w:r>
          </w:p>
        </w:tc>
      </w:tr>
      <w:tr w:rsidRPr="00CE76CA" w:rsidR="001F7437" w:rsidTr="00FE7786" w14:paraId="32747E0D" w14:textId="77777777">
        <w:trPr>
          <w:trHeight w:val="258"/>
        </w:trPr>
        <w:tc>
          <w:tcPr>
            <w:tcW w:w="2410" w:type="dxa"/>
            <w:shd w:val="clear" w:color="auto" w:fill="auto"/>
            <w:noWrap/>
            <w:vAlign w:val="bottom"/>
            <w:hideMark/>
          </w:tcPr>
          <w:p w:rsidRPr="00CE76CA" w:rsidR="001F7437" w:rsidP="00FE7786" w:rsidRDefault="001F7437" w14:paraId="03B8FF8B" w14:textId="77777777">
            <w:pPr>
              <w:autoSpaceDN/>
              <w:spacing w:line="240" w:lineRule="auto"/>
              <w:textAlignment w:val="auto"/>
              <w:rPr>
                <w:rFonts w:ascii="Tahoma" w:hAnsi="Tahoma" w:eastAsia="Times New Roman" w:cs="Tahoma"/>
                <w:sz w:val="20"/>
                <w:szCs w:val="20"/>
              </w:rPr>
            </w:pPr>
            <w:r w:rsidRPr="00CE76CA">
              <w:rPr>
                <w:rFonts w:ascii="Tahoma" w:hAnsi="Tahoma" w:eastAsia="Times New Roman" w:cs="Tahoma"/>
                <w:sz w:val="20"/>
                <w:szCs w:val="20"/>
              </w:rPr>
              <w:t>2017</w:t>
            </w:r>
          </w:p>
        </w:tc>
        <w:tc>
          <w:tcPr>
            <w:tcW w:w="3260" w:type="dxa"/>
            <w:shd w:val="clear" w:color="auto" w:fill="auto"/>
            <w:noWrap/>
            <w:vAlign w:val="bottom"/>
            <w:hideMark/>
          </w:tcPr>
          <w:p w:rsidRPr="00CE76CA" w:rsidR="001F7437" w:rsidP="00FE7786" w:rsidRDefault="001F7437" w14:paraId="6B302E7E" w14:textId="77777777">
            <w:pPr>
              <w:autoSpaceDN/>
              <w:spacing w:line="240" w:lineRule="auto"/>
              <w:jc w:val="right"/>
              <w:textAlignment w:val="auto"/>
              <w:rPr>
                <w:rFonts w:ascii="Tahoma" w:hAnsi="Tahoma" w:eastAsia="Times New Roman" w:cs="Tahoma"/>
                <w:sz w:val="20"/>
                <w:szCs w:val="20"/>
              </w:rPr>
            </w:pPr>
            <w:r w:rsidRPr="00CE76CA">
              <w:rPr>
                <w:rFonts w:ascii="Tahoma" w:hAnsi="Tahoma" w:eastAsia="Times New Roman" w:cs="Tahoma"/>
                <w:sz w:val="20"/>
                <w:szCs w:val="20"/>
              </w:rPr>
              <w:t>2</w:t>
            </w:r>
            <w:r>
              <w:rPr>
                <w:rFonts w:ascii="Tahoma" w:hAnsi="Tahoma" w:eastAsia="Times New Roman" w:cs="Tahoma"/>
                <w:sz w:val="20"/>
                <w:szCs w:val="20"/>
              </w:rPr>
              <w:t>.</w:t>
            </w:r>
            <w:r w:rsidRPr="00CE76CA">
              <w:rPr>
                <w:rFonts w:ascii="Tahoma" w:hAnsi="Tahoma" w:eastAsia="Times New Roman" w:cs="Tahoma"/>
                <w:sz w:val="20"/>
                <w:szCs w:val="20"/>
              </w:rPr>
              <w:t>600</w:t>
            </w:r>
          </w:p>
        </w:tc>
      </w:tr>
      <w:tr w:rsidRPr="00CE76CA" w:rsidR="001F7437" w:rsidTr="00FE7786" w14:paraId="5D5F8737" w14:textId="77777777">
        <w:trPr>
          <w:trHeight w:val="258"/>
        </w:trPr>
        <w:tc>
          <w:tcPr>
            <w:tcW w:w="2410" w:type="dxa"/>
            <w:shd w:val="clear" w:color="auto" w:fill="auto"/>
            <w:noWrap/>
            <w:vAlign w:val="bottom"/>
            <w:hideMark/>
          </w:tcPr>
          <w:p w:rsidRPr="00CE76CA" w:rsidR="001F7437" w:rsidP="00FE7786" w:rsidRDefault="001F7437" w14:paraId="3A149051" w14:textId="77777777">
            <w:pPr>
              <w:autoSpaceDN/>
              <w:spacing w:line="240" w:lineRule="auto"/>
              <w:textAlignment w:val="auto"/>
              <w:rPr>
                <w:rFonts w:ascii="Tahoma" w:hAnsi="Tahoma" w:eastAsia="Times New Roman" w:cs="Tahoma"/>
                <w:sz w:val="20"/>
                <w:szCs w:val="20"/>
              </w:rPr>
            </w:pPr>
            <w:r w:rsidRPr="00CE76CA">
              <w:rPr>
                <w:rFonts w:ascii="Tahoma" w:hAnsi="Tahoma" w:eastAsia="Times New Roman" w:cs="Tahoma"/>
                <w:sz w:val="20"/>
                <w:szCs w:val="20"/>
              </w:rPr>
              <w:t>2018</w:t>
            </w:r>
          </w:p>
        </w:tc>
        <w:tc>
          <w:tcPr>
            <w:tcW w:w="3260" w:type="dxa"/>
            <w:shd w:val="clear" w:color="auto" w:fill="auto"/>
            <w:noWrap/>
            <w:vAlign w:val="bottom"/>
            <w:hideMark/>
          </w:tcPr>
          <w:p w:rsidRPr="00CE76CA" w:rsidR="001F7437" w:rsidP="00FE7786" w:rsidRDefault="001F7437" w14:paraId="41F133DD" w14:textId="77777777">
            <w:pPr>
              <w:autoSpaceDN/>
              <w:spacing w:line="240" w:lineRule="auto"/>
              <w:jc w:val="right"/>
              <w:textAlignment w:val="auto"/>
              <w:rPr>
                <w:rFonts w:ascii="Tahoma" w:hAnsi="Tahoma" w:eastAsia="Times New Roman" w:cs="Tahoma"/>
                <w:sz w:val="20"/>
                <w:szCs w:val="20"/>
              </w:rPr>
            </w:pPr>
            <w:r w:rsidRPr="00CE76CA">
              <w:rPr>
                <w:rFonts w:ascii="Tahoma" w:hAnsi="Tahoma" w:eastAsia="Times New Roman" w:cs="Tahoma"/>
                <w:sz w:val="20"/>
                <w:szCs w:val="20"/>
              </w:rPr>
              <w:t>1</w:t>
            </w:r>
            <w:r>
              <w:rPr>
                <w:rFonts w:ascii="Tahoma" w:hAnsi="Tahoma" w:eastAsia="Times New Roman" w:cs="Tahoma"/>
                <w:sz w:val="20"/>
                <w:szCs w:val="20"/>
              </w:rPr>
              <w:t>.</w:t>
            </w:r>
            <w:r w:rsidRPr="00CE76CA">
              <w:rPr>
                <w:rFonts w:ascii="Tahoma" w:hAnsi="Tahoma" w:eastAsia="Times New Roman" w:cs="Tahoma"/>
                <w:sz w:val="20"/>
                <w:szCs w:val="20"/>
              </w:rPr>
              <w:t>730</w:t>
            </w:r>
          </w:p>
        </w:tc>
      </w:tr>
      <w:tr w:rsidRPr="00CE76CA" w:rsidR="001F7437" w:rsidTr="00FE7786" w14:paraId="6FED8D1F" w14:textId="77777777">
        <w:trPr>
          <w:trHeight w:val="258"/>
        </w:trPr>
        <w:tc>
          <w:tcPr>
            <w:tcW w:w="2410" w:type="dxa"/>
            <w:shd w:val="clear" w:color="auto" w:fill="auto"/>
            <w:noWrap/>
            <w:vAlign w:val="bottom"/>
            <w:hideMark/>
          </w:tcPr>
          <w:p w:rsidRPr="00CE76CA" w:rsidR="001F7437" w:rsidP="00FE7786" w:rsidRDefault="001F7437" w14:paraId="34D33255" w14:textId="77777777">
            <w:pPr>
              <w:autoSpaceDN/>
              <w:spacing w:line="240" w:lineRule="auto"/>
              <w:textAlignment w:val="auto"/>
              <w:rPr>
                <w:rFonts w:ascii="Tahoma" w:hAnsi="Tahoma" w:eastAsia="Times New Roman" w:cs="Tahoma"/>
                <w:sz w:val="20"/>
                <w:szCs w:val="20"/>
              </w:rPr>
            </w:pPr>
            <w:r w:rsidRPr="00CE76CA">
              <w:rPr>
                <w:rFonts w:ascii="Tahoma" w:hAnsi="Tahoma" w:eastAsia="Times New Roman" w:cs="Tahoma"/>
                <w:sz w:val="20"/>
                <w:szCs w:val="20"/>
              </w:rPr>
              <w:t>2019</w:t>
            </w:r>
          </w:p>
        </w:tc>
        <w:tc>
          <w:tcPr>
            <w:tcW w:w="3260" w:type="dxa"/>
            <w:shd w:val="clear" w:color="auto" w:fill="auto"/>
            <w:noWrap/>
            <w:vAlign w:val="bottom"/>
            <w:hideMark/>
          </w:tcPr>
          <w:p w:rsidRPr="00CE76CA" w:rsidR="001F7437" w:rsidP="00FE7786" w:rsidRDefault="001F7437" w14:paraId="253EA931" w14:textId="77777777">
            <w:pPr>
              <w:autoSpaceDN/>
              <w:spacing w:line="240" w:lineRule="auto"/>
              <w:jc w:val="right"/>
              <w:textAlignment w:val="auto"/>
              <w:rPr>
                <w:rFonts w:ascii="Tahoma" w:hAnsi="Tahoma" w:eastAsia="Times New Roman" w:cs="Tahoma"/>
                <w:sz w:val="20"/>
                <w:szCs w:val="20"/>
              </w:rPr>
            </w:pPr>
            <w:r w:rsidRPr="00CE76CA">
              <w:rPr>
                <w:rFonts w:ascii="Tahoma" w:hAnsi="Tahoma" w:eastAsia="Times New Roman" w:cs="Tahoma"/>
                <w:sz w:val="20"/>
                <w:szCs w:val="20"/>
              </w:rPr>
              <w:t>940</w:t>
            </w:r>
          </w:p>
        </w:tc>
      </w:tr>
      <w:tr w:rsidRPr="00CE76CA" w:rsidR="001F7437" w:rsidTr="00FE7786" w14:paraId="59D462EC" w14:textId="77777777">
        <w:trPr>
          <w:trHeight w:val="258"/>
        </w:trPr>
        <w:tc>
          <w:tcPr>
            <w:tcW w:w="2410" w:type="dxa"/>
            <w:shd w:val="clear" w:color="auto" w:fill="auto"/>
            <w:noWrap/>
            <w:vAlign w:val="bottom"/>
            <w:hideMark/>
          </w:tcPr>
          <w:p w:rsidRPr="00CE76CA" w:rsidR="001F7437" w:rsidP="00FE7786" w:rsidRDefault="001F7437" w14:paraId="074BD3AE" w14:textId="77777777">
            <w:pPr>
              <w:autoSpaceDN/>
              <w:spacing w:line="240" w:lineRule="auto"/>
              <w:textAlignment w:val="auto"/>
              <w:rPr>
                <w:rFonts w:ascii="Tahoma" w:hAnsi="Tahoma" w:eastAsia="Times New Roman" w:cs="Tahoma"/>
                <w:sz w:val="20"/>
                <w:szCs w:val="20"/>
              </w:rPr>
            </w:pPr>
            <w:r w:rsidRPr="00CE76CA">
              <w:rPr>
                <w:rFonts w:ascii="Tahoma" w:hAnsi="Tahoma" w:eastAsia="Times New Roman" w:cs="Tahoma"/>
                <w:sz w:val="20"/>
                <w:szCs w:val="20"/>
              </w:rPr>
              <w:t>2020</w:t>
            </w:r>
          </w:p>
        </w:tc>
        <w:tc>
          <w:tcPr>
            <w:tcW w:w="3260" w:type="dxa"/>
            <w:shd w:val="clear" w:color="auto" w:fill="auto"/>
            <w:noWrap/>
            <w:vAlign w:val="bottom"/>
            <w:hideMark/>
          </w:tcPr>
          <w:p w:rsidRPr="00CE76CA" w:rsidR="001F7437" w:rsidP="00FE7786" w:rsidRDefault="001F7437" w14:paraId="03045F9B" w14:textId="77777777">
            <w:pPr>
              <w:autoSpaceDN/>
              <w:spacing w:line="240" w:lineRule="auto"/>
              <w:jc w:val="right"/>
              <w:textAlignment w:val="auto"/>
              <w:rPr>
                <w:rFonts w:ascii="Tahoma" w:hAnsi="Tahoma" w:eastAsia="Times New Roman" w:cs="Tahoma"/>
                <w:sz w:val="20"/>
                <w:szCs w:val="20"/>
              </w:rPr>
            </w:pPr>
            <w:r w:rsidRPr="00CE76CA">
              <w:rPr>
                <w:rFonts w:ascii="Tahoma" w:hAnsi="Tahoma" w:eastAsia="Times New Roman" w:cs="Tahoma"/>
                <w:sz w:val="20"/>
                <w:szCs w:val="20"/>
              </w:rPr>
              <w:t>780</w:t>
            </w:r>
          </w:p>
        </w:tc>
      </w:tr>
      <w:tr w:rsidRPr="00CE76CA" w:rsidR="001F7437" w:rsidTr="00FE7786" w14:paraId="1267FA50" w14:textId="77777777">
        <w:trPr>
          <w:trHeight w:val="258"/>
        </w:trPr>
        <w:tc>
          <w:tcPr>
            <w:tcW w:w="2410" w:type="dxa"/>
            <w:shd w:val="clear" w:color="auto" w:fill="auto"/>
            <w:noWrap/>
            <w:vAlign w:val="bottom"/>
            <w:hideMark/>
          </w:tcPr>
          <w:p w:rsidRPr="00CE76CA" w:rsidR="001F7437" w:rsidP="00FE7786" w:rsidRDefault="001F7437" w14:paraId="43E3D89E" w14:textId="77777777">
            <w:pPr>
              <w:autoSpaceDN/>
              <w:spacing w:line="240" w:lineRule="auto"/>
              <w:textAlignment w:val="auto"/>
              <w:rPr>
                <w:rFonts w:ascii="Tahoma" w:hAnsi="Tahoma" w:eastAsia="Times New Roman" w:cs="Tahoma"/>
                <w:sz w:val="20"/>
                <w:szCs w:val="20"/>
              </w:rPr>
            </w:pPr>
            <w:r w:rsidRPr="00CE76CA">
              <w:rPr>
                <w:rFonts w:ascii="Tahoma" w:hAnsi="Tahoma" w:eastAsia="Times New Roman" w:cs="Tahoma"/>
                <w:sz w:val="20"/>
                <w:szCs w:val="20"/>
              </w:rPr>
              <w:t>2021</w:t>
            </w:r>
          </w:p>
        </w:tc>
        <w:tc>
          <w:tcPr>
            <w:tcW w:w="3260" w:type="dxa"/>
            <w:shd w:val="clear" w:color="auto" w:fill="auto"/>
            <w:noWrap/>
            <w:vAlign w:val="bottom"/>
            <w:hideMark/>
          </w:tcPr>
          <w:p w:rsidRPr="00CE76CA" w:rsidR="001F7437" w:rsidP="00FE7786" w:rsidRDefault="001F7437" w14:paraId="16FA10EC" w14:textId="77777777">
            <w:pPr>
              <w:autoSpaceDN/>
              <w:spacing w:line="240" w:lineRule="auto"/>
              <w:jc w:val="right"/>
              <w:textAlignment w:val="auto"/>
              <w:rPr>
                <w:rFonts w:ascii="Tahoma" w:hAnsi="Tahoma" w:eastAsia="Times New Roman" w:cs="Tahoma"/>
                <w:sz w:val="20"/>
                <w:szCs w:val="20"/>
              </w:rPr>
            </w:pPr>
            <w:r w:rsidRPr="00CE76CA">
              <w:rPr>
                <w:rFonts w:ascii="Tahoma" w:hAnsi="Tahoma" w:eastAsia="Times New Roman" w:cs="Tahoma"/>
                <w:sz w:val="20"/>
                <w:szCs w:val="20"/>
              </w:rPr>
              <w:t>980</w:t>
            </w:r>
          </w:p>
        </w:tc>
      </w:tr>
      <w:tr w:rsidRPr="00CE76CA" w:rsidR="001F7437" w:rsidTr="00FE7786" w14:paraId="5285C595" w14:textId="77777777">
        <w:trPr>
          <w:trHeight w:val="258"/>
        </w:trPr>
        <w:tc>
          <w:tcPr>
            <w:tcW w:w="2410" w:type="dxa"/>
            <w:shd w:val="clear" w:color="auto" w:fill="auto"/>
            <w:noWrap/>
            <w:vAlign w:val="bottom"/>
            <w:hideMark/>
          </w:tcPr>
          <w:p w:rsidRPr="00CE76CA" w:rsidR="001F7437" w:rsidP="00FE7786" w:rsidRDefault="001F7437" w14:paraId="39FA9AF7" w14:textId="77777777">
            <w:pPr>
              <w:autoSpaceDN/>
              <w:spacing w:line="240" w:lineRule="auto"/>
              <w:textAlignment w:val="auto"/>
              <w:rPr>
                <w:rFonts w:ascii="Tahoma" w:hAnsi="Tahoma" w:eastAsia="Times New Roman" w:cs="Tahoma"/>
                <w:sz w:val="20"/>
                <w:szCs w:val="20"/>
              </w:rPr>
            </w:pPr>
            <w:r w:rsidRPr="00CE76CA">
              <w:rPr>
                <w:rFonts w:ascii="Tahoma" w:hAnsi="Tahoma" w:eastAsia="Times New Roman" w:cs="Tahoma"/>
                <w:sz w:val="20"/>
                <w:szCs w:val="20"/>
              </w:rPr>
              <w:t>2022</w:t>
            </w:r>
          </w:p>
        </w:tc>
        <w:tc>
          <w:tcPr>
            <w:tcW w:w="3260" w:type="dxa"/>
            <w:shd w:val="clear" w:color="auto" w:fill="auto"/>
            <w:noWrap/>
            <w:vAlign w:val="bottom"/>
            <w:hideMark/>
          </w:tcPr>
          <w:p w:rsidRPr="00CE76CA" w:rsidR="001F7437" w:rsidP="00FE7786" w:rsidRDefault="001F7437" w14:paraId="5E17CFA5" w14:textId="77777777">
            <w:pPr>
              <w:autoSpaceDN/>
              <w:spacing w:line="240" w:lineRule="auto"/>
              <w:jc w:val="right"/>
              <w:textAlignment w:val="auto"/>
              <w:rPr>
                <w:rFonts w:ascii="Tahoma" w:hAnsi="Tahoma" w:eastAsia="Times New Roman" w:cs="Tahoma"/>
                <w:sz w:val="20"/>
                <w:szCs w:val="20"/>
              </w:rPr>
            </w:pPr>
            <w:r w:rsidRPr="00CE76CA">
              <w:rPr>
                <w:rFonts w:ascii="Tahoma" w:hAnsi="Tahoma" w:eastAsia="Times New Roman" w:cs="Tahoma"/>
                <w:sz w:val="20"/>
                <w:szCs w:val="20"/>
              </w:rPr>
              <w:t>1</w:t>
            </w:r>
            <w:r>
              <w:rPr>
                <w:rFonts w:ascii="Tahoma" w:hAnsi="Tahoma" w:eastAsia="Times New Roman" w:cs="Tahoma"/>
                <w:sz w:val="20"/>
                <w:szCs w:val="20"/>
              </w:rPr>
              <w:t>.</w:t>
            </w:r>
            <w:r w:rsidRPr="00CE76CA">
              <w:rPr>
                <w:rFonts w:ascii="Tahoma" w:hAnsi="Tahoma" w:eastAsia="Times New Roman" w:cs="Tahoma"/>
                <w:sz w:val="20"/>
                <w:szCs w:val="20"/>
              </w:rPr>
              <w:t>950</w:t>
            </w:r>
          </w:p>
        </w:tc>
      </w:tr>
      <w:tr w:rsidRPr="00CE76CA" w:rsidR="001F7437" w:rsidTr="00FE7786" w14:paraId="78295A55" w14:textId="77777777">
        <w:trPr>
          <w:trHeight w:val="258"/>
        </w:trPr>
        <w:tc>
          <w:tcPr>
            <w:tcW w:w="2410" w:type="dxa"/>
            <w:shd w:val="clear" w:color="auto" w:fill="auto"/>
            <w:noWrap/>
            <w:vAlign w:val="bottom"/>
            <w:hideMark/>
          </w:tcPr>
          <w:p w:rsidRPr="00CE76CA" w:rsidR="001F7437" w:rsidP="00FE7786" w:rsidRDefault="001F7437" w14:paraId="70F9BA65" w14:textId="77777777">
            <w:pPr>
              <w:autoSpaceDN/>
              <w:spacing w:line="240" w:lineRule="auto"/>
              <w:textAlignment w:val="auto"/>
              <w:rPr>
                <w:rFonts w:ascii="Tahoma" w:hAnsi="Tahoma" w:eastAsia="Times New Roman" w:cs="Tahoma"/>
                <w:sz w:val="20"/>
                <w:szCs w:val="20"/>
              </w:rPr>
            </w:pPr>
            <w:r w:rsidRPr="00CE76CA">
              <w:rPr>
                <w:rFonts w:ascii="Tahoma" w:hAnsi="Tahoma" w:eastAsia="Times New Roman" w:cs="Tahoma"/>
                <w:sz w:val="20"/>
                <w:szCs w:val="20"/>
              </w:rPr>
              <w:t>2023</w:t>
            </w:r>
          </w:p>
        </w:tc>
        <w:tc>
          <w:tcPr>
            <w:tcW w:w="3260" w:type="dxa"/>
            <w:shd w:val="clear" w:color="auto" w:fill="auto"/>
            <w:noWrap/>
            <w:vAlign w:val="bottom"/>
            <w:hideMark/>
          </w:tcPr>
          <w:p w:rsidRPr="00CE76CA" w:rsidR="001F7437" w:rsidP="00FE7786" w:rsidRDefault="001F7437" w14:paraId="3770A9A8" w14:textId="77777777">
            <w:pPr>
              <w:autoSpaceDN/>
              <w:spacing w:line="240" w:lineRule="auto"/>
              <w:jc w:val="right"/>
              <w:textAlignment w:val="auto"/>
              <w:rPr>
                <w:rFonts w:ascii="Tahoma" w:hAnsi="Tahoma" w:eastAsia="Times New Roman" w:cs="Tahoma"/>
                <w:sz w:val="20"/>
                <w:szCs w:val="20"/>
              </w:rPr>
            </w:pPr>
            <w:r w:rsidRPr="00CE76CA">
              <w:rPr>
                <w:rFonts w:ascii="Tahoma" w:hAnsi="Tahoma" w:eastAsia="Times New Roman" w:cs="Tahoma"/>
                <w:sz w:val="20"/>
                <w:szCs w:val="20"/>
              </w:rPr>
              <w:t>1</w:t>
            </w:r>
            <w:r>
              <w:rPr>
                <w:rFonts w:ascii="Tahoma" w:hAnsi="Tahoma" w:eastAsia="Times New Roman" w:cs="Tahoma"/>
                <w:sz w:val="20"/>
                <w:szCs w:val="20"/>
              </w:rPr>
              <w:t>.</w:t>
            </w:r>
            <w:r w:rsidRPr="00CE76CA">
              <w:rPr>
                <w:rFonts w:ascii="Tahoma" w:hAnsi="Tahoma" w:eastAsia="Times New Roman" w:cs="Tahoma"/>
                <w:sz w:val="20"/>
                <w:szCs w:val="20"/>
              </w:rPr>
              <w:t>130</w:t>
            </w:r>
          </w:p>
        </w:tc>
      </w:tr>
      <w:tr w:rsidRPr="00CE76CA" w:rsidR="001F7437" w:rsidTr="00FE7786" w14:paraId="644E3F82" w14:textId="77777777">
        <w:trPr>
          <w:trHeight w:val="258"/>
        </w:trPr>
        <w:tc>
          <w:tcPr>
            <w:tcW w:w="2410" w:type="dxa"/>
            <w:tcBorders>
              <w:bottom w:val="single" w:color="auto" w:sz="4" w:space="0"/>
            </w:tcBorders>
            <w:shd w:val="clear" w:color="auto" w:fill="auto"/>
            <w:noWrap/>
            <w:vAlign w:val="bottom"/>
            <w:hideMark/>
          </w:tcPr>
          <w:p w:rsidRPr="00CE76CA" w:rsidR="001F7437" w:rsidP="00FE7786" w:rsidRDefault="001F7437" w14:paraId="657B79F2" w14:textId="77777777">
            <w:pPr>
              <w:autoSpaceDN/>
              <w:spacing w:line="240" w:lineRule="auto"/>
              <w:textAlignment w:val="auto"/>
              <w:rPr>
                <w:rFonts w:ascii="Tahoma" w:hAnsi="Tahoma" w:eastAsia="Times New Roman" w:cs="Tahoma"/>
                <w:sz w:val="20"/>
                <w:szCs w:val="20"/>
              </w:rPr>
            </w:pPr>
            <w:r w:rsidRPr="00CE76CA">
              <w:rPr>
                <w:rFonts w:ascii="Tahoma" w:hAnsi="Tahoma" w:eastAsia="Times New Roman" w:cs="Tahoma"/>
                <w:sz w:val="20"/>
                <w:szCs w:val="20"/>
              </w:rPr>
              <w:t>2024</w:t>
            </w:r>
            <w:r>
              <w:rPr>
                <w:rFonts w:ascii="Tahoma" w:hAnsi="Tahoma" w:eastAsia="Times New Roman" w:cs="Tahoma"/>
                <w:sz w:val="20"/>
                <w:szCs w:val="20"/>
              </w:rPr>
              <w:t xml:space="preserve"> t/m augustus</w:t>
            </w:r>
          </w:p>
        </w:tc>
        <w:tc>
          <w:tcPr>
            <w:tcW w:w="3260" w:type="dxa"/>
            <w:tcBorders>
              <w:bottom w:val="single" w:color="auto" w:sz="4" w:space="0"/>
            </w:tcBorders>
            <w:shd w:val="clear" w:color="auto" w:fill="auto"/>
            <w:noWrap/>
            <w:vAlign w:val="bottom"/>
            <w:hideMark/>
          </w:tcPr>
          <w:p w:rsidRPr="00CE76CA" w:rsidR="001F7437" w:rsidP="00FE7786" w:rsidRDefault="001F7437" w14:paraId="4D02178C" w14:textId="77777777">
            <w:pPr>
              <w:autoSpaceDN/>
              <w:spacing w:line="240" w:lineRule="auto"/>
              <w:jc w:val="right"/>
              <w:textAlignment w:val="auto"/>
              <w:rPr>
                <w:rFonts w:ascii="Tahoma" w:hAnsi="Tahoma" w:eastAsia="Times New Roman" w:cs="Tahoma"/>
                <w:sz w:val="20"/>
                <w:szCs w:val="20"/>
              </w:rPr>
            </w:pPr>
            <w:r w:rsidRPr="00CE76CA">
              <w:rPr>
                <w:rFonts w:ascii="Tahoma" w:hAnsi="Tahoma" w:eastAsia="Times New Roman" w:cs="Tahoma"/>
                <w:sz w:val="20"/>
                <w:szCs w:val="20"/>
              </w:rPr>
              <w:t>840</w:t>
            </w:r>
          </w:p>
        </w:tc>
      </w:tr>
      <w:tr w:rsidRPr="00CE76CA" w:rsidR="001F7437" w:rsidTr="00FE7786" w14:paraId="4D671CE1" w14:textId="77777777">
        <w:trPr>
          <w:trHeight w:val="258"/>
        </w:trPr>
        <w:tc>
          <w:tcPr>
            <w:tcW w:w="2410" w:type="dxa"/>
            <w:tcBorders>
              <w:top w:val="single" w:color="auto" w:sz="4" w:space="0"/>
              <w:bottom w:val="single" w:color="auto" w:sz="4" w:space="0"/>
            </w:tcBorders>
            <w:shd w:val="clear" w:color="auto" w:fill="auto"/>
            <w:noWrap/>
            <w:vAlign w:val="bottom"/>
            <w:hideMark/>
          </w:tcPr>
          <w:p w:rsidRPr="00CE76CA" w:rsidR="001F7437" w:rsidP="00FE7786" w:rsidRDefault="001F7437" w14:paraId="28E73C6A" w14:textId="77777777">
            <w:pPr>
              <w:autoSpaceDN/>
              <w:spacing w:line="240" w:lineRule="auto"/>
              <w:textAlignment w:val="auto"/>
              <w:rPr>
                <w:rFonts w:ascii="Tahoma" w:hAnsi="Tahoma" w:eastAsia="Times New Roman" w:cs="Tahoma"/>
                <w:b/>
                <w:bCs/>
                <w:sz w:val="20"/>
                <w:szCs w:val="20"/>
              </w:rPr>
            </w:pPr>
            <w:r w:rsidRPr="00CE76CA">
              <w:rPr>
                <w:rFonts w:ascii="Tahoma" w:hAnsi="Tahoma" w:eastAsia="Times New Roman" w:cs="Tahoma"/>
                <w:b/>
                <w:bCs/>
                <w:sz w:val="20"/>
                <w:szCs w:val="20"/>
              </w:rPr>
              <w:t>Eindtotaal</w:t>
            </w:r>
          </w:p>
        </w:tc>
        <w:tc>
          <w:tcPr>
            <w:tcW w:w="3260" w:type="dxa"/>
            <w:tcBorders>
              <w:top w:val="single" w:color="auto" w:sz="4" w:space="0"/>
              <w:bottom w:val="single" w:color="auto" w:sz="4" w:space="0"/>
            </w:tcBorders>
            <w:shd w:val="clear" w:color="auto" w:fill="auto"/>
            <w:noWrap/>
            <w:vAlign w:val="bottom"/>
            <w:hideMark/>
          </w:tcPr>
          <w:p w:rsidRPr="00CE76CA" w:rsidR="001F7437" w:rsidP="00FE7786" w:rsidRDefault="001F7437" w14:paraId="4A056E59" w14:textId="77777777">
            <w:pPr>
              <w:autoSpaceDN/>
              <w:spacing w:line="240" w:lineRule="auto"/>
              <w:jc w:val="right"/>
              <w:textAlignment w:val="auto"/>
              <w:rPr>
                <w:rFonts w:ascii="Tahoma" w:hAnsi="Tahoma" w:eastAsia="Times New Roman" w:cs="Tahoma"/>
                <w:b/>
                <w:bCs/>
                <w:sz w:val="20"/>
                <w:szCs w:val="20"/>
              </w:rPr>
            </w:pPr>
            <w:r w:rsidRPr="00CE76CA">
              <w:rPr>
                <w:rFonts w:ascii="Tahoma" w:hAnsi="Tahoma" w:eastAsia="Times New Roman" w:cs="Tahoma"/>
                <w:b/>
                <w:bCs/>
                <w:sz w:val="20"/>
                <w:szCs w:val="20"/>
              </w:rPr>
              <w:t>13</w:t>
            </w:r>
            <w:r>
              <w:rPr>
                <w:rFonts w:ascii="Tahoma" w:hAnsi="Tahoma" w:eastAsia="Times New Roman" w:cs="Tahoma"/>
                <w:b/>
                <w:bCs/>
                <w:sz w:val="20"/>
                <w:szCs w:val="20"/>
              </w:rPr>
              <w:t>.</w:t>
            </w:r>
            <w:r w:rsidRPr="00CE76CA">
              <w:rPr>
                <w:rFonts w:ascii="Tahoma" w:hAnsi="Tahoma" w:eastAsia="Times New Roman" w:cs="Tahoma"/>
                <w:b/>
                <w:bCs/>
                <w:sz w:val="20"/>
                <w:szCs w:val="20"/>
              </w:rPr>
              <w:t>980</w:t>
            </w:r>
          </w:p>
        </w:tc>
      </w:tr>
    </w:tbl>
    <w:p w:rsidR="001F7437" w:rsidP="001F7437" w:rsidRDefault="001F7437" w14:paraId="07CBC7B2" w14:textId="77777777">
      <w:pPr>
        <w:autoSpaceDN/>
        <w:spacing w:line="259" w:lineRule="auto"/>
        <w:textAlignment w:val="auto"/>
      </w:pPr>
      <w:r>
        <w:t>Tabel 4: Aantal nareizigers van amv, 2014-2024 tot en met augustus, afgerond op tientallen.</w:t>
      </w:r>
      <w:r>
        <w:rPr>
          <w:rStyle w:val="Voetnootmarkering"/>
        </w:rPr>
        <w:footnoteReference w:id="7"/>
      </w:r>
    </w:p>
    <w:p w:rsidR="001F7437" w:rsidP="001F7437" w:rsidRDefault="001F7437" w14:paraId="2FB8B6FB" w14:textId="77777777">
      <w:pPr>
        <w:autoSpaceDN/>
        <w:spacing w:line="259" w:lineRule="auto"/>
        <w:textAlignment w:val="auto"/>
      </w:pPr>
      <w:r w:rsidRPr="002D78AE">
        <w:rPr>
          <w:b/>
          <w:bCs/>
        </w:rPr>
        <w:br/>
        <w:t>Vraag 8</w:t>
      </w:r>
      <w:r w:rsidRPr="002D78AE">
        <w:rPr>
          <w:b/>
          <w:bCs/>
        </w:rPr>
        <w:br/>
        <w:t>In hoeverre hangt het hoge inwilligingspercentage van asielverzoeken van amv in Nederland samen met het -veronderstelde- gebrek aan adequate opvangvoorzieningen in hun landen van herkomst?</w:t>
      </w:r>
      <w:r w:rsidRPr="002D78AE">
        <w:rPr>
          <w:b/>
          <w:bCs/>
        </w:rPr>
        <w:br/>
      </w:r>
    </w:p>
    <w:p w:rsidR="001F7437" w:rsidP="001F7437" w:rsidRDefault="0057236A" w14:paraId="5C508151" w14:textId="14962DF1">
      <w:pPr>
        <w:autoSpaceDN/>
        <w:spacing w:line="259" w:lineRule="auto"/>
        <w:textAlignment w:val="auto"/>
      </w:pPr>
      <w:r w:rsidRPr="0057236A">
        <w:rPr>
          <w:b/>
          <w:bCs/>
        </w:rPr>
        <w:t>Antwoord op vraag 8</w:t>
      </w:r>
      <w:r>
        <w:br/>
      </w:r>
      <w:r w:rsidR="001F7437">
        <w:t xml:space="preserve">De beoordeling of voor de alleenstaande minderjarige vreemdeling in land van herkomst adequate opvang aanwezig is, hoeft pas te worden gemaakt nadat de asielaanvraag is afgewezen. Onderzoek naar de aanwezigheid van adequate opvang raakt dus alleen </w:t>
      </w:r>
      <w:r w:rsidR="00B64EB1">
        <w:t>amv</w:t>
      </w:r>
      <w:r w:rsidR="001F7437">
        <w:t xml:space="preserve"> die geen recht hebben op bescherming en wier asielaanvraag niet is ingewilligd. </w:t>
      </w:r>
    </w:p>
    <w:p w:rsidR="001F7437" w:rsidP="001F7437" w:rsidRDefault="001F7437" w14:paraId="177DDADE" w14:textId="1D9F41FA">
      <w:pPr>
        <w:autoSpaceDN/>
        <w:spacing w:line="259" w:lineRule="auto"/>
        <w:textAlignment w:val="auto"/>
      </w:pPr>
      <w:r w:rsidRPr="002D78AE">
        <w:rPr>
          <w:b/>
          <w:bCs/>
        </w:rPr>
        <w:br/>
        <w:t>Vraag 9</w:t>
      </w:r>
      <w:r w:rsidRPr="002D78AE">
        <w:rPr>
          <w:b/>
          <w:bCs/>
        </w:rPr>
        <w:br/>
        <w:t>Bent u ermee bekend dat het aantal alleenstaande minderjarige vreemdelingen uit onder andere Angola sterk afnam nadat Nederland in 2003 investeerde in verbetering van de opvangfaciliteiten ter plekke, waardoor Nederland Angolese amv kon terugsturen naar hun land van herkomst in plaats van hen in Nederland op te vangen en hun familie te laten overkomen?</w:t>
      </w:r>
      <w:r w:rsidRPr="002D78AE">
        <w:rPr>
          <w:b/>
          <w:bCs/>
        </w:rPr>
        <w:br/>
      </w:r>
      <w:r w:rsidRPr="002D78AE">
        <w:rPr>
          <w:b/>
          <w:bCs/>
        </w:rPr>
        <w:br/>
      </w:r>
      <w:r w:rsidRPr="0057236A" w:rsidR="0057236A">
        <w:rPr>
          <w:b/>
          <w:bCs/>
        </w:rPr>
        <w:t>Antwoord op vraag 9</w:t>
      </w:r>
      <w:r w:rsidR="0057236A">
        <w:br/>
      </w:r>
      <w:r>
        <w:t xml:space="preserve">Het klopt dat het aantal Angolese </w:t>
      </w:r>
      <w:r w:rsidR="00B64EB1">
        <w:t>amv</w:t>
      </w:r>
      <w:r>
        <w:t xml:space="preserve"> dat in Nederland asiel aanvroeg, vanaf 2003 sterk is afgenomen. Ook is het juist dat het gefinancierde opvanghuis in Angola het oordeel over de aanwezigheid van adequate opvang voor uitgeprocedeerde minderjarige Angolese asielzoekers vergemakkelijkte omdat gemotiveerd kon worden dat voor hen adequate opvang beschikbaar was. </w:t>
      </w:r>
    </w:p>
    <w:p w:rsidR="001F7437" w:rsidP="001F7437" w:rsidRDefault="001F7437" w14:paraId="52423357" w14:textId="77777777">
      <w:pPr>
        <w:autoSpaceDN/>
        <w:spacing w:line="259" w:lineRule="auto"/>
        <w:textAlignment w:val="auto"/>
      </w:pPr>
    </w:p>
    <w:p w:rsidR="001F7437" w:rsidP="001F7437" w:rsidRDefault="001F7437" w14:paraId="50B86F64" w14:textId="77777777">
      <w:pPr>
        <w:autoSpaceDN/>
        <w:spacing w:line="259" w:lineRule="auto"/>
        <w:textAlignment w:val="auto"/>
      </w:pPr>
      <w:r>
        <w:t>Een belangrijkere verklaring voor de sterke afname van het aantal Angolese amv dat in Nederland asiel aanvroeg, is volgens onderzoek van de Vrije Universiteit Amsterdam de ontwikkeling in Angola zelf.</w:t>
      </w:r>
      <w:r>
        <w:rPr>
          <w:rStyle w:val="Voetnootmarkering"/>
        </w:rPr>
        <w:footnoteReference w:id="8"/>
      </w:r>
      <w:r>
        <w:t xml:space="preserve"> In 2002 werd de jarenlange burgeroorlog in Angola beëindigd. Dat neemt niet weg dat het kabinet inzet op brede partnerschappen met landen van herkomst, waar ook terugkeer van amv onderdeel van is. </w:t>
      </w:r>
    </w:p>
    <w:p w:rsidR="001F7437" w:rsidP="001F7437" w:rsidRDefault="001F7437" w14:paraId="4E96208D" w14:textId="77777777">
      <w:pPr>
        <w:autoSpaceDN/>
        <w:spacing w:line="259" w:lineRule="auto"/>
        <w:textAlignment w:val="auto"/>
      </w:pPr>
    </w:p>
    <w:p w:rsidR="001F7437" w:rsidP="001F7437" w:rsidRDefault="001F7437" w14:paraId="706B972A" w14:textId="3799FF55">
      <w:pPr>
        <w:autoSpaceDN/>
        <w:spacing w:line="259" w:lineRule="auto"/>
        <w:textAlignment w:val="auto"/>
      </w:pPr>
      <w:r w:rsidRPr="002D78AE">
        <w:rPr>
          <w:b/>
          <w:bCs/>
        </w:rPr>
        <w:t>Vraag 10</w:t>
      </w:r>
      <w:r w:rsidRPr="002D78AE">
        <w:rPr>
          <w:b/>
          <w:bCs/>
        </w:rPr>
        <w:br/>
        <w:t>Bent u er tevens mee bekend dat van het gerenoveerde opvangcentrum in de jaren na 2003 amper tot geen gebruik van het opvangcentrum gemaakt hoefde te worden, aangezien vrijwel alle teruggestuurde amv door hun familie van het vliegveld werden opgehaald, hetgeen aantoont dat van daadwerkelijk vluchten van begin af aan al geen sprake was?</w:t>
      </w:r>
      <w:r w:rsidRPr="002D78AE">
        <w:rPr>
          <w:b/>
          <w:bCs/>
        </w:rPr>
        <w:br/>
      </w:r>
      <w:r w:rsidRPr="002D78AE">
        <w:rPr>
          <w:b/>
          <w:bCs/>
        </w:rPr>
        <w:br/>
      </w:r>
      <w:r w:rsidRPr="0057236A" w:rsidR="0057236A">
        <w:rPr>
          <w:b/>
          <w:bCs/>
        </w:rPr>
        <w:t>Antwoord op vraag 10</w:t>
      </w:r>
      <w:r w:rsidR="0057236A">
        <w:br/>
      </w:r>
      <w:r>
        <w:t xml:space="preserve">Het klopt dat de Angolese minderjarige vreemdelingen die terugkeerden naar Angola werden opgehaald door ouders of familieleden. Voor het overige verwijs ik naar de beantwoording van Kamervragen hierover </w:t>
      </w:r>
      <w:r w:rsidR="00AC3133">
        <w:t xml:space="preserve">die </w:t>
      </w:r>
      <w:r>
        <w:t>in april 2009 met uw Kamer is gedeeld.</w:t>
      </w:r>
      <w:r>
        <w:rPr>
          <w:rStyle w:val="Voetnootmarkering"/>
        </w:rPr>
        <w:footnoteReference w:id="9"/>
      </w:r>
    </w:p>
    <w:p w:rsidR="001F7437" w:rsidP="001F7437" w:rsidRDefault="001F7437" w14:paraId="6A930D35" w14:textId="16B9CB46">
      <w:pPr>
        <w:autoSpaceDN/>
        <w:spacing w:line="259" w:lineRule="auto"/>
        <w:textAlignment w:val="auto"/>
      </w:pPr>
      <w:r w:rsidRPr="002D78AE">
        <w:rPr>
          <w:b/>
          <w:bCs/>
        </w:rPr>
        <w:br/>
        <w:t>Vraag 11</w:t>
      </w:r>
      <w:r w:rsidRPr="002D78AE">
        <w:rPr>
          <w:b/>
          <w:bCs/>
        </w:rPr>
        <w:br/>
        <w:t>Kunt u aangeven bij welke herkomstlanden waar (relatief) veel amv vandaan komen die in Nederland aan aanvraag doen het ontbreken van adequate opvangvoorzieningen een belangrijke reden voor niet-terugsturen is?</w:t>
      </w:r>
      <w:r w:rsidRPr="002D78AE">
        <w:rPr>
          <w:b/>
          <w:bCs/>
        </w:rPr>
        <w:br/>
      </w:r>
      <w:r w:rsidRPr="002D78AE">
        <w:rPr>
          <w:b/>
          <w:bCs/>
        </w:rPr>
        <w:br/>
      </w:r>
      <w:r w:rsidRPr="0057236A" w:rsidR="0057236A">
        <w:rPr>
          <w:b/>
          <w:bCs/>
        </w:rPr>
        <w:t>Antwoord op vraag 11</w:t>
      </w:r>
      <w:r w:rsidR="0057236A">
        <w:br/>
      </w:r>
      <w:r>
        <w:t xml:space="preserve">De instroom van amv kenmerkt zich door nationaliteiten met een relatief hoog inwilligingspercentage. </w:t>
      </w:r>
      <w:r w:rsidR="00842062">
        <w:t xml:space="preserve">Als de asielaanvraag wordt ingewilligd, hoeft niet te worden beoordeeld of in land van herkomst een adequate opvangvoorziening aanwezig is omdat terugkeer niet aan de orde is. </w:t>
      </w:r>
      <w:r>
        <w:t xml:space="preserve">De belangrijkste reden waarom de meeste amv met Syrische, Eritrese en Iraakse nationaliteit niet worden teruggestuurd, is </w:t>
      </w:r>
      <w:r w:rsidR="00842062">
        <w:t xml:space="preserve">dus </w:t>
      </w:r>
      <w:r>
        <w:t xml:space="preserve">omdat zij voor internationale bescherming in aanmerking komen. </w:t>
      </w:r>
    </w:p>
    <w:p w:rsidR="001F7437" w:rsidP="001F7437" w:rsidRDefault="001F7437" w14:paraId="266E9A46" w14:textId="77777777">
      <w:pPr>
        <w:autoSpaceDN/>
        <w:spacing w:line="259" w:lineRule="auto"/>
        <w:textAlignment w:val="auto"/>
      </w:pPr>
    </w:p>
    <w:p w:rsidR="001F7437" w:rsidP="001F7437" w:rsidRDefault="001F7437" w14:paraId="7C21381B" w14:textId="77777777">
      <w:pPr>
        <w:autoSpaceDN/>
        <w:spacing w:after="160" w:line="259" w:lineRule="auto"/>
        <w:textAlignment w:val="auto"/>
      </w:pPr>
      <w:r>
        <w:t>De meest voorkomende nationaliteiten in de amv caseload van DTenV</w:t>
      </w:r>
      <w:r>
        <w:rPr>
          <w:rStyle w:val="Voetnootmarkering"/>
        </w:rPr>
        <w:footnoteReference w:id="10"/>
      </w:r>
      <w:r>
        <w:t xml:space="preserve"> zijn de Somalische, Jemenitische, Afghaanse, Marokkaanse en Syrische nationaliteit. Voor deze landen geldt in zijn algemeenheid dat er geen adequate opvangvoorzieningen worden aangenomen, maar dat per individueel geval onderzoek wordt gedaan naar de mogelijkheden van adequate opvang. Daarbij wordt altijd als eerste onderzocht of verblijf bij een familielid mogelijk is. Als dat niet mogelijk is, wordt onderzocht of een (particuliere) opvangvoorziening voor de vreemdeling als adequaat kan worden aangemerkt.</w:t>
      </w:r>
    </w:p>
    <w:p w:rsidR="0057236A" w:rsidRDefault="0057236A" w14:paraId="5CEE3845" w14:textId="77777777">
      <w:pPr>
        <w:spacing w:line="240" w:lineRule="auto"/>
        <w:rPr>
          <w:b/>
          <w:bCs/>
        </w:rPr>
      </w:pPr>
      <w:r>
        <w:rPr>
          <w:b/>
          <w:bCs/>
        </w:rPr>
        <w:br w:type="page"/>
      </w:r>
    </w:p>
    <w:p w:rsidR="001F7437" w:rsidP="001F7437" w:rsidRDefault="001F7437" w14:paraId="21726B5B" w14:textId="70B7F992">
      <w:pPr>
        <w:autoSpaceDN/>
        <w:spacing w:line="259" w:lineRule="auto"/>
        <w:textAlignment w:val="auto"/>
        <w:rPr>
          <w:b/>
          <w:bCs/>
        </w:rPr>
      </w:pPr>
      <w:r w:rsidRPr="002D78AE">
        <w:rPr>
          <w:b/>
          <w:bCs/>
        </w:rPr>
        <w:t>Vraag 12</w:t>
      </w:r>
      <w:r w:rsidRPr="002D78AE">
        <w:rPr>
          <w:b/>
          <w:bCs/>
        </w:rPr>
        <w:br/>
        <w:t>Deelt u de mening dat het verbeteren van opvangvoorzieningen in landen van herkomst vele malen effectiever, goedkoper en houdbaarder is dan het opvangen van grote groepen amv in Nederland, inclusief nareizende familie? Zo nee, waarom niet?</w:t>
      </w:r>
    </w:p>
    <w:p w:rsidR="001F7437" w:rsidP="001F7437" w:rsidRDefault="001F7437" w14:paraId="3D8D4C2A" w14:textId="77777777">
      <w:pPr>
        <w:autoSpaceDN/>
        <w:spacing w:line="259" w:lineRule="auto"/>
        <w:textAlignment w:val="auto"/>
        <w:rPr>
          <w:b/>
          <w:bCs/>
        </w:rPr>
      </w:pPr>
    </w:p>
    <w:p w:rsidR="001F7437" w:rsidP="001F7437" w:rsidRDefault="0057236A" w14:paraId="70AFB362" w14:textId="2CFA18CC">
      <w:pPr>
        <w:autoSpaceDN/>
        <w:spacing w:after="160" w:line="259" w:lineRule="auto"/>
        <w:textAlignment w:val="auto"/>
      </w:pPr>
      <w:r w:rsidRPr="0057236A">
        <w:rPr>
          <w:b/>
          <w:bCs/>
        </w:rPr>
        <w:t>Antwoord op vraag 12</w:t>
      </w:r>
      <w:r>
        <w:br/>
      </w:r>
      <w:r w:rsidR="001F7437">
        <w:t xml:space="preserve">Ik deel de mening dat het vaststellen van adequate opvangvoorzieningen in landen van herkomst bijdraagt aan het optimaliseren van het terugkeerproces. Zoals toegelicht in het antwoord op vraag 11 wordt in iedere individuele zaak onderzoek gedaan naar adequate opvang, ook als er conform het landenbeleid in beginsel geen adequate opvangvoorziening is vastgesteld. </w:t>
      </w:r>
    </w:p>
    <w:p w:rsidR="001F7437" w:rsidP="001F7437" w:rsidRDefault="001F7437" w14:paraId="1F81A56C" w14:textId="77777777">
      <w:pPr>
        <w:autoSpaceDN/>
        <w:spacing w:line="259" w:lineRule="auto"/>
        <w:textAlignment w:val="auto"/>
        <w:rPr>
          <w:b/>
          <w:bCs/>
        </w:rPr>
      </w:pPr>
      <w:r w:rsidRPr="002D78AE">
        <w:rPr>
          <w:b/>
          <w:bCs/>
        </w:rPr>
        <w:t>Vraag 13</w:t>
      </w:r>
      <w:r w:rsidRPr="002D78AE">
        <w:rPr>
          <w:b/>
          <w:bCs/>
        </w:rPr>
        <w:br/>
        <w:t>Bent u bereid werk te maken van het opzetten c.q. verbeteren van opvangvoorzieningen voor amv in de betreffende landen van herkomst zoals o.a. eerder in Angola is gedaan, zodat het gebrek aan adequate opvang in de eigen regio geen reden meer kan zijn om amv niet terug te sturen? Zo nee, waarom niet?</w:t>
      </w:r>
    </w:p>
    <w:p w:rsidRPr="00E437BB" w:rsidR="001F7437" w:rsidP="001F7437" w:rsidRDefault="001F7437" w14:paraId="4BB3EC96" w14:textId="77777777">
      <w:pPr>
        <w:autoSpaceDN/>
        <w:spacing w:line="259" w:lineRule="auto"/>
        <w:textAlignment w:val="auto"/>
        <w:rPr>
          <w:b/>
          <w:bCs/>
        </w:rPr>
      </w:pPr>
    </w:p>
    <w:p w:rsidRPr="00B9570D" w:rsidR="001F7437" w:rsidP="001F7437" w:rsidRDefault="0057236A" w14:paraId="508813DA" w14:textId="259C9CB3">
      <w:pPr>
        <w:autoSpaceDN/>
        <w:spacing w:line="259" w:lineRule="auto"/>
        <w:textAlignment w:val="auto"/>
      </w:pPr>
      <w:r w:rsidRPr="0057236A">
        <w:rPr>
          <w:b/>
          <w:bCs/>
        </w:rPr>
        <w:t>Antwoord op vraag 13</w:t>
      </w:r>
      <w:r>
        <w:br/>
      </w:r>
      <w:r w:rsidR="001F7437">
        <w:t xml:space="preserve">Ja. De vaststelling van adequate opvangvoorzieningen in het landenbeleid is een permanent aandachtspunt. Daarnaast zet ik mij in om middels migratiepartnerschappen te </w:t>
      </w:r>
      <w:r w:rsidRPr="0057236A" w:rsidR="001F7437">
        <w:t>komen tot het realiseren van adequate opvangvoorzieningen in landen waar dat opportuun is. Dat is een diplomatiek en precair proces. Zodra ik hier noemenswaardige stappen op heb gemaakt, wordt uw Kamer hierover uiteraard geïnformeerd.</w:t>
      </w:r>
      <w:r w:rsidRPr="00B9570D" w:rsidR="001F7437">
        <w:br/>
      </w:r>
    </w:p>
    <w:p w:rsidR="001F7437" w:rsidP="001F7437" w:rsidRDefault="001F7437" w14:paraId="0F6E787A" w14:textId="77777777"/>
    <w:p w:rsidRPr="001F7437" w:rsidR="0099640E" w:rsidP="001F7437" w:rsidRDefault="0099640E" w14:paraId="1364DF36" w14:textId="77777777"/>
    <w:sectPr w:rsidRPr="001F7437" w:rsidR="0099640E">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DB8AF" w14:textId="77777777" w:rsidR="00C62F85" w:rsidRDefault="00C62F85">
      <w:pPr>
        <w:spacing w:line="240" w:lineRule="auto"/>
      </w:pPr>
      <w:r>
        <w:separator/>
      </w:r>
    </w:p>
  </w:endnote>
  <w:endnote w:type="continuationSeparator" w:id="0">
    <w:p w14:paraId="589A1B58" w14:textId="77777777" w:rsidR="00C62F85" w:rsidRDefault="00C62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D8C6" w14:textId="77777777" w:rsidR="0099640E" w:rsidRDefault="0099640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D1A96" w14:textId="77777777" w:rsidR="00C62F85" w:rsidRDefault="00C62F85">
      <w:pPr>
        <w:spacing w:line="240" w:lineRule="auto"/>
      </w:pPr>
      <w:r>
        <w:separator/>
      </w:r>
    </w:p>
  </w:footnote>
  <w:footnote w:type="continuationSeparator" w:id="0">
    <w:p w14:paraId="0CD6D7B6" w14:textId="77777777" w:rsidR="00C62F85" w:rsidRDefault="00C62F85">
      <w:pPr>
        <w:spacing w:line="240" w:lineRule="auto"/>
      </w:pPr>
      <w:r>
        <w:continuationSeparator/>
      </w:r>
    </w:p>
  </w:footnote>
  <w:footnote w:id="1">
    <w:p w14:paraId="1C10917A" w14:textId="77777777" w:rsidR="001F7437" w:rsidRPr="00F22E5C" w:rsidRDefault="001F7437" w:rsidP="001F7437">
      <w:pPr>
        <w:pStyle w:val="Voetnoottekst"/>
        <w:rPr>
          <w:sz w:val="16"/>
          <w:szCs w:val="16"/>
        </w:rPr>
      </w:pPr>
      <w:r w:rsidRPr="00F22E5C">
        <w:rPr>
          <w:rStyle w:val="Voetnootmarkering"/>
          <w:sz w:val="16"/>
          <w:szCs w:val="16"/>
        </w:rPr>
        <w:footnoteRef/>
      </w:r>
      <w:r w:rsidRPr="00F22E5C">
        <w:rPr>
          <w:sz w:val="16"/>
          <w:szCs w:val="16"/>
        </w:rPr>
        <w:t xml:space="preserve"> Bron: IND, Asylum Trends, juni 2024</w:t>
      </w:r>
    </w:p>
  </w:footnote>
  <w:footnote w:id="2">
    <w:p w14:paraId="42A9AECA" w14:textId="77777777" w:rsidR="001F7437" w:rsidRPr="0057236A" w:rsidRDefault="001F7437" w:rsidP="001F7437">
      <w:pPr>
        <w:pStyle w:val="Voetnoottekst"/>
        <w:rPr>
          <w:sz w:val="16"/>
          <w:szCs w:val="16"/>
        </w:rPr>
      </w:pPr>
      <w:r w:rsidRPr="004032AB">
        <w:rPr>
          <w:rStyle w:val="Voetnootmarkering"/>
          <w:sz w:val="16"/>
          <w:szCs w:val="16"/>
        </w:rPr>
        <w:footnoteRef/>
      </w:r>
      <w:r w:rsidRPr="004032AB">
        <w:rPr>
          <w:sz w:val="16"/>
          <w:szCs w:val="16"/>
        </w:rPr>
        <w:t xml:space="preserve"> Bron: IND.</w:t>
      </w:r>
    </w:p>
  </w:footnote>
  <w:footnote w:id="3">
    <w:p w14:paraId="02A36170" w14:textId="77777777" w:rsidR="001F7437" w:rsidRPr="009F238F" w:rsidRDefault="001F7437" w:rsidP="001F7437">
      <w:pPr>
        <w:pStyle w:val="Voetnoottekst"/>
        <w:rPr>
          <w:sz w:val="16"/>
          <w:szCs w:val="16"/>
        </w:rPr>
      </w:pPr>
      <w:r w:rsidRPr="009F238F">
        <w:rPr>
          <w:rStyle w:val="Voetnootmarkering"/>
          <w:sz w:val="16"/>
          <w:szCs w:val="16"/>
        </w:rPr>
        <w:footnoteRef/>
      </w:r>
      <w:r w:rsidRPr="009F238F">
        <w:rPr>
          <w:sz w:val="16"/>
          <w:szCs w:val="16"/>
        </w:rPr>
        <w:t xml:space="preserve"> Bron: Eurostat; laatst bijgewerkt op 23 augustus 2024.</w:t>
      </w:r>
    </w:p>
  </w:footnote>
  <w:footnote w:id="4">
    <w:p w14:paraId="50DDC84C" w14:textId="77777777" w:rsidR="001F7437" w:rsidRPr="0057236A" w:rsidRDefault="001F7437" w:rsidP="001F7437">
      <w:pPr>
        <w:pStyle w:val="Voetnoottekst"/>
        <w:rPr>
          <w:sz w:val="16"/>
          <w:szCs w:val="16"/>
        </w:rPr>
      </w:pPr>
      <w:r w:rsidRPr="00C7580C">
        <w:rPr>
          <w:rStyle w:val="Voetnootmarkering"/>
          <w:sz w:val="16"/>
          <w:szCs w:val="16"/>
        </w:rPr>
        <w:footnoteRef/>
      </w:r>
      <w:r w:rsidRPr="00C7580C">
        <w:rPr>
          <w:sz w:val="16"/>
          <w:szCs w:val="16"/>
        </w:rPr>
        <w:t xml:space="preserve"> Kamerstukken 2023-2024, 27062, nr. 137</w:t>
      </w:r>
    </w:p>
  </w:footnote>
  <w:footnote w:id="5">
    <w:p w14:paraId="6759F7CE" w14:textId="19EEF0D9" w:rsidR="001F7437" w:rsidRPr="00AA0B34" w:rsidRDefault="001F7437" w:rsidP="001F7437">
      <w:pPr>
        <w:pStyle w:val="Voetnoottekst"/>
        <w:rPr>
          <w:sz w:val="16"/>
          <w:szCs w:val="16"/>
        </w:rPr>
      </w:pPr>
      <w:r w:rsidRPr="00AA0B34">
        <w:rPr>
          <w:rStyle w:val="Voetnootmarkering"/>
          <w:sz w:val="16"/>
          <w:szCs w:val="16"/>
        </w:rPr>
        <w:footnoteRef/>
      </w:r>
      <w:r w:rsidRPr="00AA0B34">
        <w:rPr>
          <w:sz w:val="16"/>
          <w:szCs w:val="16"/>
        </w:rPr>
        <w:t xml:space="preserve"> Bron: </w:t>
      </w:r>
      <w:r w:rsidR="00C3554E">
        <w:rPr>
          <w:sz w:val="16"/>
          <w:szCs w:val="16"/>
        </w:rPr>
        <w:t>COA</w:t>
      </w:r>
      <w:r w:rsidRPr="00AA0B34">
        <w:rPr>
          <w:sz w:val="16"/>
          <w:szCs w:val="16"/>
        </w:rPr>
        <w:t>.</w:t>
      </w:r>
    </w:p>
  </w:footnote>
  <w:footnote w:id="6">
    <w:p w14:paraId="018495C5" w14:textId="77777777" w:rsidR="001F7437" w:rsidRPr="00665D2A" w:rsidRDefault="001F7437" w:rsidP="001F7437">
      <w:pPr>
        <w:rPr>
          <w:color w:val="auto"/>
          <w:sz w:val="20"/>
          <w:szCs w:val="20"/>
          <w:lang w:eastAsia="en-US"/>
        </w:rPr>
      </w:pPr>
      <w:r w:rsidRPr="00AA0B34">
        <w:rPr>
          <w:rStyle w:val="Voetnootmarkering"/>
          <w:color w:val="auto"/>
          <w:sz w:val="16"/>
          <w:szCs w:val="16"/>
        </w:rPr>
        <w:footnoteRef/>
      </w:r>
      <w:r w:rsidRPr="00AA0B34">
        <w:rPr>
          <w:color w:val="auto"/>
          <w:sz w:val="16"/>
          <w:szCs w:val="16"/>
        </w:rPr>
        <w:t xml:space="preserve"> Voor broer(s) en zus(sen) kan een beroep worden gedaan op gezinshereniging onder artikel 8 EVRM. Het aantal van familieleden van amv dat nareist via gezinshereniging kan niet </w:t>
      </w:r>
      <w:r w:rsidRPr="00AA0B34">
        <w:rPr>
          <w:color w:val="auto"/>
          <w:sz w:val="16"/>
          <w:szCs w:val="16"/>
          <w:lang w:eastAsia="en-US"/>
        </w:rPr>
        <w:t>geautomatiseerd worden ontleend aan de informatiesystemen van de migratieketen.</w:t>
      </w:r>
    </w:p>
  </w:footnote>
  <w:footnote w:id="7">
    <w:p w14:paraId="56726AAD" w14:textId="77777777" w:rsidR="001F7437" w:rsidRPr="00665D2A" w:rsidRDefault="001F7437" w:rsidP="001F7437">
      <w:pPr>
        <w:pStyle w:val="Voetnoottekst"/>
        <w:rPr>
          <w:sz w:val="16"/>
          <w:szCs w:val="16"/>
        </w:rPr>
      </w:pPr>
      <w:r w:rsidRPr="00665D2A">
        <w:rPr>
          <w:rStyle w:val="Voetnootmarkering"/>
          <w:sz w:val="16"/>
          <w:szCs w:val="16"/>
        </w:rPr>
        <w:footnoteRef/>
      </w:r>
      <w:r w:rsidRPr="00665D2A">
        <w:rPr>
          <w:sz w:val="16"/>
          <w:szCs w:val="16"/>
        </w:rPr>
        <w:t xml:space="preserve"> Bron: IND.</w:t>
      </w:r>
    </w:p>
  </w:footnote>
  <w:footnote w:id="8">
    <w:p w14:paraId="7E734CF5" w14:textId="77777777" w:rsidR="001F7437" w:rsidRPr="0057236A" w:rsidRDefault="001F7437" w:rsidP="001F7437">
      <w:pPr>
        <w:pStyle w:val="Voetnoottekst"/>
        <w:rPr>
          <w:sz w:val="16"/>
          <w:szCs w:val="16"/>
        </w:rPr>
      </w:pPr>
      <w:r w:rsidRPr="00C7580C">
        <w:rPr>
          <w:rStyle w:val="Voetnootmarkering"/>
          <w:sz w:val="16"/>
          <w:szCs w:val="16"/>
        </w:rPr>
        <w:footnoteRef/>
      </w:r>
      <w:r w:rsidRPr="00C7580C">
        <w:rPr>
          <w:sz w:val="16"/>
          <w:szCs w:val="16"/>
        </w:rPr>
        <w:t xml:space="preserve"> https://research.vu.nl/en/publications/luanda-holanda-irreguliere-asielmigratie-van-angola-naar-nederlan</w:t>
      </w:r>
    </w:p>
  </w:footnote>
  <w:footnote w:id="9">
    <w:p w14:paraId="285C3DB4" w14:textId="77777777" w:rsidR="001F7437" w:rsidRPr="00044511" w:rsidRDefault="001F7437" w:rsidP="001F7437">
      <w:pPr>
        <w:pStyle w:val="Voetnoottekst"/>
        <w:rPr>
          <w:sz w:val="16"/>
          <w:szCs w:val="16"/>
        </w:rPr>
      </w:pPr>
      <w:r w:rsidRPr="00044511">
        <w:rPr>
          <w:rStyle w:val="Voetnootmarkering"/>
          <w:sz w:val="16"/>
          <w:szCs w:val="16"/>
        </w:rPr>
        <w:footnoteRef/>
      </w:r>
      <w:r w:rsidRPr="00044511">
        <w:rPr>
          <w:sz w:val="16"/>
          <w:szCs w:val="16"/>
        </w:rPr>
        <w:t xml:space="preserve"> Kamerstukken,</w:t>
      </w:r>
      <w:r>
        <w:rPr>
          <w:sz w:val="16"/>
          <w:szCs w:val="16"/>
        </w:rPr>
        <w:t xml:space="preserve"> </w:t>
      </w:r>
      <w:r w:rsidRPr="00044511">
        <w:rPr>
          <w:sz w:val="16"/>
          <w:szCs w:val="16"/>
        </w:rPr>
        <w:t>vergaderjaar 2008-2009, 2009Z05730</w:t>
      </w:r>
    </w:p>
  </w:footnote>
  <w:footnote w:id="10">
    <w:p w14:paraId="75B7EF0A" w14:textId="77777777" w:rsidR="001F7437" w:rsidRPr="00044511" w:rsidRDefault="001F7437" w:rsidP="001F7437">
      <w:pPr>
        <w:pStyle w:val="Voetnoottekst"/>
        <w:rPr>
          <w:lang w:val="en-US"/>
        </w:rPr>
      </w:pPr>
      <w:r w:rsidRPr="00044511">
        <w:rPr>
          <w:rStyle w:val="Voetnootmarkering"/>
          <w:sz w:val="16"/>
          <w:szCs w:val="16"/>
        </w:rPr>
        <w:footnoteRef/>
      </w:r>
      <w:r w:rsidRPr="00044511">
        <w:rPr>
          <w:sz w:val="16"/>
          <w:szCs w:val="16"/>
        </w:rPr>
        <w:t xml:space="preserve"> </w:t>
      </w:r>
      <w:r w:rsidRPr="00044511">
        <w:rPr>
          <w:sz w:val="16"/>
          <w:szCs w:val="16"/>
          <w:lang w:val="en-US"/>
        </w:rPr>
        <w:t xml:space="preserve">Peildatum 4 </w:t>
      </w:r>
      <w:r>
        <w:rPr>
          <w:sz w:val="16"/>
          <w:szCs w:val="16"/>
          <w:lang w:val="en-US"/>
        </w:rPr>
        <w:t>september</w:t>
      </w:r>
      <w:r w:rsidRPr="00044511">
        <w:rPr>
          <w:sz w:val="16"/>
          <w:szCs w:val="16"/>
          <w:lang w:val="en-US"/>
        </w:rPr>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60BF" w14:textId="77777777" w:rsidR="0099640E" w:rsidRDefault="002D78AE">
    <w:r>
      <w:rPr>
        <w:noProof/>
      </w:rPr>
      <mc:AlternateContent>
        <mc:Choice Requires="wps">
          <w:drawing>
            <wp:anchor distT="0" distB="0" distL="0" distR="0" simplePos="0" relativeHeight="251652608" behindDoc="0" locked="1" layoutInCell="1" allowOverlap="1" wp14:anchorId="0EEF09D9" wp14:editId="035970B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AA719B" w14:textId="77777777" w:rsidR="0099640E" w:rsidRDefault="002D78AE">
                          <w:pPr>
                            <w:pStyle w:val="Referentiegegevensbold"/>
                          </w:pPr>
                          <w:r>
                            <w:t>Directoraat-Generaal Migratie</w:t>
                          </w:r>
                        </w:p>
                        <w:p w14:paraId="22D518E8" w14:textId="77777777" w:rsidR="0099640E" w:rsidRDefault="002D78AE">
                          <w:pPr>
                            <w:pStyle w:val="Referentiegegevens"/>
                          </w:pPr>
                          <w:r>
                            <w:t>Directie Migratiebeleid</w:t>
                          </w:r>
                        </w:p>
                        <w:p w14:paraId="64294EB3" w14:textId="77777777" w:rsidR="0099640E" w:rsidRDefault="002D78AE">
                          <w:pPr>
                            <w:pStyle w:val="Referentiegegevens"/>
                          </w:pPr>
                          <w:r>
                            <w:t>Asiel, Opvang en Terugkeer</w:t>
                          </w:r>
                        </w:p>
                        <w:p w14:paraId="1FBD21BD" w14:textId="77777777" w:rsidR="0099640E" w:rsidRDefault="0099640E">
                          <w:pPr>
                            <w:pStyle w:val="WitregelW2"/>
                          </w:pPr>
                        </w:p>
                        <w:p w14:paraId="35C41B0A" w14:textId="77777777" w:rsidR="0099640E" w:rsidRDefault="002D78AE">
                          <w:pPr>
                            <w:pStyle w:val="Referentiegegevensbold"/>
                          </w:pPr>
                          <w:r>
                            <w:t>Datum</w:t>
                          </w:r>
                        </w:p>
                        <w:p w14:paraId="3F4E1E22" w14:textId="20713107" w:rsidR="0099640E" w:rsidRDefault="00FB54BF">
                          <w:pPr>
                            <w:pStyle w:val="Referentiegegevens"/>
                          </w:pPr>
                          <w:sdt>
                            <w:sdtPr>
                              <w:id w:val="-566191700"/>
                              <w:date w:fullDate="2024-10-16T00:00:00Z">
                                <w:dateFormat w:val="d MMMM yyyy"/>
                                <w:lid w:val="nl"/>
                                <w:storeMappedDataAs w:val="dateTime"/>
                                <w:calendar w:val="gregorian"/>
                              </w:date>
                            </w:sdtPr>
                            <w:sdtEndPr/>
                            <w:sdtContent>
                              <w:r w:rsidR="0057236A">
                                <w:t>16 oktober 2024</w:t>
                              </w:r>
                            </w:sdtContent>
                          </w:sdt>
                        </w:p>
                        <w:p w14:paraId="32E6CD7A" w14:textId="77777777" w:rsidR="0099640E" w:rsidRDefault="0099640E">
                          <w:pPr>
                            <w:pStyle w:val="WitregelW1"/>
                          </w:pPr>
                        </w:p>
                        <w:p w14:paraId="5B6593F7" w14:textId="77777777" w:rsidR="0099640E" w:rsidRDefault="002D78AE">
                          <w:pPr>
                            <w:pStyle w:val="Referentiegegevensbold"/>
                          </w:pPr>
                          <w:r>
                            <w:t>Onze referentie</w:t>
                          </w:r>
                        </w:p>
                        <w:p w14:paraId="62EA51FB" w14:textId="51057DA8" w:rsidR="0099640E" w:rsidRDefault="00EC1791">
                          <w:pPr>
                            <w:pStyle w:val="Referentiegegevens"/>
                          </w:pPr>
                          <w:r w:rsidRPr="00EC1791">
                            <w:t>5706160</w:t>
                          </w:r>
                        </w:p>
                      </w:txbxContent>
                    </wps:txbx>
                    <wps:bodyPr vert="horz" wrap="square" lIns="0" tIns="0" rIns="0" bIns="0" anchor="t" anchorCtr="0"/>
                  </wps:wsp>
                </a:graphicData>
              </a:graphic>
            </wp:anchor>
          </w:drawing>
        </mc:Choice>
        <mc:Fallback>
          <w:pict>
            <v:shapetype w14:anchorId="0EEF09D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1AA719B" w14:textId="77777777" w:rsidR="0099640E" w:rsidRDefault="002D78AE">
                    <w:pPr>
                      <w:pStyle w:val="Referentiegegevensbold"/>
                    </w:pPr>
                    <w:r>
                      <w:t>Directoraat-Generaal Migratie</w:t>
                    </w:r>
                  </w:p>
                  <w:p w14:paraId="22D518E8" w14:textId="77777777" w:rsidR="0099640E" w:rsidRDefault="002D78AE">
                    <w:pPr>
                      <w:pStyle w:val="Referentiegegevens"/>
                    </w:pPr>
                    <w:r>
                      <w:t>Directie Migratiebeleid</w:t>
                    </w:r>
                  </w:p>
                  <w:p w14:paraId="64294EB3" w14:textId="77777777" w:rsidR="0099640E" w:rsidRDefault="002D78AE">
                    <w:pPr>
                      <w:pStyle w:val="Referentiegegevens"/>
                    </w:pPr>
                    <w:r>
                      <w:t>Asiel, Opvang en Terugkeer</w:t>
                    </w:r>
                  </w:p>
                  <w:p w14:paraId="1FBD21BD" w14:textId="77777777" w:rsidR="0099640E" w:rsidRDefault="0099640E">
                    <w:pPr>
                      <w:pStyle w:val="WitregelW2"/>
                    </w:pPr>
                  </w:p>
                  <w:p w14:paraId="35C41B0A" w14:textId="77777777" w:rsidR="0099640E" w:rsidRDefault="002D78AE">
                    <w:pPr>
                      <w:pStyle w:val="Referentiegegevensbold"/>
                    </w:pPr>
                    <w:r>
                      <w:t>Datum</w:t>
                    </w:r>
                  </w:p>
                  <w:p w14:paraId="3F4E1E22" w14:textId="20713107" w:rsidR="0099640E" w:rsidRDefault="00FB54BF">
                    <w:pPr>
                      <w:pStyle w:val="Referentiegegevens"/>
                    </w:pPr>
                    <w:sdt>
                      <w:sdtPr>
                        <w:id w:val="-566191700"/>
                        <w:date w:fullDate="2024-10-16T00:00:00Z">
                          <w:dateFormat w:val="d MMMM yyyy"/>
                          <w:lid w:val="nl"/>
                          <w:storeMappedDataAs w:val="dateTime"/>
                          <w:calendar w:val="gregorian"/>
                        </w:date>
                      </w:sdtPr>
                      <w:sdtEndPr/>
                      <w:sdtContent>
                        <w:r w:rsidR="0057236A">
                          <w:t>16 oktober 2024</w:t>
                        </w:r>
                      </w:sdtContent>
                    </w:sdt>
                  </w:p>
                  <w:p w14:paraId="32E6CD7A" w14:textId="77777777" w:rsidR="0099640E" w:rsidRDefault="0099640E">
                    <w:pPr>
                      <w:pStyle w:val="WitregelW1"/>
                    </w:pPr>
                  </w:p>
                  <w:p w14:paraId="5B6593F7" w14:textId="77777777" w:rsidR="0099640E" w:rsidRDefault="002D78AE">
                    <w:pPr>
                      <w:pStyle w:val="Referentiegegevensbold"/>
                    </w:pPr>
                    <w:r>
                      <w:t>Onze referentie</w:t>
                    </w:r>
                  </w:p>
                  <w:p w14:paraId="62EA51FB" w14:textId="51057DA8" w:rsidR="0099640E" w:rsidRDefault="00EC1791">
                    <w:pPr>
                      <w:pStyle w:val="Referentiegegevens"/>
                    </w:pPr>
                    <w:r w:rsidRPr="00EC1791">
                      <w:t>5706160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946271A" wp14:editId="3356C54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28E37F0" w14:textId="77777777" w:rsidR="002D78AE" w:rsidRDefault="002D78AE"/>
                      </w:txbxContent>
                    </wps:txbx>
                    <wps:bodyPr vert="horz" wrap="square" lIns="0" tIns="0" rIns="0" bIns="0" anchor="t" anchorCtr="0"/>
                  </wps:wsp>
                </a:graphicData>
              </a:graphic>
            </wp:anchor>
          </w:drawing>
        </mc:Choice>
        <mc:Fallback>
          <w:pict>
            <v:shape w14:anchorId="1946271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28E37F0" w14:textId="77777777" w:rsidR="002D78AE" w:rsidRDefault="002D78A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2DAC415" wp14:editId="3DA10F3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0E39EF1" w14:textId="7737B8DA" w:rsidR="0099640E" w:rsidRDefault="002D78A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22DAC41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0E39EF1" w14:textId="7737B8DA" w:rsidR="0099640E" w:rsidRDefault="002D78A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C81D" w14:textId="77777777" w:rsidR="0099640E" w:rsidRDefault="002D78AE">
    <w:pPr>
      <w:spacing w:after="6377" w:line="14" w:lineRule="exact"/>
    </w:pPr>
    <w:r>
      <w:rPr>
        <w:noProof/>
      </w:rPr>
      <mc:AlternateContent>
        <mc:Choice Requires="wps">
          <w:drawing>
            <wp:anchor distT="0" distB="0" distL="0" distR="0" simplePos="0" relativeHeight="251655680" behindDoc="0" locked="1" layoutInCell="1" allowOverlap="1" wp14:anchorId="66D112DB" wp14:editId="7DCD5B0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3CC75E5" w14:textId="04E95702" w:rsidR="0099640E" w:rsidRDefault="002D78AE">
                          <w:r>
                            <w:t xml:space="preserve">Aan de Voorzitter van de Tweede Kamer </w:t>
                          </w:r>
                          <w:r w:rsidR="0057236A">
                            <w:br/>
                          </w:r>
                          <w:r>
                            <w:t>der Staten-Generaal</w:t>
                          </w:r>
                        </w:p>
                        <w:p w14:paraId="45D39866" w14:textId="77777777" w:rsidR="0099640E" w:rsidRDefault="002D78AE">
                          <w:r>
                            <w:t xml:space="preserve">Postbus 20018 </w:t>
                          </w:r>
                        </w:p>
                        <w:p w14:paraId="618A6276" w14:textId="77777777" w:rsidR="0099640E" w:rsidRDefault="002D78AE">
                          <w:r>
                            <w:t>2500 EA  DEN HAAG</w:t>
                          </w:r>
                        </w:p>
                      </w:txbxContent>
                    </wps:txbx>
                    <wps:bodyPr vert="horz" wrap="square" lIns="0" tIns="0" rIns="0" bIns="0" anchor="t" anchorCtr="0"/>
                  </wps:wsp>
                </a:graphicData>
              </a:graphic>
            </wp:anchor>
          </w:drawing>
        </mc:Choice>
        <mc:Fallback>
          <w:pict>
            <v:shapetype w14:anchorId="66D112D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3CC75E5" w14:textId="04E95702" w:rsidR="0099640E" w:rsidRDefault="002D78AE">
                    <w:r>
                      <w:t xml:space="preserve">Aan de Voorzitter van de Tweede Kamer </w:t>
                    </w:r>
                    <w:r w:rsidR="0057236A">
                      <w:br/>
                    </w:r>
                    <w:r>
                      <w:t>der Staten-Generaal</w:t>
                    </w:r>
                  </w:p>
                  <w:p w14:paraId="45D39866" w14:textId="77777777" w:rsidR="0099640E" w:rsidRDefault="002D78AE">
                    <w:r>
                      <w:t xml:space="preserve">Postbus 20018 </w:t>
                    </w:r>
                  </w:p>
                  <w:p w14:paraId="618A6276" w14:textId="77777777" w:rsidR="0099640E" w:rsidRDefault="002D78A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A295ACE" wp14:editId="203CDC4D">
              <wp:simplePos x="0" y="0"/>
              <wp:positionH relativeFrom="page">
                <wp:posOffset>1009650</wp:posOffset>
              </wp:positionH>
              <wp:positionV relativeFrom="page">
                <wp:posOffset>3352800</wp:posOffset>
              </wp:positionV>
              <wp:extent cx="4787900" cy="4953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953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9640E" w14:paraId="516F9EEC" w14:textId="77777777">
                            <w:trPr>
                              <w:trHeight w:val="240"/>
                            </w:trPr>
                            <w:tc>
                              <w:tcPr>
                                <w:tcW w:w="1140" w:type="dxa"/>
                              </w:tcPr>
                              <w:p w14:paraId="5C33C2A1" w14:textId="77777777" w:rsidR="0099640E" w:rsidRDefault="002D78AE">
                                <w:r>
                                  <w:t>Datum</w:t>
                                </w:r>
                              </w:p>
                            </w:tc>
                            <w:tc>
                              <w:tcPr>
                                <w:tcW w:w="5918" w:type="dxa"/>
                              </w:tcPr>
                              <w:p w14:paraId="48BE8E8D" w14:textId="0F4210E7" w:rsidR="0099640E" w:rsidRDefault="00FB54BF">
                                <w:sdt>
                                  <w:sdtPr>
                                    <w:id w:val="-2036642872"/>
                                    <w:date w:fullDate="2024-10-16T00:00:00Z">
                                      <w:dateFormat w:val="d MMMM yyyy"/>
                                      <w:lid w:val="nl"/>
                                      <w:storeMappedDataAs w:val="dateTime"/>
                                      <w:calendar w:val="gregorian"/>
                                    </w:date>
                                  </w:sdtPr>
                                  <w:sdtEndPr/>
                                  <w:sdtContent>
                                    <w:r w:rsidR="002D78AE">
                                      <w:t>1</w:t>
                                    </w:r>
                                    <w:r w:rsidR="0057236A">
                                      <w:t>6 oktober</w:t>
                                    </w:r>
                                    <w:r w:rsidR="002D78AE">
                                      <w:t xml:space="preserve"> 2024</w:t>
                                    </w:r>
                                  </w:sdtContent>
                                </w:sdt>
                              </w:p>
                            </w:tc>
                          </w:tr>
                          <w:tr w:rsidR="0099640E" w14:paraId="4905866D" w14:textId="77777777">
                            <w:trPr>
                              <w:trHeight w:val="240"/>
                            </w:trPr>
                            <w:tc>
                              <w:tcPr>
                                <w:tcW w:w="1140" w:type="dxa"/>
                              </w:tcPr>
                              <w:p w14:paraId="4230AC8F" w14:textId="77777777" w:rsidR="0099640E" w:rsidRDefault="002D78AE">
                                <w:r>
                                  <w:t>Betreft</w:t>
                                </w:r>
                              </w:p>
                            </w:tc>
                            <w:tc>
                              <w:tcPr>
                                <w:tcW w:w="5918" w:type="dxa"/>
                              </w:tcPr>
                              <w:p w14:paraId="6058C835" w14:textId="77777777" w:rsidR="0099640E" w:rsidRDefault="002D78AE">
                                <w:r>
                                  <w:t>Antwoorden Kamervragen over de instroom en terugkeer van alleenstaande minderjarige vreemdelingen</w:t>
                                </w:r>
                              </w:p>
                            </w:tc>
                          </w:tr>
                        </w:tbl>
                        <w:p w14:paraId="7402D006" w14:textId="77777777" w:rsidR="002D78AE" w:rsidRDefault="002D78A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A295ACE" id="46feebd0-aa3c-11ea-a756-beb5f67e67be" o:spid="_x0000_s1030" type="#_x0000_t202" style="position:absolute;margin-left:79.5pt;margin-top:264pt;width:377pt;height:39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9640E" w14:paraId="516F9EEC" w14:textId="77777777">
                      <w:trPr>
                        <w:trHeight w:val="240"/>
                      </w:trPr>
                      <w:tc>
                        <w:tcPr>
                          <w:tcW w:w="1140" w:type="dxa"/>
                        </w:tcPr>
                        <w:p w14:paraId="5C33C2A1" w14:textId="77777777" w:rsidR="0099640E" w:rsidRDefault="002D78AE">
                          <w:r>
                            <w:t>Datum</w:t>
                          </w:r>
                        </w:p>
                      </w:tc>
                      <w:tc>
                        <w:tcPr>
                          <w:tcW w:w="5918" w:type="dxa"/>
                        </w:tcPr>
                        <w:p w14:paraId="48BE8E8D" w14:textId="0F4210E7" w:rsidR="0099640E" w:rsidRDefault="00FB54BF">
                          <w:sdt>
                            <w:sdtPr>
                              <w:id w:val="-2036642872"/>
                              <w:date w:fullDate="2024-10-16T00:00:00Z">
                                <w:dateFormat w:val="d MMMM yyyy"/>
                                <w:lid w:val="nl"/>
                                <w:storeMappedDataAs w:val="dateTime"/>
                                <w:calendar w:val="gregorian"/>
                              </w:date>
                            </w:sdtPr>
                            <w:sdtEndPr/>
                            <w:sdtContent>
                              <w:r w:rsidR="002D78AE">
                                <w:t>1</w:t>
                              </w:r>
                              <w:r w:rsidR="0057236A">
                                <w:t>6 oktober</w:t>
                              </w:r>
                              <w:r w:rsidR="002D78AE">
                                <w:t xml:space="preserve"> 2024</w:t>
                              </w:r>
                            </w:sdtContent>
                          </w:sdt>
                        </w:p>
                      </w:tc>
                    </w:tr>
                    <w:tr w:rsidR="0099640E" w14:paraId="4905866D" w14:textId="77777777">
                      <w:trPr>
                        <w:trHeight w:val="240"/>
                      </w:trPr>
                      <w:tc>
                        <w:tcPr>
                          <w:tcW w:w="1140" w:type="dxa"/>
                        </w:tcPr>
                        <w:p w14:paraId="4230AC8F" w14:textId="77777777" w:rsidR="0099640E" w:rsidRDefault="002D78AE">
                          <w:r>
                            <w:t>Betreft</w:t>
                          </w:r>
                        </w:p>
                      </w:tc>
                      <w:tc>
                        <w:tcPr>
                          <w:tcW w:w="5918" w:type="dxa"/>
                        </w:tcPr>
                        <w:p w14:paraId="6058C835" w14:textId="77777777" w:rsidR="0099640E" w:rsidRDefault="002D78AE">
                          <w:r>
                            <w:t>Antwoorden Kamervragen over de instroom en terugkeer van alleenstaande minderjarige vreemdelingen</w:t>
                          </w:r>
                        </w:p>
                      </w:tc>
                    </w:tr>
                  </w:tbl>
                  <w:p w14:paraId="7402D006" w14:textId="77777777" w:rsidR="002D78AE" w:rsidRDefault="002D78A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F9E3C61" wp14:editId="547F443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E40F75" w14:textId="77777777" w:rsidR="0099640E" w:rsidRDefault="002D78AE">
                          <w:pPr>
                            <w:pStyle w:val="Referentiegegevensbold"/>
                          </w:pPr>
                          <w:r>
                            <w:t>Directoraat-Generaal Migratie</w:t>
                          </w:r>
                        </w:p>
                        <w:p w14:paraId="4C31DA5D" w14:textId="77777777" w:rsidR="0099640E" w:rsidRDefault="002D78AE">
                          <w:pPr>
                            <w:pStyle w:val="Referentiegegevens"/>
                          </w:pPr>
                          <w:r>
                            <w:t>Directie Migratiebeleid</w:t>
                          </w:r>
                        </w:p>
                        <w:p w14:paraId="2F92F9FA" w14:textId="77777777" w:rsidR="0099640E" w:rsidRDefault="002D78AE">
                          <w:pPr>
                            <w:pStyle w:val="Referentiegegevens"/>
                          </w:pPr>
                          <w:r>
                            <w:t>Asiel, Opvang en Terugkeer</w:t>
                          </w:r>
                        </w:p>
                        <w:p w14:paraId="348CBDA5" w14:textId="77777777" w:rsidR="0099640E" w:rsidRDefault="0099640E">
                          <w:pPr>
                            <w:pStyle w:val="WitregelW1"/>
                          </w:pPr>
                        </w:p>
                        <w:p w14:paraId="165423E8" w14:textId="77777777" w:rsidR="0099640E" w:rsidRPr="0057236A" w:rsidRDefault="002D78AE">
                          <w:pPr>
                            <w:pStyle w:val="Referentiegegevens"/>
                            <w:rPr>
                              <w:lang w:val="de-DE"/>
                            </w:rPr>
                          </w:pPr>
                          <w:r w:rsidRPr="0057236A">
                            <w:rPr>
                              <w:lang w:val="de-DE"/>
                            </w:rPr>
                            <w:t>Turfmarkt 147</w:t>
                          </w:r>
                        </w:p>
                        <w:p w14:paraId="34F24144" w14:textId="77777777" w:rsidR="0099640E" w:rsidRPr="0057236A" w:rsidRDefault="002D78AE">
                          <w:pPr>
                            <w:pStyle w:val="Referentiegegevens"/>
                            <w:rPr>
                              <w:lang w:val="de-DE"/>
                            </w:rPr>
                          </w:pPr>
                          <w:r w:rsidRPr="0057236A">
                            <w:rPr>
                              <w:lang w:val="de-DE"/>
                            </w:rPr>
                            <w:t>2511 DP   Den Haag</w:t>
                          </w:r>
                        </w:p>
                        <w:p w14:paraId="4CBE9A34" w14:textId="77777777" w:rsidR="0099640E" w:rsidRPr="0057236A" w:rsidRDefault="002D78AE">
                          <w:pPr>
                            <w:pStyle w:val="Referentiegegevens"/>
                            <w:rPr>
                              <w:lang w:val="de-DE"/>
                            </w:rPr>
                          </w:pPr>
                          <w:r w:rsidRPr="0057236A">
                            <w:rPr>
                              <w:lang w:val="de-DE"/>
                            </w:rPr>
                            <w:t>Postbus 20011</w:t>
                          </w:r>
                        </w:p>
                        <w:p w14:paraId="472EA830" w14:textId="77777777" w:rsidR="0099640E" w:rsidRPr="0057236A" w:rsidRDefault="002D78AE">
                          <w:pPr>
                            <w:pStyle w:val="Referentiegegevens"/>
                            <w:rPr>
                              <w:lang w:val="de-DE"/>
                            </w:rPr>
                          </w:pPr>
                          <w:r w:rsidRPr="0057236A">
                            <w:rPr>
                              <w:lang w:val="de-DE"/>
                            </w:rPr>
                            <w:t>2500 EH   Den Haag</w:t>
                          </w:r>
                        </w:p>
                        <w:p w14:paraId="63F71778" w14:textId="77777777" w:rsidR="0099640E" w:rsidRPr="0057236A" w:rsidRDefault="002D78AE">
                          <w:pPr>
                            <w:pStyle w:val="Referentiegegevens"/>
                            <w:rPr>
                              <w:lang w:val="de-DE"/>
                            </w:rPr>
                          </w:pPr>
                          <w:r w:rsidRPr="0057236A">
                            <w:rPr>
                              <w:lang w:val="de-DE"/>
                            </w:rPr>
                            <w:t>www.rijksoverheid.nl/jenv</w:t>
                          </w:r>
                        </w:p>
                        <w:p w14:paraId="194C553A" w14:textId="77777777" w:rsidR="0099640E" w:rsidRPr="0057236A" w:rsidRDefault="0099640E">
                          <w:pPr>
                            <w:pStyle w:val="WitregelW2"/>
                            <w:rPr>
                              <w:lang w:val="de-DE"/>
                            </w:rPr>
                          </w:pPr>
                        </w:p>
                        <w:p w14:paraId="206E4480" w14:textId="77777777" w:rsidR="0099640E" w:rsidRDefault="002D78AE">
                          <w:pPr>
                            <w:pStyle w:val="Referentiegegevensbold"/>
                          </w:pPr>
                          <w:r>
                            <w:t>Onze referentie</w:t>
                          </w:r>
                        </w:p>
                        <w:p w14:paraId="41469F58" w14:textId="0E86A7DE" w:rsidR="0099640E" w:rsidRDefault="00EC1791">
                          <w:pPr>
                            <w:pStyle w:val="Referentiegegevens"/>
                          </w:pPr>
                          <w:r w:rsidRPr="00EC1791">
                            <w:t>5706160</w:t>
                          </w:r>
                        </w:p>
                        <w:p w14:paraId="4D5BB953" w14:textId="77777777" w:rsidR="0099640E" w:rsidRDefault="0099640E">
                          <w:pPr>
                            <w:pStyle w:val="WitregelW1"/>
                          </w:pPr>
                        </w:p>
                        <w:p w14:paraId="52E1947F" w14:textId="77777777" w:rsidR="0099640E" w:rsidRDefault="002D78AE">
                          <w:pPr>
                            <w:pStyle w:val="Referentiegegevensbold"/>
                          </w:pPr>
                          <w:r>
                            <w:t>Uw referentie</w:t>
                          </w:r>
                        </w:p>
                        <w:p w14:paraId="330AA2D4" w14:textId="77777777" w:rsidR="0099640E" w:rsidRDefault="00FB54BF">
                          <w:pPr>
                            <w:pStyle w:val="Referentiegegevens"/>
                          </w:pPr>
                          <w:sdt>
                            <w:sdtPr>
                              <w:id w:val="-1956554375"/>
                              <w:dataBinding w:prefixMappings="xmlns:ns0='docgen-assistant'" w:xpath="/ns0:CustomXml[1]/ns0:Variables[1]/ns0:Variable[1]/ns0:Value[1]" w:storeItemID="{00000000-0000-0000-0000-000000000000}"/>
                              <w:text/>
                            </w:sdtPr>
                            <w:sdtEndPr/>
                            <w:sdtContent>
                              <w:r w:rsidR="00BF5C5A">
                                <w:t>2024Z12366</w:t>
                              </w:r>
                            </w:sdtContent>
                          </w:sdt>
                        </w:p>
                      </w:txbxContent>
                    </wps:txbx>
                    <wps:bodyPr vert="horz" wrap="square" lIns="0" tIns="0" rIns="0" bIns="0" anchor="t" anchorCtr="0"/>
                  </wps:wsp>
                </a:graphicData>
              </a:graphic>
            </wp:anchor>
          </w:drawing>
        </mc:Choice>
        <mc:Fallback>
          <w:pict>
            <v:shape w14:anchorId="5F9E3C6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4E40F75" w14:textId="77777777" w:rsidR="0099640E" w:rsidRDefault="002D78AE">
                    <w:pPr>
                      <w:pStyle w:val="Referentiegegevensbold"/>
                    </w:pPr>
                    <w:r>
                      <w:t>Directoraat-Generaal Migratie</w:t>
                    </w:r>
                  </w:p>
                  <w:p w14:paraId="4C31DA5D" w14:textId="77777777" w:rsidR="0099640E" w:rsidRDefault="002D78AE">
                    <w:pPr>
                      <w:pStyle w:val="Referentiegegevens"/>
                    </w:pPr>
                    <w:r>
                      <w:t>Directie Migratiebeleid</w:t>
                    </w:r>
                  </w:p>
                  <w:p w14:paraId="2F92F9FA" w14:textId="77777777" w:rsidR="0099640E" w:rsidRDefault="002D78AE">
                    <w:pPr>
                      <w:pStyle w:val="Referentiegegevens"/>
                    </w:pPr>
                    <w:r>
                      <w:t>Asiel, Opvang en Terugkeer</w:t>
                    </w:r>
                  </w:p>
                  <w:p w14:paraId="348CBDA5" w14:textId="77777777" w:rsidR="0099640E" w:rsidRDefault="0099640E">
                    <w:pPr>
                      <w:pStyle w:val="WitregelW1"/>
                    </w:pPr>
                  </w:p>
                  <w:p w14:paraId="165423E8" w14:textId="77777777" w:rsidR="0099640E" w:rsidRPr="0057236A" w:rsidRDefault="002D78AE">
                    <w:pPr>
                      <w:pStyle w:val="Referentiegegevens"/>
                      <w:rPr>
                        <w:lang w:val="de-DE"/>
                      </w:rPr>
                    </w:pPr>
                    <w:r w:rsidRPr="0057236A">
                      <w:rPr>
                        <w:lang w:val="de-DE"/>
                      </w:rPr>
                      <w:t>Turfmarkt 147</w:t>
                    </w:r>
                  </w:p>
                  <w:p w14:paraId="34F24144" w14:textId="77777777" w:rsidR="0099640E" w:rsidRPr="0057236A" w:rsidRDefault="002D78AE">
                    <w:pPr>
                      <w:pStyle w:val="Referentiegegevens"/>
                      <w:rPr>
                        <w:lang w:val="de-DE"/>
                      </w:rPr>
                    </w:pPr>
                    <w:r w:rsidRPr="0057236A">
                      <w:rPr>
                        <w:lang w:val="de-DE"/>
                      </w:rPr>
                      <w:t>2511 DP   Den Haag</w:t>
                    </w:r>
                  </w:p>
                  <w:p w14:paraId="4CBE9A34" w14:textId="77777777" w:rsidR="0099640E" w:rsidRPr="0057236A" w:rsidRDefault="002D78AE">
                    <w:pPr>
                      <w:pStyle w:val="Referentiegegevens"/>
                      <w:rPr>
                        <w:lang w:val="de-DE"/>
                      </w:rPr>
                    </w:pPr>
                    <w:r w:rsidRPr="0057236A">
                      <w:rPr>
                        <w:lang w:val="de-DE"/>
                      </w:rPr>
                      <w:t>Postbus 20011</w:t>
                    </w:r>
                  </w:p>
                  <w:p w14:paraId="472EA830" w14:textId="77777777" w:rsidR="0099640E" w:rsidRPr="0057236A" w:rsidRDefault="002D78AE">
                    <w:pPr>
                      <w:pStyle w:val="Referentiegegevens"/>
                      <w:rPr>
                        <w:lang w:val="de-DE"/>
                      </w:rPr>
                    </w:pPr>
                    <w:r w:rsidRPr="0057236A">
                      <w:rPr>
                        <w:lang w:val="de-DE"/>
                      </w:rPr>
                      <w:t>2500 EH   Den Haag</w:t>
                    </w:r>
                  </w:p>
                  <w:p w14:paraId="63F71778" w14:textId="77777777" w:rsidR="0099640E" w:rsidRPr="0057236A" w:rsidRDefault="002D78AE">
                    <w:pPr>
                      <w:pStyle w:val="Referentiegegevens"/>
                      <w:rPr>
                        <w:lang w:val="de-DE"/>
                      </w:rPr>
                    </w:pPr>
                    <w:r w:rsidRPr="0057236A">
                      <w:rPr>
                        <w:lang w:val="de-DE"/>
                      </w:rPr>
                      <w:t>www.rijksoverheid.nl/jenv</w:t>
                    </w:r>
                  </w:p>
                  <w:p w14:paraId="194C553A" w14:textId="77777777" w:rsidR="0099640E" w:rsidRPr="0057236A" w:rsidRDefault="0099640E">
                    <w:pPr>
                      <w:pStyle w:val="WitregelW2"/>
                      <w:rPr>
                        <w:lang w:val="de-DE"/>
                      </w:rPr>
                    </w:pPr>
                  </w:p>
                  <w:p w14:paraId="206E4480" w14:textId="77777777" w:rsidR="0099640E" w:rsidRDefault="002D78AE">
                    <w:pPr>
                      <w:pStyle w:val="Referentiegegevensbold"/>
                    </w:pPr>
                    <w:r>
                      <w:t>Onze referentie</w:t>
                    </w:r>
                  </w:p>
                  <w:p w14:paraId="41469F58" w14:textId="0E86A7DE" w:rsidR="0099640E" w:rsidRDefault="00EC1791">
                    <w:pPr>
                      <w:pStyle w:val="Referentiegegevens"/>
                    </w:pPr>
                    <w:r w:rsidRPr="00EC1791">
                      <w:t>5706160</w:t>
                    </w:r>
                  </w:p>
                  <w:p w14:paraId="4D5BB953" w14:textId="77777777" w:rsidR="0099640E" w:rsidRDefault="0099640E">
                    <w:pPr>
                      <w:pStyle w:val="WitregelW1"/>
                    </w:pPr>
                  </w:p>
                  <w:p w14:paraId="52E1947F" w14:textId="77777777" w:rsidR="0099640E" w:rsidRDefault="002D78AE">
                    <w:pPr>
                      <w:pStyle w:val="Referentiegegevensbold"/>
                    </w:pPr>
                    <w:r>
                      <w:t>Uw referentie</w:t>
                    </w:r>
                  </w:p>
                  <w:p w14:paraId="330AA2D4" w14:textId="77777777" w:rsidR="0099640E" w:rsidRDefault="00FB54BF">
                    <w:pPr>
                      <w:pStyle w:val="Referentiegegevens"/>
                    </w:pPr>
                    <w:sdt>
                      <w:sdtPr>
                        <w:id w:val="-1956554375"/>
                        <w:dataBinding w:prefixMappings="xmlns:ns0='docgen-assistant'" w:xpath="/ns0:CustomXml[1]/ns0:Variables[1]/ns0:Variable[1]/ns0:Value[1]" w:storeItemID="{00000000-0000-0000-0000-000000000000}"/>
                        <w:text/>
                      </w:sdtPr>
                      <w:sdtEndPr/>
                      <w:sdtContent>
                        <w:r w:rsidR="00BF5C5A">
                          <w:t>2024Z12366</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1687F78" wp14:editId="10EEECB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5B310C1" w14:textId="77777777" w:rsidR="002D78AE" w:rsidRDefault="002D78AE"/>
                      </w:txbxContent>
                    </wps:txbx>
                    <wps:bodyPr vert="horz" wrap="square" lIns="0" tIns="0" rIns="0" bIns="0" anchor="t" anchorCtr="0"/>
                  </wps:wsp>
                </a:graphicData>
              </a:graphic>
            </wp:anchor>
          </w:drawing>
        </mc:Choice>
        <mc:Fallback>
          <w:pict>
            <v:shape w14:anchorId="31687F7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5B310C1" w14:textId="77777777" w:rsidR="002D78AE" w:rsidRDefault="002D78A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8FD202C" wp14:editId="61C8081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AA104E" w14:textId="2F1DA8B1" w:rsidR="0099640E" w:rsidRDefault="002D78AE">
                          <w:pPr>
                            <w:pStyle w:val="Referentiegegevens"/>
                          </w:pPr>
                          <w:r>
                            <w:t xml:space="preserve">Pagina </w:t>
                          </w:r>
                          <w:r>
                            <w:fldChar w:fldCharType="begin"/>
                          </w:r>
                          <w:r>
                            <w:instrText>PAGE</w:instrText>
                          </w:r>
                          <w:r>
                            <w:fldChar w:fldCharType="separate"/>
                          </w:r>
                          <w:r w:rsidR="00FB54BF">
                            <w:rPr>
                              <w:noProof/>
                            </w:rPr>
                            <w:t>1</w:t>
                          </w:r>
                          <w:r>
                            <w:fldChar w:fldCharType="end"/>
                          </w:r>
                          <w:r>
                            <w:t xml:space="preserve"> van </w:t>
                          </w:r>
                          <w:r>
                            <w:fldChar w:fldCharType="begin"/>
                          </w:r>
                          <w:r>
                            <w:instrText>NUMPAGES</w:instrText>
                          </w:r>
                          <w:r>
                            <w:fldChar w:fldCharType="separate"/>
                          </w:r>
                          <w:r w:rsidR="00FB54BF">
                            <w:rPr>
                              <w:noProof/>
                            </w:rPr>
                            <w:t>1</w:t>
                          </w:r>
                          <w:r>
                            <w:fldChar w:fldCharType="end"/>
                          </w:r>
                        </w:p>
                      </w:txbxContent>
                    </wps:txbx>
                    <wps:bodyPr vert="horz" wrap="square" lIns="0" tIns="0" rIns="0" bIns="0" anchor="t" anchorCtr="0"/>
                  </wps:wsp>
                </a:graphicData>
              </a:graphic>
            </wp:anchor>
          </w:drawing>
        </mc:Choice>
        <mc:Fallback>
          <w:pict>
            <v:shape w14:anchorId="38FD202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AAA104E" w14:textId="2F1DA8B1" w:rsidR="0099640E" w:rsidRDefault="002D78AE">
                    <w:pPr>
                      <w:pStyle w:val="Referentiegegevens"/>
                    </w:pPr>
                    <w:r>
                      <w:t xml:space="preserve">Pagina </w:t>
                    </w:r>
                    <w:r>
                      <w:fldChar w:fldCharType="begin"/>
                    </w:r>
                    <w:r>
                      <w:instrText>PAGE</w:instrText>
                    </w:r>
                    <w:r>
                      <w:fldChar w:fldCharType="separate"/>
                    </w:r>
                    <w:r w:rsidR="00FB54BF">
                      <w:rPr>
                        <w:noProof/>
                      </w:rPr>
                      <w:t>1</w:t>
                    </w:r>
                    <w:r>
                      <w:fldChar w:fldCharType="end"/>
                    </w:r>
                    <w:r>
                      <w:t xml:space="preserve"> van </w:t>
                    </w:r>
                    <w:r>
                      <w:fldChar w:fldCharType="begin"/>
                    </w:r>
                    <w:r>
                      <w:instrText>NUMPAGES</w:instrText>
                    </w:r>
                    <w:r>
                      <w:fldChar w:fldCharType="separate"/>
                    </w:r>
                    <w:r w:rsidR="00FB54B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1EAEE23" wp14:editId="3CBE8CC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032D72D" w14:textId="77777777" w:rsidR="0099640E" w:rsidRDefault="002D78AE">
                          <w:pPr>
                            <w:spacing w:line="240" w:lineRule="auto"/>
                          </w:pPr>
                          <w:r>
                            <w:rPr>
                              <w:noProof/>
                            </w:rPr>
                            <w:drawing>
                              <wp:inline distT="0" distB="0" distL="0" distR="0" wp14:anchorId="0B1983D2" wp14:editId="6CE2CD4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EAEE2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032D72D" w14:textId="77777777" w:rsidR="0099640E" w:rsidRDefault="002D78AE">
                    <w:pPr>
                      <w:spacing w:line="240" w:lineRule="auto"/>
                    </w:pPr>
                    <w:r>
                      <w:rPr>
                        <w:noProof/>
                      </w:rPr>
                      <w:drawing>
                        <wp:inline distT="0" distB="0" distL="0" distR="0" wp14:anchorId="0B1983D2" wp14:editId="6CE2CD4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52AB25C" wp14:editId="020962F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E746323" w14:textId="77777777" w:rsidR="0099640E" w:rsidRDefault="002D78AE">
                          <w:pPr>
                            <w:spacing w:line="240" w:lineRule="auto"/>
                          </w:pPr>
                          <w:r>
                            <w:rPr>
                              <w:noProof/>
                            </w:rPr>
                            <w:drawing>
                              <wp:inline distT="0" distB="0" distL="0" distR="0" wp14:anchorId="53E918C5" wp14:editId="3068159C">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2AB25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E746323" w14:textId="77777777" w:rsidR="0099640E" w:rsidRDefault="002D78AE">
                    <w:pPr>
                      <w:spacing w:line="240" w:lineRule="auto"/>
                    </w:pPr>
                    <w:r>
                      <w:rPr>
                        <w:noProof/>
                      </w:rPr>
                      <w:drawing>
                        <wp:inline distT="0" distB="0" distL="0" distR="0" wp14:anchorId="53E918C5" wp14:editId="3068159C">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D276F95" wp14:editId="2CF081A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B91121E" w14:textId="77777777" w:rsidR="0099640E" w:rsidRDefault="002D78AE">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3D276F9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3B91121E" w14:textId="77777777" w:rsidR="0099640E" w:rsidRDefault="002D78AE">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0F42"/>
    <w:multiLevelType w:val="multilevel"/>
    <w:tmpl w:val="943B3E8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237ED159"/>
    <w:multiLevelType w:val="multilevel"/>
    <w:tmpl w:val="0C71722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FD4BE88"/>
    <w:multiLevelType w:val="multilevel"/>
    <w:tmpl w:val="BB39194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932C1AF"/>
    <w:multiLevelType w:val="multilevel"/>
    <w:tmpl w:val="AD272CF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8531E16"/>
    <w:multiLevelType w:val="hybridMultilevel"/>
    <w:tmpl w:val="DD0C92F0"/>
    <w:lvl w:ilvl="0" w:tplc="70C0FD7A">
      <w:start w:val="1"/>
      <w:numFmt w:val="decimal"/>
      <w:lvlText w:val="%1."/>
      <w:lvlJc w:val="left"/>
      <w:pPr>
        <w:ind w:left="720" w:hanging="360"/>
      </w:pPr>
    </w:lvl>
    <w:lvl w:ilvl="1" w:tplc="BA5A9ECC">
      <w:start w:val="1"/>
      <w:numFmt w:val="lowerLetter"/>
      <w:lvlText w:val="%2."/>
      <w:lvlJc w:val="left"/>
      <w:pPr>
        <w:ind w:left="1440" w:hanging="360"/>
      </w:pPr>
    </w:lvl>
    <w:lvl w:ilvl="2" w:tplc="731EBCF4">
      <w:start w:val="1"/>
      <w:numFmt w:val="lowerRoman"/>
      <w:lvlText w:val="%3."/>
      <w:lvlJc w:val="right"/>
      <w:pPr>
        <w:ind w:left="2160" w:hanging="180"/>
      </w:pPr>
    </w:lvl>
    <w:lvl w:ilvl="3" w:tplc="4C20BC2C">
      <w:start w:val="1"/>
      <w:numFmt w:val="decimal"/>
      <w:lvlText w:val="%4."/>
      <w:lvlJc w:val="left"/>
      <w:pPr>
        <w:ind w:left="2880" w:hanging="360"/>
      </w:pPr>
    </w:lvl>
    <w:lvl w:ilvl="4" w:tplc="6FCC79A4">
      <w:start w:val="1"/>
      <w:numFmt w:val="lowerLetter"/>
      <w:lvlText w:val="%5."/>
      <w:lvlJc w:val="left"/>
      <w:pPr>
        <w:ind w:left="3600" w:hanging="360"/>
      </w:pPr>
    </w:lvl>
    <w:lvl w:ilvl="5" w:tplc="09042E46">
      <w:start w:val="1"/>
      <w:numFmt w:val="lowerRoman"/>
      <w:lvlText w:val="%6."/>
      <w:lvlJc w:val="right"/>
      <w:pPr>
        <w:ind w:left="4320" w:hanging="180"/>
      </w:pPr>
    </w:lvl>
    <w:lvl w:ilvl="6" w:tplc="819A8E34">
      <w:start w:val="1"/>
      <w:numFmt w:val="decimal"/>
      <w:lvlText w:val="%7."/>
      <w:lvlJc w:val="left"/>
      <w:pPr>
        <w:ind w:left="5040" w:hanging="360"/>
      </w:pPr>
    </w:lvl>
    <w:lvl w:ilvl="7" w:tplc="0088A694">
      <w:start w:val="1"/>
      <w:numFmt w:val="lowerLetter"/>
      <w:lvlText w:val="%8."/>
      <w:lvlJc w:val="left"/>
      <w:pPr>
        <w:ind w:left="5760" w:hanging="360"/>
      </w:pPr>
    </w:lvl>
    <w:lvl w:ilvl="8" w:tplc="1F6CCB1C">
      <w:start w:val="1"/>
      <w:numFmt w:val="lowerRoman"/>
      <w:lvlText w:val="%9."/>
      <w:lvlJc w:val="right"/>
      <w:pPr>
        <w:ind w:left="6480" w:hanging="180"/>
      </w:pPr>
    </w:lvl>
  </w:abstractNum>
  <w:abstractNum w:abstractNumId="5" w15:restartNumberingAfterBreak="0">
    <w:nsid w:val="5951E642"/>
    <w:multiLevelType w:val="multilevel"/>
    <w:tmpl w:val="6946478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6BC4C00A"/>
    <w:multiLevelType w:val="multilevel"/>
    <w:tmpl w:val="32A4965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AE"/>
    <w:rsid w:val="00013B8A"/>
    <w:rsid w:val="00020291"/>
    <w:rsid w:val="00044511"/>
    <w:rsid w:val="00060B9D"/>
    <w:rsid w:val="00095267"/>
    <w:rsid w:val="000C1CAF"/>
    <w:rsid w:val="000F7FB5"/>
    <w:rsid w:val="00105874"/>
    <w:rsid w:val="00181291"/>
    <w:rsid w:val="001B48A9"/>
    <w:rsid w:val="001E4419"/>
    <w:rsid w:val="001E4BA2"/>
    <w:rsid w:val="001F7437"/>
    <w:rsid w:val="00244185"/>
    <w:rsid w:val="002475F2"/>
    <w:rsid w:val="00247843"/>
    <w:rsid w:val="00277DAD"/>
    <w:rsid w:val="00280526"/>
    <w:rsid w:val="002A3901"/>
    <w:rsid w:val="002D78AE"/>
    <w:rsid w:val="003350BA"/>
    <w:rsid w:val="00354EAA"/>
    <w:rsid w:val="00363487"/>
    <w:rsid w:val="003A756E"/>
    <w:rsid w:val="003B01A4"/>
    <w:rsid w:val="003C4BD8"/>
    <w:rsid w:val="003D37D4"/>
    <w:rsid w:val="00404EB9"/>
    <w:rsid w:val="0042526C"/>
    <w:rsid w:val="00470496"/>
    <w:rsid w:val="004733A9"/>
    <w:rsid w:val="004E377D"/>
    <w:rsid w:val="00525241"/>
    <w:rsid w:val="005415DF"/>
    <w:rsid w:val="005444EC"/>
    <w:rsid w:val="0057236A"/>
    <w:rsid w:val="00573294"/>
    <w:rsid w:val="00576A0E"/>
    <w:rsid w:val="0058099C"/>
    <w:rsid w:val="005860F4"/>
    <w:rsid w:val="005C5864"/>
    <w:rsid w:val="00603E55"/>
    <w:rsid w:val="0062087F"/>
    <w:rsid w:val="00624633"/>
    <w:rsid w:val="006306B2"/>
    <w:rsid w:val="00644572"/>
    <w:rsid w:val="00665D2A"/>
    <w:rsid w:val="00696223"/>
    <w:rsid w:val="006F19CE"/>
    <w:rsid w:val="00704B0F"/>
    <w:rsid w:val="00722BC8"/>
    <w:rsid w:val="0079761C"/>
    <w:rsid w:val="007A362A"/>
    <w:rsid w:val="007A5903"/>
    <w:rsid w:val="007D098B"/>
    <w:rsid w:val="007D186D"/>
    <w:rsid w:val="007D4B7B"/>
    <w:rsid w:val="008014F0"/>
    <w:rsid w:val="00841AFD"/>
    <w:rsid w:val="00842062"/>
    <w:rsid w:val="008439B4"/>
    <w:rsid w:val="00843B16"/>
    <w:rsid w:val="008525F1"/>
    <w:rsid w:val="0086494F"/>
    <w:rsid w:val="00865A0C"/>
    <w:rsid w:val="00883E98"/>
    <w:rsid w:val="008B5F4A"/>
    <w:rsid w:val="00903C96"/>
    <w:rsid w:val="009456D1"/>
    <w:rsid w:val="0099640E"/>
    <w:rsid w:val="009E3C0C"/>
    <w:rsid w:val="009F238F"/>
    <w:rsid w:val="00A230BB"/>
    <w:rsid w:val="00A34B9E"/>
    <w:rsid w:val="00A353C7"/>
    <w:rsid w:val="00A67F96"/>
    <w:rsid w:val="00A9780E"/>
    <w:rsid w:val="00AC3133"/>
    <w:rsid w:val="00AD6470"/>
    <w:rsid w:val="00AE34B8"/>
    <w:rsid w:val="00B10B12"/>
    <w:rsid w:val="00B64EB1"/>
    <w:rsid w:val="00B779DF"/>
    <w:rsid w:val="00B9570D"/>
    <w:rsid w:val="00BA74DA"/>
    <w:rsid w:val="00BF5C5A"/>
    <w:rsid w:val="00C3554E"/>
    <w:rsid w:val="00C62E11"/>
    <w:rsid w:val="00C62F85"/>
    <w:rsid w:val="00C731BC"/>
    <w:rsid w:val="00C7580C"/>
    <w:rsid w:val="00C91773"/>
    <w:rsid w:val="00C957BB"/>
    <w:rsid w:val="00CA4226"/>
    <w:rsid w:val="00CD309C"/>
    <w:rsid w:val="00D0084B"/>
    <w:rsid w:val="00D2482E"/>
    <w:rsid w:val="00D51663"/>
    <w:rsid w:val="00D77E0F"/>
    <w:rsid w:val="00DC08CA"/>
    <w:rsid w:val="00DC79BB"/>
    <w:rsid w:val="00DD07E4"/>
    <w:rsid w:val="00E27C15"/>
    <w:rsid w:val="00E437BB"/>
    <w:rsid w:val="00E710C5"/>
    <w:rsid w:val="00E86A37"/>
    <w:rsid w:val="00EA1B02"/>
    <w:rsid w:val="00EB3A13"/>
    <w:rsid w:val="00EC1791"/>
    <w:rsid w:val="00EE5D77"/>
    <w:rsid w:val="00F22E5C"/>
    <w:rsid w:val="00F3130C"/>
    <w:rsid w:val="00F43ED6"/>
    <w:rsid w:val="00F63AB3"/>
    <w:rsid w:val="00F75FBB"/>
    <w:rsid w:val="00F8347F"/>
    <w:rsid w:val="00F9351E"/>
    <w:rsid w:val="00FA153E"/>
    <w:rsid w:val="00FB54BF"/>
    <w:rsid w:val="00FB662B"/>
    <w:rsid w:val="00FC1A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D78A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D78AE"/>
    <w:rPr>
      <w:rFonts w:ascii="Verdana" w:hAnsi="Verdana"/>
      <w:color w:val="000000"/>
      <w:sz w:val="18"/>
      <w:szCs w:val="18"/>
    </w:rPr>
  </w:style>
  <w:style w:type="character" w:styleId="Verwijzingopmerking">
    <w:name w:val="annotation reference"/>
    <w:basedOn w:val="Standaardalinea-lettertype"/>
    <w:uiPriority w:val="99"/>
    <w:semiHidden/>
    <w:unhideWhenUsed/>
    <w:rsid w:val="005C5864"/>
    <w:rPr>
      <w:sz w:val="16"/>
      <w:szCs w:val="16"/>
    </w:rPr>
  </w:style>
  <w:style w:type="paragraph" w:styleId="Tekstopmerking">
    <w:name w:val="annotation text"/>
    <w:basedOn w:val="Standaard"/>
    <w:link w:val="TekstopmerkingChar"/>
    <w:uiPriority w:val="99"/>
    <w:unhideWhenUsed/>
    <w:rsid w:val="005C5864"/>
    <w:pPr>
      <w:spacing w:line="240" w:lineRule="auto"/>
    </w:pPr>
    <w:rPr>
      <w:sz w:val="20"/>
      <w:szCs w:val="20"/>
    </w:rPr>
  </w:style>
  <w:style w:type="character" w:customStyle="1" w:styleId="TekstopmerkingChar">
    <w:name w:val="Tekst opmerking Char"/>
    <w:basedOn w:val="Standaardalinea-lettertype"/>
    <w:link w:val="Tekstopmerking"/>
    <w:uiPriority w:val="99"/>
    <w:rsid w:val="005C586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C5864"/>
    <w:rPr>
      <w:b/>
      <w:bCs/>
    </w:rPr>
  </w:style>
  <w:style w:type="character" w:customStyle="1" w:styleId="OnderwerpvanopmerkingChar">
    <w:name w:val="Onderwerp van opmerking Char"/>
    <w:basedOn w:val="TekstopmerkingChar"/>
    <w:link w:val="Onderwerpvanopmerking"/>
    <w:uiPriority w:val="99"/>
    <w:semiHidden/>
    <w:rsid w:val="005C5864"/>
    <w:rPr>
      <w:rFonts w:ascii="Verdana" w:hAnsi="Verdana"/>
      <w:b/>
      <w:bCs/>
      <w:color w:val="000000"/>
    </w:rPr>
  </w:style>
  <w:style w:type="paragraph" w:styleId="Voetnoottekst">
    <w:name w:val="footnote text"/>
    <w:basedOn w:val="Standaard"/>
    <w:link w:val="VoetnoottekstChar"/>
    <w:uiPriority w:val="99"/>
    <w:semiHidden/>
    <w:unhideWhenUsed/>
    <w:rsid w:val="00FA153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A153E"/>
    <w:rPr>
      <w:rFonts w:ascii="Verdana" w:hAnsi="Verdana"/>
      <w:color w:val="000000"/>
    </w:rPr>
  </w:style>
  <w:style w:type="character" w:styleId="Voetnootmarkering">
    <w:name w:val="footnote reference"/>
    <w:basedOn w:val="Standaardalinea-lettertype"/>
    <w:uiPriority w:val="99"/>
    <w:semiHidden/>
    <w:unhideWhenUsed/>
    <w:rsid w:val="00FA153E"/>
    <w:rPr>
      <w:vertAlign w:val="superscript"/>
    </w:rPr>
  </w:style>
  <w:style w:type="paragraph" w:styleId="Revisie">
    <w:name w:val="Revision"/>
    <w:hidden/>
    <w:uiPriority w:val="99"/>
    <w:semiHidden/>
    <w:rsid w:val="00CA422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3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2424</ap:Words>
  <ap:Characters>13333</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de instroom en terugkeer van alleenstaande minderjarige vreemdelingen</vt:lpstr>
    </vt:vector>
  </ap:TitlesOfParts>
  <ap:LinksUpToDate>false</ap:LinksUpToDate>
  <ap:CharactersWithSpaces>15726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2024-10-16T13:41:00.0000000Z</dcterms:created>
  <dcterms:modified xsi:type="dcterms:W3CDTF">2024-10-16T13:41:00.0000000Z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de instroom en terugkeer van alleenstaande minderjarige vreemdelingen</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augustus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