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BE4" w:rsidRDefault="000D0E70" w14:paraId="7216E81F" w14:textId="77777777">
      <w:pPr>
        <w:pStyle w:val="StandaardAanhef"/>
      </w:pPr>
      <w:r>
        <w:t>Geachte voorzitter,</w:t>
      </w:r>
    </w:p>
    <w:p w:rsidR="00B55F28" w:rsidP="00B55F28" w:rsidRDefault="00B55F28" w14:paraId="73D3E4C5" w14:textId="77777777">
      <w:r>
        <w:t>In deze brief ga ik</w:t>
      </w:r>
      <w:r w:rsidR="00C94FA1">
        <w:t xml:space="preserve">, mede namens de minister voor Buitenlandse handel en Ontwikkelingshulp, </w:t>
      </w:r>
      <w:r>
        <w:t xml:space="preserve">in op het verzoek van uw Kamer van 25 juni 2024 om een kabinetsreactie te geven op </w:t>
      </w:r>
      <w:bookmarkStart w:name="_Hlk178333703" w:id="0"/>
      <w:r>
        <w:t xml:space="preserve">een publicatie van Global </w:t>
      </w:r>
      <w:proofErr w:type="spellStart"/>
      <w:r>
        <w:t>Justice</w:t>
      </w:r>
      <w:proofErr w:type="spellEnd"/>
      <w:r>
        <w:t xml:space="preserve"> Association over het</w:t>
      </w:r>
      <w:r w:rsidR="00723F09">
        <w:t xml:space="preserve"> </w:t>
      </w:r>
      <w:r>
        <w:t>LNG-project</w:t>
      </w:r>
      <w:r w:rsidR="00723F09">
        <w:t xml:space="preserve"> in Mozambique</w:t>
      </w:r>
      <w:r>
        <w:t xml:space="preserve">. Deze </w:t>
      </w:r>
      <w:r w:rsidR="000940C5">
        <w:t>NGO-</w:t>
      </w:r>
      <w:r>
        <w:t>publicatie</w:t>
      </w:r>
      <w:r w:rsidR="000940C5">
        <w:t xml:space="preserve"> van 11 juni 2024</w:t>
      </w:r>
      <w:r>
        <w:t xml:space="preserve"> is </w:t>
      </w:r>
      <w:r w:rsidR="002A1743">
        <w:t xml:space="preserve">geschreven </w:t>
      </w:r>
      <w:r>
        <w:t xml:space="preserve">in opdracht van </w:t>
      </w:r>
      <w:r w:rsidRPr="009E018B">
        <w:t xml:space="preserve">Milieudefensie en </w:t>
      </w:r>
      <w:proofErr w:type="spellStart"/>
      <w:r w:rsidRPr="009E018B">
        <w:t>BothENDS</w:t>
      </w:r>
      <w:proofErr w:type="spellEnd"/>
      <w:r>
        <w:t xml:space="preserve"> (hierna: NGO-publicatie). De </w:t>
      </w:r>
      <w:r w:rsidR="00C94FA1">
        <w:t>NGO-</w:t>
      </w:r>
      <w:r>
        <w:t>publicatie is</w:t>
      </w:r>
      <w:r w:rsidR="00230D6A">
        <w:t xml:space="preserve"> mede</w:t>
      </w:r>
      <w:r>
        <w:t xml:space="preserve"> tot stand gekomen op basis van stukken die onder de Wet open overheid (</w:t>
      </w:r>
      <w:proofErr w:type="spellStart"/>
      <w:r>
        <w:t>Woo</w:t>
      </w:r>
      <w:proofErr w:type="spellEnd"/>
      <w:r>
        <w:t>) openbaar zijn geworden.</w:t>
      </w:r>
    </w:p>
    <w:bookmarkEnd w:id="0"/>
    <w:p w:rsidR="00B55F28" w:rsidP="00B55F28" w:rsidRDefault="00B55F28" w14:paraId="22FC4EFB" w14:textId="77777777"/>
    <w:p w:rsidR="005032F9" w:rsidP="00B55F28" w:rsidRDefault="00ED61AD" w14:paraId="446EBEF0" w14:textId="77777777">
      <w:r>
        <w:t xml:space="preserve">De Nederlandse staat heeft in 2020 een </w:t>
      </w:r>
      <w:r w:rsidR="00A10FEB">
        <w:t>exportkrediet</w:t>
      </w:r>
      <w:r>
        <w:t xml:space="preserve">verzekering </w:t>
      </w:r>
      <w:r w:rsidR="00A10FEB">
        <w:t>(</w:t>
      </w:r>
      <w:proofErr w:type="spellStart"/>
      <w:r w:rsidR="00A10FEB">
        <w:t>ekv</w:t>
      </w:r>
      <w:proofErr w:type="spellEnd"/>
      <w:r w:rsidR="00A10FEB">
        <w:t xml:space="preserve">) </w:t>
      </w:r>
      <w:r>
        <w:t>afgegeven voor het LNG-project in Mozambique. Zoals eerder met uw Kamer gedeeld, beoordeelt de Nederlandse staat op dit moment een eventuele deelname aan de herstart van het project.</w:t>
      </w:r>
      <w:r>
        <w:rPr>
          <w:rStyle w:val="Voetnootmarkering"/>
        </w:rPr>
        <w:footnoteReference w:id="1"/>
      </w:r>
      <w:r>
        <w:t xml:space="preserve">  </w:t>
      </w:r>
    </w:p>
    <w:p w:rsidR="005032F9" w:rsidP="00B55F28" w:rsidRDefault="005032F9" w14:paraId="679FC92A" w14:textId="77777777"/>
    <w:p w:rsidR="00B55F28" w:rsidP="00B55F28" w:rsidRDefault="00B55F28" w14:paraId="77F53123" w14:textId="77777777">
      <w:r>
        <w:t xml:space="preserve">In de NGO-publicatie </w:t>
      </w:r>
      <w:r w:rsidR="00ED61AD">
        <w:t>zijn</w:t>
      </w:r>
      <w:r w:rsidR="00A10FEB">
        <w:t xml:space="preserve"> </w:t>
      </w:r>
      <w:r w:rsidR="00ED61AD">
        <w:t xml:space="preserve">aanbevelingen opgenomen </w:t>
      </w:r>
      <w:r w:rsidR="00851E4F">
        <w:t>over het</w:t>
      </w:r>
      <w:r w:rsidR="0081450A">
        <w:t xml:space="preserve"> beoordelingsproces </w:t>
      </w:r>
      <w:r w:rsidR="00163291">
        <w:t>van</w:t>
      </w:r>
      <w:r w:rsidR="0081450A">
        <w:t xml:space="preserve"> het LNG-project in 2020, </w:t>
      </w:r>
      <w:r w:rsidR="00723F09">
        <w:t>de huidige</w:t>
      </w:r>
      <w:r w:rsidR="0081450A">
        <w:t xml:space="preserve"> herbeoordeling van dit project </w:t>
      </w:r>
      <w:r w:rsidR="00FD38AA">
        <w:t>en over</w:t>
      </w:r>
      <w:r w:rsidR="0081450A">
        <w:t xml:space="preserve"> de </w:t>
      </w:r>
      <w:proofErr w:type="spellStart"/>
      <w:r w:rsidR="0081450A">
        <w:t>ekv</w:t>
      </w:r>
      <w:proofErr w:type="spellEnd"/>
      <w:r w:rsidR="0081450A">
        <w:t xml:space="preserve"> in het algemeen. </w:t>
      </w:r>
      <w:r>
        <w:t xml:space="preserve">Met deze brief geeft het kabinet een appreciatie van </w:t>
      </w:r>
      <w:r w:rsidR="00A10FEB">
        <w:t>de</w:t>
      </w:r>
      <w:r w:rsidR="00163291">
        <w:t>ze</w:t>
      </w:r>
      <w:r w:rsidR="000524A6">
        <w:t xml:space="preserve"> </w:t>
      </w:r>
      <w:r w:rsidR="00A10FEB">
        <w:t>aanbevelingen</w:t>
      </w:r>
      <w:r w:rsidR="00163291">
        <w:t>.</w:t>
      </w:r>
    </w:p>
    <w:p w:rsidR="00B55F28" w:rsidP="00B55F28" w:rsidRDefault="00B55F28" w14:paraId="146B069A" w14:textId="77777777">
      <w:pPr>
        <w:rPr>
          <w:b/>
          <w:bCs/>
        </w:rPr>
      </w:pPr>
    </w:p>
    <w:p w:rsidR="00B55F28" w:rsidP="00B55F28" w:rsidRDefault="00B55F28" w14:paraId="68E8F139" w14:textId="77777777">
      <w:pPr>
        <w:rPr>
          <w:b/>
          <w:bCs/>
        </w:rPr>
      </w:pPr>
      <w:r>
        <w:rPr>
          <w:b/>
          <w:bCs/>
        </w:rPr>
        <w:t xml:space="preserve">Beoordelingsproces </w:t>
      </w:r>
      <w:proofErr w:type="spellStart"/>
      <w:r>
        <w:rPr>
          <w:b/>
          <w:bCs/>
        </w:rPr>
        <w:t>ekv</w:t>
      </w:r>
      <w:proofErr w:type="spellEnd"/>
      <w:r>
        <w:rPr>
          <w:b/>
          <w:bCs/>
        </w:rPr>
        <w:t>-verstrekking in 2020</w:t>
      </w:r>
    </w:p>
    <w:p w:rsidR="00B55F28" w:rsidP="00B55F28" w:rsidRDefault="00B55F28" w14:paraId="4B7B0926" w14:textId="77777777">
      <w:pPr>
        <w:rPr>
          <w:u w:val="single"/>
        </w:rPr>
      </w:pPr>
      <w:r w:rsidRPr="009E018B">
        <w:t>De auteurs</w:t>
      </w:r>
      <w:r>
        <w:t xml:space="preserve"> van de NGO-publicatie zijn van mening dat het beoordelingsproces </w:t>
      </w:r>
      <w:r w:rsidR="00311736">
        <w:t xml:space="preserve">van </w:t>
      </w:r>
      <w:r>
        <w:t xml:space="preserve">de afgifte van de </w:t>
      </w:r>
      <w:r w:rsidR="00311736">
        <w:t xml:space="preserve">polis in 2020 </w:t>
      </w:r>
      <w:r>
        <w:t>gericht was op goedkeuring</w:t>
      </w:r>
      <w:r w:rsidRPr="009E018B">
        <w:t xml:space="preserve">. Ook </w:t>
      </w:r>
      <w:r>
        <w:t>wordt in de NGO-</w:t>
      </w:r>
      <w:r w:rsidRPr="009E018B">
        <w:t>publicatie</w:t>
      </w:r>
      <w:r>
        <w:t xml:space="preserve"> gesteld</w:t>
      </w:r>
      <w:r w:rsidRPr="009E018B">
        <w:t xml:space="preserve"> dat de veiligheidsrisico</w:t>
      </w:r>
      <w:r>
        <w:t>’</w:t>
      </w:r>
      <w:r w:rsidRPr="009E018B">
        <w:t xml:space="preserve">s werden afgezwakt en dat het </w:t>
      </w:r>
      <w:r>
        <w:t>besluitvormings</w:t>
      </w:r>
      <w:r w:rsidRPr="009E018B">
        <w:t>proces is beïnvloed door externe commerciële belangen</w:t>
      </w:r>
      <w:r w:rsidR="00230D6A">
        <w:t xml:space="preserve"> (van met name de projecteigenaar, </w:t>
      </w:r>
      <w:proofErr w:type="spellStart"/>
      <w:r w:rsidR="00230D6A">
        <w:t>TotalEnergies</w:t>
      </w:r>
      <w:proofErr w:type="spellEnd"/>
      <w:r w:rsidR="00230D6A">
        <w:t>)</w:t>
      </w:r>
      <w:r w:rsidRPr="003944D1">
        <w:t xml:space="preserve">. </w:t>
      </w:r>
    </w:p>
    <w:p w:rsidR="00B55F28" w:rsidP="00B55F28" w:rsidRDefault="00B55F28" w14:paraId="4A1AD0CB" w14:textId="77777777">
      <w:pPr>
        <w:rPr>
          <w:u w:val="single"/>
        </w:rPr>
      </w:pPr>
    </w:p>
    <w:p w:rsidR="00230D6A" w:rsidP="00B55F28" w:rsidRDefault="00B55F28" w14:paraId="01C8DB5C" w14:textId="77777777">
      <w:r>
        <w:t xml:space="preserve">Het kabinet herkent zich niet in bovenstaand beeld. Het acceptatieproces voor </w:t>
      </w:r>
      <w:proofErr w:type="spellStart"/>
      <w:r>
        <w:t>ekv</w:t>
      </w:r>
      <w:proofErr w:type="spellEnd"/>
      <w:r>
        <w:t xml:space="preserve">-aanvragen is zo ingericht dat er controles zijn om een ordentelijke en onafhankelijke uitvoering te waarborgen. Recente evaluaties, waaronder de </w:t>
      </w:r>
      <w:proofErr w:type="spellStart"/>
      <w:r>
        <w:t>mvo</w:t>
      </w:r>
      <w:proofErr w:type="spellEnd"/>
      <w:r>
        <w:t>-beleidsevaluatie uit 2021 en de beleidsdoorlichting uit 2023, onderschrijven dit.</w:t>
      </w:r>
      <w:r>
        <w:rPr>
          <w:rStyle w:val="Voetnootmarkering"/>
        </w:rPr>
        <w:footnoteReference w:id="2"/>
      </w:r>
      <w:r w:rsidR="00787803">
        <w:t xml:space="preserve"> </w:t>
      </w:r>
      <w:r w:rsidR="000524A6">
        <w:lastRenderedPageBreak/>
        <w:t>Een</w:t>
      </w:r>
      <w:r>
        <w:t xml:space="preserve"> </w:t>
      </w:r>
      <w:proofErr w:type="spellStart"/>
      <w:r>
        <w:t>ekv</w:t>
      </w:r>
      <w:proofErr w:type="spellEnd"/>
      <w:r>
        <w:t>-aanvraag</w:t>
      </w:r>
      <w:r w:rsidR="000524A6">
        <w:t xml:space="preserve"> wordt afgewezen indien</w:t>
      </w:r>
      <w:r>
        <w:t xml:space="preserve"> niet </w:t>
      </w:r>
      <w:r w:rsidR="000524A6">
        <w:t>wordt voldaan aan</w:t>
      </w:r>
      <w:r>
        <w:t xml:space="preserve"> de vooraf vastgestelde acceptatiecriteria</w:t>
      </w:r>
      <w:r w:rsidR="000524A6">
        <w:t xml:space="preserve">. </w:t>
      </w:r>
    </w:p>
    <w:p w:rsidR="00230D6A" w:rsidP="00B55F28" w:rsidRDefault="00230D6A" w14:paraId="11940336" w14:textId="77777777"/>
    <w:p w:rsidR="00B55F28" w:rsidP="00B55F28" w:rsidRDefault="00230D6A" w14:paraId="764BD73A" w14:textId="77777777">
      <w:r>
        <w:t>Het bovenstaande</w:t>
      </w:r>
      <w:r w:rsidR="00B55F28">
        <w:t xml:space="preserve"> geldt ook voor het besluitvormingsproces in 2020</w:t>
      </w:r>
      <w:r w:rsidR="00F61582">
        <w:t xml:space="preserve">. </w:t>
      </w:r>
      <w:r w:rsidR="000524A6">
        <w:t>Er is</w:t>
      </w:r>
      <w:r w:rsidR="00B55F28">
        <w:t xml:space="preserve"> aan de besluitvorming in 2020 een langdurig proces vooraf gegaan waarin uitvoerig gediscussieerd is over de veiligheidsrisico’s. </w:t>
      </w:r>
      <w:r>
        <w:t>De besluitvorming heeft in 2020 op een onafhankelijke wijze plaatsgevonden</w:t>
      </w:r>
      <w:r w:rsidR="0000188E">
        <w:t xml:space="preserve">. </w:t>
      </w:r>
      <w:r>
        <w:t xml:space="preserve">Rechtstreeks contact </w:t>
      </w:r>
      <w:r w:rsidR="0000188E">
        <w:t xml:space="preserve">met </w:t>
      </w:r>
      <w:r>
        <w:t xml:space="preserve">een projecteigenaar (in dit geval </w:t>
      </w:r>
      <w:proofErr w:type="spellStart"/>
      <w:r>
        <w:t>TotalEnergies</w:t>
      </w:r>
      <w:proofErr w:type="spellEnd"/>
      <w:r>
        <w:t xml:space="preserve">) </w:t>
      </w:r>
      <w:r w:rsidR="0000188E">
        <w:t xml:space="preserve">is onvermijdelijk voor de beoordeling van de projectrisico’s en voor de onderhandeling over de voorwaarden van de projectfinanciering. Zodanig contact heeft er niet toe geleid dat de afgifte van een </w:t>
      </w:r>
      <w:proofErr w:type="spellStart"/>
      <w:r w:rsidR="0000188E">
        <w:t>ekv</w:t>
      </w:r>
      <w:proofErr w:type="spellEnd"/>
      <w:r w:rsidR="0000188E">
        <w:t xml:space="preserve"> is ingegeven door commerciële belangen.</w:t>
      </w:r>
    </w:p>
    <w:p w:rsidR="00B55F28" w:rsidP="00B55F28" w:rsidRDefault="00B55F28" w14:paraId="568CCE25" w14:textId="77777777"/>
    <w:p w:rsidRPr="00FB65DC" w:rsidR="00B55F28" w:rsidP="00B55F28" w:rsidRDefault="00B55F28" w14:paraId="72CD47DE" w14:textId="77777777">
      <w:pPr>
        <w:rPr>
          <w:b/>
          <w:bCs/>
        </w:rPr>
      </w:pPr>
      <w:r w:rsidRPr="00FB65DC">
        <w:rPr>
          <w:b/>
          <w:bCs/>
        </w:rPr>
        <w:t>Lopende herbeoordeling</w:t>
      </w:r>
    </w:p>
    <w:p w:rsidR="007C60B3" w:rsidP="00B55F28" w:rsidRDefault="008437A2" w14:paraId="484AF51A" w14:textId="77777777">
      <w:r>
        <w:t xml:space="preserve">Er konden wel lessen worden getrokken uit </w:t>
      </w:r>
      <w:r w:rsidR="000940C5">
        <w:t>de beoordeling van het LNG-project in Mozambique.</w:t>
      </w:r>
      <w:r w:rsidR="00F61582">
        <w:t xml:space="preserve"> </w:t>
      </w:r>
      <w:r w:rsidR="0061667B">
        <w:t>In</w:t>
      </w:r>
      <w:r w:rsidR="000940C5">
        <w:t xml:space="preserve"> opdracht van de verantwoordelijke ministeries</w:t>
      </w:r>
      <w:r w:rsidR="0061667B">
        <w:t xml:space="preserve"> en op verzoek van uw Kamer</w:t>
      </w:r>
      <w:r w:rsidR="000940C5">
        <w:t xml:space="preserve"> heeft h</w:t>
      </w:r>
      <w:r w:rsidR="007907D8">
        <w:t xml:space="preserve">et onderzoeksbureau </w:t>
      </w:r>
      <w:proofErr w:type="spellStart"/>
      <w:r w:rsidR="007907D8">
        <w:t>Proximities</w:t>
      </w:r>
      <w:proofErr w:type="spellEnd"/>
      <w:r w:rsidR="007907D8">
        <w:t xml:space="preserve"> in 2022 </w:t>
      </w:r>
      <w:r w:rsidR="00466589">
        <w:t xml:space="preserve">daarom </w:t>
      </w:r>
      <w:r w:rsidR="007907D8">
        <w:t xml:space="preserve">een </w:t>
      </w:r>
      <w:r w:rsidR="00B55F28">
        <w:t>onafhankelijke evaluatie</w:t>
      </w:r>
      <w:r w:rsidR="007907D8">
        <w:t xml:space="preserve"> uitgevoerd </w:t>
      </w:r>
      <w:r w:rsidR="004F031E">
        <w:t>naar dit</w:t>
      </w:r>
      <w:r w:rsidR="00EF763A">
        <w:t xml:space="preserve"> </w:t>
      </w:r>
      <w:r w:rsidR="004F031E">
        <w:t>proces</w:t>
      </w:r>
      <w:r w:rsidR="007907D8">
        <w:t>.</w:t>
      </w:r>
      <w:r w:rsidR="00B55F28">
        <w:t xml:space="preserve"> </w:t>
      </w:r>
      <w:r w:rsidR="007907D8">
        <w:t xml:space="preserve">In het rapport van </w:t>
      </w:r>
      <w:proofErr w:type="spellStart"/>
      <w:r w:rsidR="007907D8">
        <w:t>Proximities</w:t>
      </w:r>
      <w:proofErr w:type="spellEnd"/>
      <w:r w:rsidR="007907D8">
        <w:t xml:space="preserve"> zijn </w:t>
      </w:r>
      <w:r w:rsidR="00B55F28">
        <w:t xml:space="preserve">belangrijke verbeterpunten </w:t>
      </w:r>
      <w:r w:rsidR="00F61582">
        <w:t>opgenomen</w:t>
      </w:r>
      <w:r w:rsidR="00B55F28">
        <w:t>.</w:t>
      </w:r>
      <w:r w:rsidR="00F61582">
        <w:t xml:space="preserve"> De</w:t>
      </w:r>
      <w:r w:rsidR="007907D8">
        <w:t>ze</w:t>
      </w:r>
      <w:r w:rsidR="00F61582">
        <w:t xml:space="preserve"> aanbevelingen zijn ook met uw Kamer gedeeld.</w:t>
      </w:r>
      <w:r w:rsidR="00B55F28">
        <w:rPr>
          <w:rStyle w:val="Voetnootmarkering"/>
        </w:rPr>
        <w:footnoteReference w:id="3"/>
      </w:r>
      <w:r w:rsidR="00B55F28">
        <w:t xml:space="preserve"> </w:t>
      </w:r>
    </w:p>
    <w:p w:rsidR="007C60B3" w:rsidP="00B55F28" w:rsidRDefault="007C60B3" w14:paraId="7EA9BE2F" w14:textId="77777777"/>
    <w:p w:rsidR="00B55F28" w:rsidP="00B55F28" w:rsidRDefault="00F61582" w14:paraId="50F205D0" w14:textId="77777777">
      <w:r>
        <w:t>In de NGO-publicatie zijn aanbevelingen opgenomen om de beoordeling van de veiligheidssituatie</w:t>
      </w:r>
      <w:r w:rsidR="00723459">
        <w:t xml:space="preserve"> </w:t>
      </w:r>
      <w:r>
        <w:t xml:space="preserve">te verbeteren. </w:t>
      </w:r>
      <w:r w:rsidR="00B55F28">
        <w:t>Een</w:t>
      </w:r>
      <w:r w:rsidR="007907D8">
        <w:t xml:space="preserve"> groot</w:t>
      </w:r>
      <w:r w:rsidR="00B55F28">
        <w:t xml:space="preserve"> deel van de aanbevelingen uit de NGO-publicatie komen overeen met de aanbevelingen uit het</w:t>
      </w:r>
      <w:r w:rsidR="00674E1F">
        <w:t xml:space="preserve"> rapport van</w:t>
      </w:r>
      <w:r w:rsidR="00B55F28">
        <w:t xml:space="preserve"> </w:t>
      </w:r>
      <w:proofErr w:type="spellStart"/>
      <w:r w:rsidR="00B55F28">
        <w:t>Proximities</w:t>
      </w:r>
      <w:proofErr w:type="spellEnd"/>
      <w:r w:rsidR="00B55F28">
        <w:t xml:space="preserve">. De aanbevelingen zien bijvoorbeeld op het beter gebruik maken van lokale </w:t>
      </w:r>
      <w:r w:rsidR="00723459">
        <w:t>en</w:t>
      </w:r>
      <w:r w:rsidR="00B55F28">
        <w:t xml:space="preserve"> internationale bronnen en het belang van het onderzoeken van de grondoorzaken van </w:t>
      </w:r>
      <w:r w:rsidR="007C60B3">
        <w:t>de veiligheidssituatie</w:t>
      </w:r>
      <w:r w:rsidR="00B55F28">
        <w:t>. Daarnaast wordt aanbevolen om de eigen informatiepositie van ADSB en de Nederlandse staat te versterken</w:t>
      </w:r>
      <w:r w:rsidR="00A10FEB">
        <w:t xml:space="preserve">. </w:t>
      </w:r>
      <w:r w:rsidR="00B55F28">
        <w:t>Ook wordt aanbevolen de inzichten van de Nederlandse ambassade in M</w:t>
      </w:r>
      <w:r w:rsidR="00C94068">
        <w:t>ozambique</w:t>
      </w:r>
      <w:r w:rsidR="00B55F28">
        <w:t xml:space="preserve"> mee te nemen in het herbeoordelingsproces.</w:t>
      </w:r>
      <w:r w:rsidR="00C94068">
        <w:t xml:space="preserve"> </w:t>
      </w:r>
    </w:p>
    <w:p w:rsidR="00B55F28" w:rsidP="00B55F28" w:rsidRDefault="00B55F28" w14:paraId="6FD5D666" w14:textId="77777777"/>
    <w:p w:rsidR="004F031E" w:rsidP="00B55F28" w:rsidRDefault="00ED61AD" w14:paraId="798EFF16" w14:textId="77777777">
      <w:r>
        <w:t xml:space="preserve">Zoals eerder met uw Kamer gedeeld, is door het vorige kabinet opvolging gegeven aan </w:t>
      </w:r>
      <w:r w:rsidR="000940C5">
        <w:t>de</w:t>
      </w:r>
      <w:r w:rsidR="00B55F28">
        <w:t xml:space="preserve"> aanbevelingen</w:t>
      </w:r>
      <w:r w:rsidR="000940C5">
        <w:t xml:space="preserve"> uit het </w:t>
      </w:r>
      <w:proofErr w:type="spellStart"/>
      <w:r w:rsidR="000940C5">
        <w:t>Proximitiesrapport</w:t>
      </w:r>
      <w:proofErr w:type="spellEnd"/>
      <w:r>
        <w:t>.</w:t>
      </w:r>
      <w:r w:rsidR="007907D8">
        <w:rPr>
          <w:rStyle w:val="Voetnootmarkering"/>
        </w:rPr>
        <w:footnoteReference w:id="4"/>
      </w:r>
      <w:r>
        <w:t xml:space="preserve"> Dat betekent dat deze aanbevelingen </w:t>
      </w:r>
      <w:r w:rsidR="000940C5">
        <w:t xml:space="preserve">ook </w:t>
      </w:r>
      <w:r>
        <w:t xml:space="preserve">worden toegepast </w:t>
      </w:r>
      <w:r w:rsidR="00B55F28">
        <w:t xml:space="preserve">in het </w:t>
      </w:r>
      <w:r w:rsidR="00F96D90">
        <w:t>her</w:t>
      </w:r>
      <w:r w:rsidR="00B55F28">
        <w:t>beoordelingsproces over de eventuele deelname aan een herstart van het LNG-project</w:t>
      </w:r>
      <w:r>
        <w:t xml:space="preserve">. </w:t>
      </w:r>
      <w:r w:rsidR="00B55F28">
        <w:t xml:space="preserve">Zo heeft ADSB een eigen veiligheidsconsultant ingeschakeld om een onafhankelijke informatiepositie te versterken. </w:t>
      </w:r>
      <w:r w:rsidR="00BE3542">
        <w:t xml:space="preserve">De verantwoordelijke ministeries en ADSB hebben ten behoeve van de herbeoordeling ook meerdere malen met maatschappelijke organisaties een gesprek gehad. </w:t>
      </w:r>
      <w:r w:rsidR="00B55F28">
        <w:t xml:space="preserve">De inbreng van </w:t>
      </w:r>
      <w:r w:rsidR="004F031E">
        <w:t xml:space="preserve">deze en andere </w:t>
      </w:r>
      <w:r w:rsidR="00B55F28">
        <w:t>maatschappelijke organisaties</w:t>
      </w:r>
      <w:r w:rsidR="00BE3542">
        <w:t xml:space="preserve"> </w:t>
      </w:r>
      <w:r w:rsidR="00B55F28">
        <w:t>wordt nadrukkelijk meegewogen in de herbeoordeling.</w:t>
      </w:r>
      <w:r w:rsidR="005A14B3">
        <w:t xml:space="preserve"> </w:t>
      </w:r>
      <w:r w:rsidR="00B55F28">
        <w:t>Ook zullen de grondoorzaken van het conflict en de impact van het project op de veiligheidssituatie in de regio nadrukkelijk worden meegewogen. Bij deze zaken is de Nederlandse ambassade in Mozambique een belangrijke informatiebron</w:t>
      </w:r>
      <w:r w:rsidR="00BE3542">
        <w:t xml:space="preserve">. </w:t>
      </w:r>
    </w:p>
    <w:p w:rsidR="004F031E" w:rsidP="004F031E" w:rsidRDefault="004F031E" w14:paraId="7DDCEEE4" w14:textId="77777777"/>
    <w:p w:rsidR="000940C5" w:rsidP="000940C5" w:rsidRDefault="007F0D65" w14:paraId="1FC5A36E" w14:textId="77777777">
      <w:pPr>
        <w:autoSpaceDN/>
        <w:spacing w:line="240" w:lineRule="auto"/>
        <w:rPr>
          <w:rFonts w:ascii="Times New Roman" w:hAnsi="Times New Roman" w:cs="Times New Roman"/>
          <w:color w:val="auto"/>
          <w:sz w:val="24"/>
          <w:szCs w:val="24"/>
        </w:rPr>
      </w:pPr>
      <w:r>
        <w:t xml:space="preserve">Alles in overweging nemende heb ik </w:t>
      </w:r>
      <w:r w:rsidR="001C0C6A">
        <w:t xml:space="preserve">er </w:t>
      </w:r>
      <w:r>
        <w:t xml:space="preserve">vertrouwen </w:t>
      </w:r>
      <w:r w:rsidR="001C0C6A">
        <w:t xml:space="preserve">in </w:t>
      </w:r>
      <w:r>
        <w:t xml:space="preserve">dat ADSB in staat is om de ministeries van een onafhankelijk, goed overwogen advies te voorzien en dat een objectieve en zorgvuldige besluitvorming over een eventuele herstart plaatsvindt. </w:t>
      </w:r>
      <w:r w:rsidR="000940C5">
        <w:t>Voor een nadere duiding van hoe het huidige herbeoordelingsproces is ingericht verwijs ik u ook naar de Kamerbrief van 15 december 2023 en naar de beantwoording van de Kamervragen die op 23 september 2024 met uw Kamer is gedeeld.</w:t>
      </w:r>
      <w:r w:rsidR="000940C5">
        <w:rPr>
          <w:rStyle w:val="Voetnootmarkering"/>
        </w:rPr>
        <w:footnoteReference w:id="5"/>
      </w:r>
      <w:r w:rsidR="000940C5">
        <w:t xml:space="preserve"> </w:t>
      </w:r>
      <w:r w:rsidR="000940C5">
        <w:rPr>
          <w:rFonts w:ascii="Times New Roman" w:hAnsi="Times New Roman" w:cs="Times New Roman"/>
          <w:color w:val="auto"/>
          <w:sz w:val="24"/>
          <w:szCs w:val="24"/>
        </w:rPr>
        <w:t xml:space="preserve"> </w:t>
      </w:r>
    </w:p>
    <w:p w:rsidR="00C662CD" w:rsidP="00B55F28" w:rsidRDefault="00C662CD" w14:paraId="7C1B7D83" w14:textId="77777777">
      <w:pPr>
        <w:rPr>
          <w:rFonts w:cstheme="minorHAnsi"/>
        </w:rPr>
      </w:pPr>
    </w:p>
    <w:p w:rsidRPr="00AB2576" w:rsidR="00B55F28" w:rsidP="00B55F28" w:rsidRDefault="00B55F28" w14:paraId="45AB0087" w14:textId="77777777">
      <w:pPr>
        <w:rPr>
          <w:rFonts w:cstheme="minorHAnsi"/>
        </w:rPr>
      </w:pPr>
      <w:r w:rsidRPr="00FB65DC">
        <w:rPr>
          <w:b/>
          <w:bCs/>
        </w:rPr>
        <w:t xml:space="preserve">Communicatie en </w:t>
      </w:r>
      <w:proofErr w:type="spellStart"/>
      <w:r w:rsidRPr="00FB65DC">
        <w:rPr>
          <w:b/>
          <w:bCs/>
        </w:rPr>
        <w:t>Woo</w:t>
      </w:r>
      <w:proofErr w:type="spellEnd"/>
      <w:r w:rsidRPr="00FB65DC">
        <w:rPr>
          <w:b/>
          <w:bCs/>
        </w:rPr>
        <w:t>-traject</w:t>
      </w:r>
      <w:r>
        <w:rPr>
          <w:b/>
          <w:bCs/>
        </w:rPr>
        <w:t>en</w:t>
      </w:r>
    </w:p>
    <w:p w:rsidR="00B55F28" w:rsidP="00B55F28" w:rsidRDefault="00B55F28" w14:paraId="4C401149" w14:textId="77777777">
      <w:r>
        <w:t xml:space="preserve">De auteurs van de NGO-publicatie hebben daarnaast een aantal aanbevelingen gedaan op het gebied van communicatie over de Nederlandse deelname aan het LNG-project. Zo roepen de auteurs van de NGO-publicatie het kabinet op volledige openheid te geven over de besluitvorming en gebeurtenissen in 2020 en 2021 en de motie Thijssen c.s. op te volgen. </w:t>
      </w:r>
    </w:p>
    <w:p w:rsidR="00B55F28" w:rsidP="00B55F28" w:rsidRDefault="00B55F28" w14:paraId="50E3F9FB" w14:textId="77777777"/>
    <w:p w:rsidRPr="0016696A" w:rsidR="00B55F28" w:rsidP="00B55F28" w:rsidRDefault="00B55F28" w14:paraId="54F9F191" w14:textId="77777777">
      <w:r>
        <w:rPr>
          <w:rFonts w:cstheme="minorHAnsi"/>
        </w:rPr>
        <w:t xml:space="preserve">Het kabinet vindt een goede informatievoorziening belangrijk. </w:t>
      </w:r>
      <w:r>
        <w:t>Het vorige en huidige kabinet heeft uw Kamer daa</w:t>
      </w:r>
      <w:r w:rsidR="00C662CD">
        <w:t>rom</w:t>
      </w:r>
      <w:r>
        <w:t xml:space="preserve"> </w:t>
      </w:r>
      <w:r w:rsidR="00C662CD">
        <w:t xml:space="preserve">middels </w:t>
      </w:r>
      <w:r>
        <w:t xml:space="preserve">verschillende brieven en de beantwoording van Kamervragen uitgebreid geïnformeerd over </w:t>
      </w:r>
      <w:r w:rsidR="00C662CD">
        <w:t>het besluitvormingsproces in 2020</w:t>
      </w:r>
      <w:r w:rsidR="000D0E70">
        <w:t>/2021</w:t>
      </w:r>
      <w:r w:rsidR="00C662CD">
        <w:t xml:space="preserve"> en het huidige herbeoordelingsproces.</w:t>
      </w:r>
      <w:r w:rsidR="00C662CD">
        <w:rPr>
          <w:rStyle w:val="Voetnootmarkering"/>
        </w:rPr>
        <w:footnoteReference w:id="6"/>
      </w:r>
      <w:r w:rsidR="007A4167">
        <w:t xml:space="preserve"> Mijn voorganger heeft uw Kamer ook eerder geïnformeerd over de opvolging van de motie Thijssen c.s. </w:t>
      </w:r>
      <w:r w:rsidR="009B5149">
        <w:t xml:space="preserve">inzake het Mozambique-project. </w:t>
      </w:r>
      <w:r w:rsidR="00C305D7">
        <w:t xml:space="preserve">Daarbij is </w:t>
      </w:r>
      <w:r w:rsidR="007A4167">
        <w:t>aangegeven</w:t>
      </w:r>
      <w:r w:rsidR="00C662CD">
        <w:t xml:space="preserve"> </w:t>
      </w:r>
      <w:r w:rsidR="007A4167">
        <w:t xml:space="preserve">dat het </w:t>
      </w:r>
      <w:r w:rsidR="00C662CD">
        <w:t>wenselijk</w:t>
      </w:r>
      <w:r w:rsidR="007A4167">
        <w:t xml:space="preserve"> is</w:t>
      </w:r>
      <w:r w:rsidR="00C662CD">
        <w:t xml:space="preserve"> om vast </w:t>
      </w:r>
      <w:r w:rsidRPr="00D51459">
        <w:rPr>
          <w:rFonts w:cstheme="minorHAnsi"/>
        </w:rPr>
        <w:t xml:space="preserve">te houden aan de </w:t>
      </w:r>
      <w:r>
        <w:rPr>
          <w:rFonts w:cstheme="minorHAnsi"/>
        </w:rPr>
        <w:t>gangbare procedure</w:t>
      </w:r>
      <w:r w:rsidRPr="00D51459">
        <w:rPr>
          <w:rFonts w:cstheme="minorHAnsi"/>
        </w:rPr>
        <w:t xml:space="preserve"> waarbij achteraf parlementaire verantwoording </w:t>
      </w:r>
      <w:r>
        <w:rPr>
          <w:rFonts w:cstheme="minorHAnsi"/>
        </w:rPr>
        <w:t xml:space="preserve">wordt </w:t>
      </w:r>
      <w:r w:rsidRPr="00D51459">
        <w:rPr>
          <w:rFonts w:cstheme="minorHAnsi"/>
        </w:rPr>
        <w:t>af</w:t>
      </w:r>
      <w:r>
        <w:rPr>
          <w:rFonts w:cstheme="minorHAnsi"/>
        </w:rPr>
        <w:t>ge</w:t>
      </w:r>
      <w:r w:rsidRPr="00D51459">
        <w:rPr>
          <w:rFonts w:cstheme="minorHAnsi"/>
        </w:rPr>
        <w:t>leg</w:t>
      </w:r>
      <w:r>
        <w:rPr>
          <w:rFonts w:cstheme="minorHAnsi"/>
        </w:rPr>
        <w:t>d</w:t>
      </w:r>
      <w:r w:rsidRPr="00D51459">
        <w:rPr>
          <w:rFonts w:cstheme="minorHAnsi"/>
        </w:rPr>
        <w:t xml:space="preserve"> over </w:t>
      </w:r>
      <w:r>
        <w:rPr>
          <w:rFonts w:cstheme="minorHAnsi"/>
        </w:rPr>
        <w:t xml:space="preserve">de </w:t>
      </w:r>
      <w:r w:rsidRPr="00D51459">
        <w:rPr>
          <w:rFonts w:cstheme="minorHAnsi"/>
        </w:rPr>
        <w:t xml:space="preserve">uitvoering van de </w:t>
      </w:r>
      <w:proofErr w:type="spellStart"/>
      <w:r w:rsidRPr="00D51459">
        <w:rPr>
          <w:rFonts w:cstheme="minorHAnsi"/>
        </w:rPr>
        <w:t>ekv</w:t>
      </w:r>
      <w:proofErr w:type="spellEnd"/>
      <w:r>
        <w:rPr>
          <w:rFonts w:cstheme="minorHAnsi"/>
        </w:rPr>
        <w:t>.</w:t>
      </w:r>
      <w:r>
        <w:rPr>
          <w:rStyle w:val="Voetnootmarkering"/>
          <w:rFonts w:cstheme="minorHAnsi"/>
        </w:rPr>
        <w:footnoteReference w:id="7"/>
      </w:r>
      <w:r>
        <w:rPr>
          <w:rFonts w:cstheme="minorHAnsi"/>
        </w:rPr>
        <w:t xml:space="preserve"> Op deze manier wordt </w:t>
      </w:r>
      <w:r w:rsidRPr="00D51459">
        <w:rPr>
          <w:rFonts w:cstheme="minorHAnsi"/>
        </w:rPr>
        <w:t xml:space="preserve">de voorspelbaarheid en rechtszekerheid </w:t>
      </w:r>
      <w:r>
        <w:rPr>
          <w:rFonts w:cstheme="minorHAnsi"/>
        </w:rPr>
        <w:t xml:space="preserve">geborgd </w:t>
      </w:r>
      <w:r w:rsidRPr="00D51459">
        <w:rPr>
          <w:rFonts w:cstheme="minorHAnsi"/>
        </w:rPr>
        <w:t>voor de gebruikers en overige</w:t>
      </w:r>
      <w:r>
        <w:rPr>
          <w:rFonts w:cstheme="minorHAnsi"/>
        </w:rPr>
        <w:t xml:space="preserve"> </w:t>
      </w:r>
      <w:r w:rsidR="007A4167">
        <w:rPr>
          <w:rFonts w:cstheme="minorHAnsi"/>
        </w:rPr>
        <w:t>betrokkenen</w:t>
      </w:r>
      <w:r>
        <w:rPr>
          <w:rFonts w:cstheme="minorHAnsi"/>
        </w:rPr>
        <w:t xml:space="preserve">. </w:t>
      </w:r>
      <w:r>
        <w:t>Dit kabinet zal deze lijn voortzetten</w:t>
      </w:r>
      <w:r w:rsidR="000D0E70">
        <w:t>.</w:t>
      </w:r>
      <w:r>
        <w:t xml:space="preserve"> </w:t>
      </w:r>
      <w:r w:rsidR="000D0E70">
        <w:t xml:space="preserve">Uw </w:t>
      </w:r>
      <w:r>
        <w:t>Kamer</w:t>
      </w:r>
      <w:r w:rsidR="000D0E70">
        <w:t xml:space="preserve"> wordt</w:t>
      </w:r>
      <w:r>
        <w:t xml:space="preserve"> zo </w:t>
      </w:r>
      <w:r w:rsidR="000D0E70">
        <w:t xml:space="preserve">goed als </w:t>
      </w:r>
      <w:r>
        <w:t xml:space="preserve">mogelijk, binnen de geldende juridische kaders, </w:t>
      </w:r>
      <w:r w:rsidR="000D0E70">
        <w:t>geïnformeerd</w:t>
      </w:r>
      <w:r>
        <w:t xml:space="preserve"> over het project en de lopende herbeoordeling.</w:t>
      </w:r>
    </w:p>
    <w:p w:rsidR="00B55F28" w:rsidP="00B55F28" w:rsidRDefault="00B55F28" w14:paraId="13B52A49" w14:textId="77777777"/>
    <w:p w:rsidR="00B55F28" w:rsidP="00B55F28" w:rsidRDefault="00AB23EB" w14:paraId="2823E77F" w14:textId="77777777">
      <w:pPr>
        <w:rPr>
          <w:rFonts w:cstheme="minorHAnsi"/>
        </w:rPr>
      </w:pPr>
      <w:r>
        <w:rPr>
          <w:rFonts w:cstheme="minorHAnsi"/>
        </w:rPr>
        <w:t>In de NGO-publicatie zijn</w:t>
      </w:r>
      <w:r w:rsidR="00B55F28">
        <w:rPr>
          <w:rFonts w:cstheme="minorHAnsi"/>
        </w:rPr>
        <w:t xml:space="preserve"> ook een aantal aanbevelingen </w:t>
      </w:r>
      <w:r>
        <w:rPr>
          <w:rFonts w:cstheme="minorHAnsi"/>
        </w:rPr>
        <w:t>opgenomen</w:t>
      </w:r>
      <w:r w:rsidR="00B55F28">
        <w:rPr>
          <w:rFonts w:cstheme="minorHAnsi"/>
        </w:rPr>
        <w:t xml:space="preserve"> </w:t>
      </w:r>
      <w:r w:rsidR="000B6717">
        <w:rPr>
          <w:rFonts w:cstheme="minorHAnsi"/>
        </w:rPr>
        <w:t>over</w:t>
      </w:r>
      <w:r w:rsidR="00B55F28">
        <w:rPr>
          <w:rFonts w:cstheme="minorHAnsi"/>
        </w:rPr>
        <w:t xml:space="preserve"> de afhandeling van </w:t>
      </w:r>
      <w:proofErr w:type="spellStart"/>
      <w:r w:rsidR="00B55F28">
        <w:rPr>
          <w:rFonts w:cstheme="minorHAnsi"/>
        </w:rPr>
        <w:t>Woo</w:t>
      </w:r>
      <w:proofErr w:type="spellEnd"/>
      <w:r w:rsidR="00B55F28">
        <w:rPr>
          <w:rFonts w:cstheme="minorHAnsi"/>
        </w:rPr>
        <w:t>-verzoeke</w:t>
      </w:r>
      <w:r w:rsidR="000B6717">
        <w:rPr>
          <w:rFonts w:cstheme="minorHAnsi"/>
        </w:rPr>
        <w:t>n</w:t>
      </w:r>
      <w:r w:rsidR="00B55F28">
        <w:rPr>
          <w:rFonts w:cstheme="minorHAnsi"/>
        </w:rPr>
        <w:t xml:space="preserve">. Er zijn meerdere </w:t>
      </w:r>
      <w:proofErr w:type="spellStart"/>
      <w:r w:rsidR="00B55F28">
        <w:rPr>
          <w:rFonts w:cstheme="minorHAnsi"/>
        </w:rPr>
        <w:t>Woo</w:t>
      </w:r>
      <w:proofErr w:type="spellEnd"/>
      <w:r w:rsidR="00B55F28">
        <w:rPr>
          <w:rFonts w:cstheme="minorHAnsi"/>
        </w:rPr>
        <w:t xml:space="preserve">-verzoeken ingediend over het LNG-project van Total in Mozambique. De verantwoordelijke ministeries streven ernaar om deze informatie binnen de daarvoor geldende termijnen openbaar te maken. Dit is voor de </w:t>
      </w:r>
      <w:proofErr w:type="spellStart"/>
      <w:r w:rsidR="00B55F28">
        <w:rPr>
          <w:rFonts w:cstheme="minorHAnsi"/>
        </w:rPr>
        <w:t>Woo</w:t>
      </w:r>
      <w:proofErr w:type="spellEnd"/>
      <w:r w:rsidR="00B55F28">
        <w:rPr>
          <w:rFonts w:cstheme="minorHAnsi"/>
        </w:rPr>
        <w:t xml:space="preserve">-verzoeken over </w:t>
      </w:r>
      <w:r w:rsidR="00844196">
        <w:rPr>
          <w:rFonts w:cstheme="minorHAnsi"/>
        </w:rPr>
        <w:t xml:space="preserve">het LNG-project </w:t>
      </w:r>
      <w:r w:rsidR="00B55F28">
        <w:rPr>
          <w:rFonts w:cstheme="minorHAnsi"/>
        </w:rPr>
        <w:t xml:space="preserve">in de meeste gevallen niet gelukt. </w:t>
      </w:r>
      <w:bookmarkStart w:name="_Hlk178334136" w:id="1"/>
      <w:r w:rsidR="00B40653">
        <w:rPr>
          <w:rFonts w:cstheme="minorHAnsi"/>
        </w:rPr>
        <w:t xml:space="preserve">De voorgeschreven </w:t>
      </w:r>
      <w:proofErr w:type="spellStart"/>
      <w:r w:rsidR="00B40653">
        <w:rPr>
          <w:rFonts w:cstheme="minorHAnsi"/>
        </w:rPr>
        <w:t>Woo</w:t>
      </w:r>
      <w:proofErr w:type="spellEnd"/>
      <w:r w:rsidR="00B40653">
        <w:rPr>
          <w:rFonts w:cstheme="minorHAnsi"/>
        </w:rPr>
        <w:t>-termijnen waren niet haalbaar d</w:t>
      </w:r>
      <w:r w:rsidR="00B55F28">
        <w:rPr>
          <w:rFonts w:cstheme="minorHAnsi"/>
        </w:rPr>
        <w:t>oor de omvang</w:t>
      </w:r>
      <w:r w:rsidR="00B40653">
        <w:rPr>
          <w:rFonts w:cstheme="minorHAnsi"/>
        </w:rPr>
        <w:t xml:space="preserve"> </w:t>
      </w:r>
      <w:r w:rsidR="00B55F28">
        <w:rPr>
          <w:rFonts w:cstheme="minorHAnsi"/>
        </w:rPr>
        <w:t>van de te beoordelen documenten</w:t>
      </w:r>
      <w:r w:rsidR="00684095">
        <w:rPr>
          <w:rFonts w:cstheme="minorHAnsi"/>
        </w:rPr>
        <w:t xml:space="preserve"> en </w:t>
      </w:r>
      <w:r w:rsidR="00844196">
        <w:rPr>
          <w:rFonts w:cstheme="minorHAnsi"/>
        </w:rPr>
        <w:t>de tijd die nodig was voor de</w:t>
      </w:r>
      <w:r w:rsidR="00B40653">
        <w:rPr>
          <w:rFonts w:cstheme="minorHAnsi"/>
        </w:rPr>
        <w:t xml:space="preserve"> </w:t>
      </w:r>
      <w:r w:rsidR="00B55F28">
        <w:rPr>
          <w:rFonts w:cstheme="minorHAnsi"/>
        </w:rPr>
        <w:t>zienswijz</w:t>
      </w:r>
      <w:r w:rsidR="00844196">
        <w:rPr>
          <w:rFonts w:cstheme="minorHAnsi"/>
        </w:rPr>
        <w:t>e</w:t>
      </w:r>
      <w:r w:rsidR="00045427">
        <w:rPr>
          <w:rFonts w:cstheme="minorHAnsi"/>
        </w:rPr>
        <w:t>n</w:t>
      </w:r>
      <w:r w:rsidR="00B55F28">
        <w:rPr>
          <w:rFonts w:cstheme="minorHAnsi"/>
        </w:rPr>
        <w:t xml:space="preserve"> van een groot aantal </w:t>
      </w:r>
      <w:r w:rsidR="00B40653">
        <w:rPr>
          <w:rFonts w:cstheme="minorHAnsi"/>
        </w:rPr>
        <w:t xml:space="preserve">(met name internationale) </w:t>
      </w:r>
      <w:r w:rsidR="00B55F28">
        <w:rPr>
          <w:rFonts w:cstheme="minorHAnsi"/>
        </w:rPr>
        <w:t>derde partijen</w:t>
      </w:r>
      <w:r w:rsidR="00684095">
        <w:rPr>
          <w:rFonts w:cstheme="minorHAnsi"/>
        </w:rPr>
        <w:t>.</w:t>
      </w:r>
    </w:p>
    <w:bookmarkEnd w:id="1"/>
    <w:p w:rsidR="00B55F28" w:rsidP="00B55F28" w:rsidRDefault="00B55F28" w14:paraId="0474B6BA" w14:textId="77777777">
      <w:pPr>
        <w:rPr>
          <w:rFonts w:cstheme="minorHAnsi"/>
        </w:rPr>
      </w:pPr>
    </w:p>
    <w:p w:rsidRPr="007D78B9" w:rsidR="00F22ECE" w:rsidP="00B55F28" w:rsidRDefault="00B40653" w14:paraId="0C92AAE8" w14:textId="77777777">
      <w:pPr>
        <w:rPr>
          <w:rFonts w:cstheme="minorHAnsi"/>
        </w:rPr>
      </w:pPr>
      <w:r>
        <w:rPr>
          <w:rFonts w:cstheme="minorHAnsi"/>
        </w:rPr>
        <w:t>Er zijn</w:t>
      </w:r>
      <w:r w:rsidR="00B55F28">
        <w:rPr>
          <w:rFonts w:cstheme="minorHAnsi"/>
        </w:rPr>
        <w:t xml:space="preserve"> </w:t>
      </w:r>
      <w:r w:rsidR="001C0C6A">
        <w:rPr>
          <w:rFonts w:cstheme="minorHAnsi"/>
        </w:rPr>
        <w:t xml:space="preserve">ook </w:t>
      </w:r>
      <w:r w:rsidR="00B55F28">
        <w:rPr>
          <w:rFonts w:cstheme="minorHAnsi"/>
        </w:rPr>
        <w:t xml:space="preserve">lessen getrokken uit de behandeling van </w:t>
      </w:r>
      <w:r w:rsidR="001C0C6A">
        <w:rPr>
          <w:rFonts w:cstheme="minorHAnsi"/>
        </w:rPr>
        <w:t xml:space="preserve">bovenstaande </w:t>
      </w:r>
      <w:proofErr w:type="spellStart"/>
      <w:r w:rsidR="00B55F28">
        <w:rPr>
          <w:rFonts w:cstheme="minorHAnsi"/>
        </w:rPr>
        <w:t>Woo</w:t>
      </w:r>
      <w:proofErr w:type="spellEnd"/>
      <w:r w:rsidR="00B55F28">
        <w:rPr>
          <w:rFonts w:cstheme="minorHAnsi"/>
        </w:rPr>
        <w:t>-verzoeken</w:t>
      </w:r>
      <w:r w:rsidR="00AF7DF0">
        <w:rPr>
          <w:rFonts w:cstheme="minorHAnsi"/>
        </w:rPr>
        <w:t xml:space="preserve">. </w:t>
      </w:r>
      <w:bookmarkStart w:name="_Hlk178334252" w:id="2"/>
      <w:r w:rsidR="00AF7DF0">
        <w:rPr>
          <w:rFonts w:cstheme="minorHAnsi"/>
        </w:rPr>
        <w:t xml:space="preserve">Deze lessen zijn onder meer verwerkt in een </w:t>
      </w:r>
      <w:r w:rsidR="00B55F28">
        <w:rPr>
          <w:rFonts w:cstheme="minorHAnsi"/>
        </w:rPr>
        <w:t>nieuwe werkinstructie</w:t>
      </w:r>
      <w:r w:rsidR="00AF7DF0">
        <w:rPr>
          <w:rFonts w:cstheme="minorHAnsi"/>
        </w:rPr>
        <w:t xml:space="preserve"> voor de afhandeling van </w:t>
      </w:r>
      <w:proofErr w:type="spellStart"/>
      <w:r w:rsidR="00AF7DF0">
        <w:rPr>
          <w:rFonts w:cstheme="minorHAnsi"/>
        </w:rPr>
        <w:t>Woo</w:t>
      </w:r>
      <w:proofErr w:type="spellEnd"/>
      <w:r w:rsidR="00AF7DF0">
        <w:rPr>
          <w:rFonts w:cstheme="minorHAnsi"/>
        </w:rPr>
        <w:t>-verzoeken. Deze werkinstructie helpt</w:t>
      </w:r>
      <w:r w:rsidR="00B55F28">
        <w:rPr>
          <w:rFonts w:cstheme="minorHAnsi"/>
        </w:rPr>
        <w:t xml:space="preserve"> </w:t>
      </w:r>
      <w:r w:rsidR="00AF7DF0">
        <w:rPr>
          <w:rFonts w:cstheme="minorHAnsi"/>
        </w:rPr>
        <w:t>o</w:t>
      </w:r>
      <w:r w:rsidR="00B55F28">
        <w:rPr>
          <w:rFonts w:cstheme="minorHAnsi"/>
        </w:rPr>
        <w:t xml:space="preserve">m de behandeling van toekomstige </w:t>
      </w:r>
      <w:proofErr w:type="spellStart"/>
      <w:r w:rsidR="00B55F28">
        <w:rPr>
          <w:rFonts w:cstheme="minorHAnsi"/>
        </w:rPr>
        <w:t>Woo</w:t>
      </w:r>
      <w:proofErr w:type="spellEnd"/>
      <w:r w:rsidR="00B55F28">
        <w:rPr>
          <w:rFonts w:cstheme="minorHAnsi"/>
        </w:rPr>
        <w:t>-verzoeken op een zorgvuldige wijze te versnellen</w:t>
      </w:r>
      <w:bookmarkEnd w:id="2"/>
      <w:r w:rsidR="00B55F28">
        <w:rPr>
          <w:rFonts w:cstheme="minorHAnsi"/>
        </w:rPr>
        <w:t xml:space="preserve">. </w:t>
      </w:r>
      <w:bookmarkStart w:name="_Hlk178334299" w:id="3"/>
      <w:r w:rsidR="00B55F28">
        <w:rPr>
          <w:rFonts w:cstheme="minorHAnsi"/>
        </w:rPr>
        <w:t xml:space="preserve">Wel </w:t>
      </w:r>
      <w:r>
        <w:rPr>
          <w:rFonts w:cstheme="minorHAnsi"/>
        </w:rPr>
        <w:t>is</w:t>
      </w:r>
      <w:r w:rsidR="00B55F28">
        <w:rPr>
          <w:rFonts w:cstheme="minorHAnsi"/>
        </w:rPr>
        <w:t xml:space="preserve"> het zo dat de </w:t>
      </w:r>
      <w:proofErr w:type="spellStart"/>
      <w:r w:rsidR="00B55F28">
        <w:rPr>
          <w:rFonts w:cstheme="minorHAnsi"/>
        </w:rPr>
        <w:t>Woo</w:t>
      </w:r>
      <w:proofErr w:type="spellEnd"/>
      <w:r w:rsidR="00B55F28">
        <w:rPr>
          <w:rFonts w:cstheme="minorHAnsi"/>
        </w:rPr>
        <w:t xml:space="preserve">-termijnen voor dit soort omvangrijke verzoeken uitdagend </w:t>
      </w:r>
      <w:r>
        <w:rPr>
          <w:rFonts w:cstheme="minorHAnsi"/>
        </w:rPr>
        <w:t>blijven</w:t>
      </w:r>
      <w:r w:rsidR="00B55F28">
        <w:rPr>
          <w:rFonts w:cstheme="minorHAnsi"/>
        </w:rPr>
        <w:t>.</w:t>
      </w:r>
      <w:bookmarkEnd w:id="3"/>
      <w:r w:rsidR="00B55F28">
        <w:rPr>
          <w:rFonts w:cstheme="minorHAnsi"/>
        </w:rPr>
        <w:t xml:space="preserve"> De verantwoordelijke ministeries en het kabinet blijven evenwel inzetten op een spoedige en zorgvuldige afronding van de openstaande en eventuele toekomstige </w:t>
      </w:r>
      <w:proofErr w:type="spellStart"/>
      <w:r w:rsidR="00B55F28">
        <w:rPr>
          <w:rFonts w:cstheme="minorHAnsi"/>
        </w:rPr>
        <w:t>Woo</w:t>
      </w:r>
      <w:proofErr w:type="spellEnd"/>
      <w:r w:rsidR="00B55F28">
        <w:rPr>
          <w:rFonts w:cstheme="minorHAnsi"/>
        </w:rPr>
        <w:t xml:space="preserve">-verzoeken. </w:t>
      </w:r>
    </w:p>
    <w:p w:rsidR="00F22ECE" w:rsidP="00B55F28" w:rsidRDefault="00F22ECE" w14:paraId="71B335A2" w14:textId="77777777">
      <w:pPr>
        <w:rPr>
          <w:rFonts w:cstheme="minorHAnsi"/>
          <w:b/>
          <w:bCs/>
        </w:rPr>
      </w:pPr>
    </w:p>
    <w:p w:rsidRPr="00D33D5C" w:rsidR="00D33D5C" w:rsidP="00B55F28" w:rsidRDefault="00D33D5C" w14:paraId="031D8044" w14:textId="77777777">
      <w:pPr>
        <w:rPr>
          <w:rFonts w:cstheme="minorHAnsi"/>
          <w:b/>
          <w:bCs/>
        </w:rPr>
      </w:pPr>
      <w:r w:rsidRPr="00D33D5C">
        <w:rPr>
          <w:rFonts w:cstheme="minorHAnsi"/>
          <w:b/>
          <w:bCs/>
        </w:rPr>
        <w:t xml:space="preserve">Algemene bevindingen NGO-publicatie </w:t>
      </w:r>
    </w:p>
    <w:p w:rsidR="00254ACA" w:rsidP="00254ACA" w:rsidRDefault="002A1743" w14:paraId="1DCE6049" w14:textId="77777777">
      <w:pPr>
        <w:rPr>
          <w:rFonts w:cstheme="minorHAnsi"/>
        </w:rPr>
      </w:pPr>
      <w:r>
        <w:rPr>
          <w:rFonts w:cstheme="minorHAnsi"/>
        </w:rPr>
        <w:t xml:space="preserve">In de NGO-publicatie </w:t>
      </w:r>
      <w:r w:rsidR="004A4D16">
        <w:rPr>
          <w:rFonts w:cstheme="minorHAnsi"/>
        </w:rPr>
        <w:t xml:space="preserve">zijn tevens </w:t>
      </w:r>
      <w:r>
        <w:rPr>
          <w:rFonts w:cstheme="minorHAnsi"/>
        </w:rPr>
        <w:t>een aantal</w:t>
      </w:r>
      <w:r w:rsidR="007D78B9">
        <w:rPr>
          <w:rFonts w:cstheme="minorHAnsi"/>
        </w:rPr>
        <w:t xml:space="preserve"> algemene</w:t>
      </w:r>
      <w:r>
        <w:rPr>
          <w:rFonts w:cstheme="minorHAnsi"/>
        </w:rPr>
        <w:t xml:space="preserve"> aanbevelingen </w:t>
      </w:r>
      <w:r w:rsidR="00DA167A">
        <w:rPr>
          <w:rFonts w:cstheme="minorHAnsi"/>
        </w:rPr>
        <w:t xml:space="preserve">voor de </w:t>
      </w:r>
      <w:proofErr w:type="spellStart"/>
      <w:r w:rsidR="00DA167A">
        <w:rPr>
          <w:rFonts w:cstheme="minorHAnsi"/>
        </w:rPr>
        <w:t>ekv</w:t>
      </w:r>
      <w:proofErr w:type="spellEnd"/>
      <w:r w:rsidR="00DA167A">
        <w:rPr>
          <w:rFonts w:cstheme="minorHAnsi"/>
        </w:rPr>
        <w:t xml:space="preserve"> </w:t>
      </w:r>
      <w:r>
        <w:rPr>
          <w:rFonts w:cstheme="minorHAnsi"/>
        </w:rPr>
        <w:t>opgenomen</w:t>
      </w:r>
      <w:r w:rsidR="003B082C">
        <w:rPr>
          <w:rFonts w:cstheme="minorHAnsi"/>
        </w:rPr>
        <w:t xml:space="preserve">. </w:t>
      </w:r>
      <w:r w:rsidR="007D78B9">
        <w:rPr>
          <w:rFonts w:cstheme="minorHAnsi"/>
        </w:rPr>
        <w:t>Zo doen de</w:t>
      </w:r>
      <w:r>
        <w:rPr>
          <w:rFonts w:cstheme="minorHAnsi"/>
        </w:rPr>
        <w:t xml:space="preserve"> auteurs de aanbeveling om de </w:t>
      </w:r>
      <w:r w:rsidR="0061667B">
        <w:rPr>
          <w:rFonts w:cstheme="minorHAnsi"/>
        </w:rPr>
        <w:t>inbreng</w:t>
      </w:r>
      <w:r>
        <w:rPr>
          <w:rFonts w:cstheme="minorHAnsi"/>
        </w:rPr>
        <w:t xml:space="preserve"> van maatschappelijke organisaties </w:t>
      </w:r>
      <w:r w:rsidR="003E5DAA">
        <w:rPr>
          <w:rFonts w:cstheme="minorHAnsi"/>
        </w:rPr>
        <w:t xml:space="preserve">nadrukkelijk </w:t>
      </w:r>
      <w:r>
        <w:rPr>
          <w:rFonts w:cstheme="minorHAnsi"/>
        </w:rPr>
        <w:t xml:space="preserve">onderdeel te maken van een besluitvormingsproces over de afgifte van een </w:t>
      </w:r>
      <w:proofErr w:type="spellStart"/>
      <w:r>
        <w:rPr>
          <w:rFonts w:cstheme="minorHAnsi"/>
        </w:rPr>
        <w:t>ekv</w:t>
      </w:r>
      <w:proofErr w:type="spellEnd"/>
      <w:r>
        <w:rPr>
          <w:rFonts w:cstheme="minorHAnsi"/>
        </w:rPr>
        <w:t xml:space="preserve">. </w:t>
      </w:r>
      <w:r w:rsidR="00254ACA">
        <w:rPr>
          <w:rFonts w:cstheme="minorHAnsi"/>
        </w:rPr>
        <w:t xml:space="preserve">De auteurs van de publicatie raden daarnaast aan om de transparantie rondom de afgifte van </w:t>
      </w:r>
      <w:r w:rsidR="00673534">
        <w:rPr>
          <w:rFonts w:cstheme="minorHAnsi"/>
        </w:rPr>
        <w:t xml:space="preserve">zogenoemde </w:t>
      </w:r>
      <w:r w:rsidR="00254ACA">
        <w:rPr>
          <w:rFonts w:cstheme="minorHAnsi"/>
        </w:rPr>
        <w:t>hoge risico</w:t>
      </w:r>
      <w:r w:rsidR="0088368D">
        <w:rPr>
          <w:rFonts w:cstheme="minorHAnsi"/>
        </w:rPr>
        <w:t>-</w:t>
      </w:r>
      <w:r w:rsidR="00254ACA">
        <w:rPr>
          <w:rFonts w:cstheme="minorHAnsi"/>
        </w:rPr>
        <w:t xml:space="preserve">projecten te verbeteren. </w:t>
      </w:r>
    </w:p>
    <w:p w:rsidR="003B33D1" w:rsidP="00B55F28" w:rsidRDefault="003B33D1" w14:paraId="1150911D" w14:textId="77777777">
      <w:pPr>
        <w:rPr>
          <w:rFonts w:cstheme="minorHAnsi"/>
        </w:rPr>
      </w:pPr>
    </w:p>
    <w:p w:rsidR="008877A7" w:rsidP="00B55F28" w:rsidRDefault="003B33D1" w14:paraId="5ADBBFAE" w14:textId="77777777">
      <w:r>
        <w:rPr>
          <w:rFonts w:cstheme="minorHAnsi"/>
        </w:rPr>
        <w:t>Het kabinet hecht veel waarde aan de inbreng van maatschappelijke organisaties</w:t>
      </w:r>
      <w:r w:rsidR="004F7279">
        <w:rPr>
          <w:rFonts w:cstheme="minorHAnsi"/>
        </w:rPr>
        <w:t>.</w:t>
      </w:r>
      <w:r w:rsidR="007D78B9">
        <w:rPr>
          <w:rFonts w:cstheme="minorHAnsi"/>
        </w:rPr>
        <w:t xml:space="preserve"> </w:t>
      </w:r>
      <w:r w:rsidR="007D78B9">
        <w:t xml:space="preserve">Deze inbreng wordt </w:t>
      </w:r>
      <w:r w:rsidR="003E5DAA">
        <w:t xml:space="preserve">nadrukkelijk </w:t>
      </w:r>
      <w:r w:rsidR="007D78B9">
        <w:t xml:space="preserve">meegewogen in de beoordeling van individuele projecten en de evaluatie van relevante </w:t>
      </w:r>
      <w:proofErr w:type="spellStart"/>
      <w:r w:rsidR="007D78B9">
        <w:t>ekv</w:t>
      </w:r>
      <w:proofErr w:type="spellEnd"/>
      <w:r w:rsidR="007D78B9">
        <w:t xml:space="preserve">-beleidskaders. </w:t>
      </w:r>
      <w:r w:rsidR="003E5DAA">
        <w:t xml:space="preserve">Het kabinet herkent </w:t>
      </w:r>
      <w:r w:rsidR="003E5DAA">
        <w:lastRenderedPageBreak/>
        <w:t>zich niet in het beeld dat dit geen staande praktijk is.</w:t>
      </w:r>
      <w:r w:rsidR="00DA167A">
        <w:t xml:space="preserve"> </w:t>
      </w:r>
      <w:r w:rsidR="008877A7">
        <w:t xml:space="preserve">Mochten maatschappelijke organisaties dit anders zien, dan </w:t>
      </w:r>
      <w:r w:rsidR="00656872">
        <w:t>staan</w:t>
      </w:r>
      <w:r w:rsidR="008877A7">
        <w:t xml:space="preserve"> de verantwoordelijke ministeries </w:t>
      </w:r>
      <w:r w:rsidR="00656872">
        <w:t>open</w:t>
      </w:r>
      <w:r w:rsidR="008877A7">
        <w:t xml:space="preserve"> om daarover het gesprek </w:t>
      </w:r>
      <w:r w:rsidR="00656872">
        <w:t xml:space="preserve">met deze organisaties </w:t>
      </w:r>
      <w:r w:rsidR="008877A7">
        <w:t xml:space="preserve">aan te gaan. </w:t>
      </w:r>
    </w:p>
    <w:p w:rsidR="00251170" w:rsidP="00B55F28" w:rsidRDefault="00251170" w14:paraId="3B554E41" w14:textId="77777777"/>
    <w:p w:rsidRPr="003B082C" w:rsidR="00D33D5C" w:rsidP="00B55F28" w:rsidRDefault="00E778DB" w14:paraId="52A7D77F" w14:textId="77777777">
      <w:r>
        <w:t xml:space="preserve">Het kabinet </w:t>
      </w:r>
      <w:r w:rsidR="00AB0E93">
        <w:t>vindt daarnaast</w:t>
      </w:r>
      <w:r>
        <w:t xml:space="preserve"> een transparante werkwijze</w:t>
      </w:r>
      <w:r w:rsidR="00AB0E93">
        <w:t xml:space="preserve"> van belang</w:t>
      </w:r>
      <w:r w:rsidR="00673534">
        <w:t>, juist zodat maatschappelijke organisaties hun werk kunnen doen</w:t>
      </w:r>
      <w:r>
        <w:t xml:space="preserve">. Daarbij is het zaak om de juiste balans te vinden tussen enerzijds zo transparant werken en anderzijds </w:t>
      </w:r>
      <w:r w:rsidR="00254ACA">
        <w:t xml:space="preserve">de belangen van exporteurs, hun afnemers en andere betrokkenen. </w:t>
      </w:r>
      <w:r w:rsidR="008877A7">
        <w:t>ADSB heeft een transparantiebeleid op grond waarvan</w:t>
      </w:r>
      <w:r w:rsidR="008877A7">
        <w:rPr>
          <w:rFonts w:cstheme="minorHAnsi"/>
        </w:rPr>
        <w:t xml:space="preserve"> zowel in de behandelingsfase als na afgifte van een polis informatie</w:t>
      </w:r>
      <w:r w:rsidR="0061667B">
        <w:rPr>
          <w:rFonts w:cstheme="minorHAnsi"/>
        </w:rPr>
        <w:t xml:space="preserve"> wordt</w:t>
      </w:r>
      <w:r w:rsidR="008877A7">
        <w:rPr>
          <w:rFonts w:cstheme="minorHAnsi"/>
        </w:rPr>
        <w:t xml:space="preserve"> </w:t>
      </w:r>
      <w:r w:rsidR="0061667B">
        <w:rPr>
          <w:rFonts w:cstheme="minorHAnsi"/>
        </w:rPr>
        <w:t>ge</w:t>
      </w:r>
      <w:r w:rsidR="008877A7">
        <w:rPr>
          <w:rFonts w:cstheme="minorHAnsi"/>
        </w:rPr>
        <w:t>publiceer</w:t>
      </w:r>
      <w:r w:rsidR="0061667B">
        <w:rPr>
          <w:rFonts w:cstheme="minorHAnsi"/>
        </w:rPr>
        <w:t>d</w:t>
      </w:r>
      <w:r w:rsidR="008877A7">
        <w:rPr>
          <w:rFonts w:cstheme="minorHAnsi"/>
        </w:rPr>
        <w:t xml:space="preserve"> over hoge risicoprojecten. </w:t>
      </w:r>
      <w:r w:rsidR="00254ACA">
        <w:t xml:space="preserve">Het kabinet is van mening dat </w:t>
      </w:r>
      <w:r w:rsidR="008877A7">
        <w:t xml:space="preserve">met dit transparantiebeleid </w:t>
      </w:r>
      <w:r w:rsidR="00254ACA">
        <w:t xml:space="preserve">de </w:t>
      </w:r>
      <w:r w:rsidR="008877A7">
        <w:t xml:space="preserve">hierboven genoemde </w:t>
      </w:r>
      <w:r w:rsidR="00254ACA">
        <w:t xml:space="preserve">balans </w:t>
      </w:r>
      <w:r w:rsidR="008877A7">
        <w:t>is gevonden</w:t>
      </w:r>
      <w:r w:rsidR="00254ACA">
        <w:t xml:space="preserve">. De MVO-beleidsevaluatie uit 2021 onderschrijft dit ook. </w:t>
      </w:r>
      <w:r w:rsidR="00713DAD">
        <w:rPr>
          <w:rFonts w:cstheme="minorHAnsi"/>
        </w:rPr>
        <w:t xml:space="preserve">Tegelijkertijd blijft het van belang om kritisch te blijven op het transparantiebeleid en deze periodiek te evalueren, waarbij de inbreng van maatschappelijke organisaties wordt meegewogen. </w:t>
      </w:r>
      <w:r w:rsidR="00254ACA">
        <w:rPr>
          <w:rFonts w:cstheme="minorHAnsi"/>
        </w:rPr>
        <w:t xml:space="preserve"> </w:t>
      </w:r>
    </w:p>
    <w:p w:rsidR="00F80DE3" w:rsidP="00B55F28" w:rsidRDefault="00F80DE3" w14:paraId="0C0312B5" w14:textId="77777777">
      <w:pPr>
        <w:rPr>
          <w:rFonts w:cstheme="minorHAnsi"/>
        </w:rPr>
      </w:pPr>
    </w:p>
    <w:p w:rsidR="00BC6BE4" w:rsidRDefault="00F80DE3" w14:paraId="6CF16EFC" w14:textId="77777777">
      <w:r>
        <w:rPr>
          <w:rFonts w:cstheme="minorHAnsi"/>
        </w:rPr>
        <w:t xml:space="preserve">Tenslotte </w:t>
      </w:r>
      <w:r w:rsidR="00FE0091">
        <w:rPr>
          <w:rFonts w:cstheme="minorHAnsi"/>
        </w:rPr>
        <w:t>bevelen de auteurs van de NGO-publicatie aan</w:t>
      </w:r>
      <w:r>
        <w:rPr>
          <w:rFonts w:cstheme="minorHAnsi"/>
        </w:rPr>
        <w:t xml:space="preserve"> om een juridische mogelijkheid </w:t>
      </w:r>
      <w:r w:rsidR="007F0D65">
        <w:rPr>
          <w:rFonts w:cstheme="minorHAnsi"/>
        </w:rPr>
        <w:t>in te</w:t>
      </w:r>
      <w:r>
        <w:rPr>
          <w:rFonts w:cstheme="minorHAnsi"/>
        </w:rPr>
        <w:t xml:space="preserve"> bouwen</w:t>
      </w:r>
      <w:r w:rsidR="007F0D65">
        <w:rPr>
          <w:rFonts w:cstheme="minorHAnsi"/>
        </w:rPr>
        <w:t xml:space="preserve"> om uit een </w:t>
      </w:r>
      <w:proofErr w:type="spellStart"/>
      <w:r w:rsidR="007F0D65">
        <w:rPr>
          <w:rFonts w:cstheme="minorHAnsi"/>
        </w:rPr>
        <w:t>ekv</w:t>
      </w:r>
      <w:proofErr w:type="spellEnd"/>
      <w:r w:rsidR="007F0D65">
        <w:rPr>
          <w:rFonts w:cstheme="minorHAnsi"/>
        </w:rPr>
        <w:t xml:space="preserve">-polis te stappen, bijvoorbeeld </w:t>
      </w:r>
      <w:r w:rsidR="00FE0091">
        <w:rPr>
          <w:rFonts w:cstheme="minorHAnsi"/>
        </w:rPr>
        <w:t>bij grote</w:t>
      </w:r>
      <w:r w:rsidR="007F0D65">
        <w:rPr>
          <w:rFonts w:cstheme="minorHAnsi"/>
        </w:rPr>
        <w:t xml:space="preserve"> MVO-risico’s</w:t>
      </w:r>
      <w:r w:rsidR="00FE0091">
        <w:rPr>
          <w:rFonts w:cstheme="minorHAnsi"/>
        </w:rPr>
        <w:t>.</w:t>
      </w:r>
      <w:r w:rsidR="0061667B">
        <w:rPr>
          <w:rFonts w:cstheme="minorHAnsi"/>
        </w:rPr>
        <w:t xml:space="preserve"> </w:t>
      </w:r>
      <w:r w:rsidR="0061667B">
        <w:t>Het intrekken van afgegeven polissen is alleen mogelijk indien sprake is van verzuim, aantoonbare nalatigheid of fraude door de verzekerde partij. Schending van de polisvoorwaarden kan in het uiterste geval gevolgen hebben voor het recht op schade-uitkering onder de polis.</w:t>
      </w:r>
      <w:r w:rsidR="0061667B">
        <w:rPr>
          <w:rFonts w:cstheme="minorHAnsi"/>
        </w:rPr>
        <w:t xml:space="preserve"> Dit doet niet af aan het uitgangspunt dat o</w:t>
      </w:r>
      <w:r w:rsidR="003E3E2D">
        <w:rPr>
          <w:rFonts w:cstheme="minorHAnsi"/>
        </w:rPr>
        <w:t xml:space="preserve">naanvaardbare risico’s voor mens, dier en milieu </w:t>
      </w:r>
      <w:r w:rsidR="00227A8A">
        <w:rPr>
          <w:rFonts w:cstheme="minorHAnsi"/>
        </w:rPr>
        <w:t>niet worden</w:t>
      </w:r>
      <w:r w:rsidR="003E3E2D">
        <w:rPr>
          <w:rFonts w:cstheme="minorHAnsi"/>
        </w:rPr>
        <w:t xml:space="preserve"> verzekerd.</w:t>
      </w:r>
      <w:r w:rsidR="0061667B">
        <w:rPr>
          <w:rFonts w:cstheme="minorHAnsi"/>
        </w:rPr>
        <w:t xml:space="preserve"> ADSB toetst dit bij afgifte van een polis en</w:t>
      </w:r>
      <w:r w:rsidR="003E3E2D">
        <w:rPr>
          <w:rFonts w:cstheme="minorHAnsi"/>
        </w:rPr>
        <w:t xml:space="preserve"> </w:t>
      </w:r>
      <w:r w:rsidR="0061667B">
        <w:rPr>
          <w:rFonts w:cstheme="minorHAnsi"/>
        </w:rPr>
        <w:t>b</w:t>
      </w:r>
      <w:r w:rsidR="00411CC4">
        <w:rPr>
          <w:rFonts w:cstheme="minorHAnsi"/>
        </w:rPr>
        <w:t xml:space="preserve">ij zogenoemde hoge risico’s projecten worden </w:t>
      </w:r>
      <w:r w:rsidR="00227A8A">
        <w:rPr>
          <w:rFonts w:cstheme="minorHAnsi"/>
        </w:rPr>
        <w:t>MVO-aspecten</w:t>
      </w:r>
      <w:r w:rsidR="00411CC4">
        <w:rPr>
          <w:rFonts w:cstheme="minorHAnsi"/>
        </w:rPr>
        <w:t xml:space="preserve"> ook na afgifte van een polis </w:t>
      </w:r>
      <w:r w:rsidR="00227A8A">
        <w:rPr>
          <w:rFonts w:cstheme="minorHAnsi"/>
        </w:rPr>
        <w:t xml:space="preserve">actief </w:t>
      </w:r>
      <w:r w:rsidR="00411CC4">
        <w:rPr>
          <w:rFonts w:cstheme="minorHAnsi"/>
        </w:rPr>
        <w:t>gemonitord door ADSB</w:t>
      </w:r>
      <w:r w:rsidR="007F0D65">
        <w:rPr>
          <w:rFonts w:cstheme="minorHAnsi"/>
        </w:rPr>
        <w:t xml:space="preserve">. </w:t>
      </w:r>
    </w:p>
    <w:p w:rsidR="00FE0091" w:rsidRDefault="00FE0091" w14:paraId="053BB376" w14:textId="77777777"/>
    <w:p w:rsidR="00FE0091" w:rsidRDefault="00FE0091" w14:paraId="5E60575C" w14:textId="77777777">
      <w:pPr>
        <w:rPr>
          <w:b/>
          <w:bCs/>
        </w:rPr>
      </w:pPr>
      <w:r w:rsidRPr="00FE0091">
        <w:rPr>
          <w:b/>
          <w:bCs/>
        </w:rPr>
        <w:t>Afsluiting</w:t>
      </w:r>
    </w:p>
    <w:p w:rsidR="00FE0091" w:rsidRDefault="00FE0091" w14:paraId="310445AE" w14:textId="77777777">
      <w:r>
        <w:t xml:space="preserve">Zoals eerder aangegeven, hecht het kabinet veel waarde aan de inbreng van maatschappelijke organisaties. </w:t>
      </w:r>
      <w:r w:rsidR="00656872">
        <w:t xml:space="preserve">De inbreng van maatschappelijke organisaties, geuit in gesprekken, brieven en publicaties, wordt nadrukkelijk meegewogen in de (her)beoordeling van het Mozambique-project, andere projecten en bij de evaluatie van </w:t>
      </w:r>
      <w:proofErr w:type="spellStart"/>
      <w:r w:rsidR="00656872">
        <w:t>ekv</w:t>
      </w:r>
      <w:proofErr w:type="spellEnd"/>
      <w:r w:rsidR="00656872">
        <w:t>-beleidskaders. Het kabinet blijft de maatschappelijke organisaties uitnodigen om hun inbreng met ADSB en de verantwoordelijke ministeries te delen.</w:t>
      </w:r>
    </w:p>
    <w:p w:rsidR="00BC6BE4" w:rsidRDefault="000D0E70" w14:paraId="0BF1F536" w14:textId="77777777">
      <w:pPr>
        <w:pStyle w:val="StandaardSlotzin"/>
      </w:pPr>
      <w:r>
        <w:t>Hoogachtend,</w:t>
      </w:r>
    </w:p>
    <w:p w:rsidR="00BC6BE4" w:rsidRDefault="00BC6BE4" w14:paraId="5C58D9A7" w14:textId="77777777"/>
    <w:tbl>
      <w:tblPr>
        <w:tblStyle w:val="Tabelzonderranden"/>
        <w:tblW w:w="7485" w:type="dxa"/>
        <w:tblInd w:w="0" w:type="dxa"/>
        <w:tblLayout w:type="fixed"/>
        <w:tblLook w:val="07E0" w:firstRow="1" w:lastRow="1" w:firstColumn="1" w:lastColumn="1" w:noHBand="1" w:noVBand="1"/>
      </w:tblPr>
      <w:tblGrid>
        <w:gridCol w:w="3592"/>
        <w:gridCol w:w="3893"/>
      </w:tblGrid>
      <w:tr w:rsidR="00BC6BE4" w:rsidTr="006444BB" w14:paraId="3018ACC5" w14:textId="77777777">
        <w:tc>
          <w:tcPr>
            <w:tcW w:w="3592" w:type="dxa"/>
          </w:tcPr>
          <w:p w:rsidR="00BC6BE4" w:rsidRDefault="000D0E70" w14:paraId="57A2CEFB" w14:textId="77777777">
            <w:r>
              <w:t>de minister van Financiën,</w:t>
            </w:r>
            <w:r>
              <w:br/>
            </w:r>
            <w:r>
              <w:br/>
            </w:r>
            <w:r>
              <w:br/>
            </w:r>
            <w:r>
              <w:br/>
            </w:r>
            <w:r>
              <w:br/>
            </w:r>
            <w:r>
              <w:br/>
            </w:r>
            <w:r>
              <w:br/>
              <w:t xml:space="preserve"> E. Heinen</w:t>
            </w:r>
          </w:p>
        </w:tc>
        <w:tc>
          <w:tcPr>
            <w:tcW w:w="3893" w:type="dxa"/>
          </w:tcPr>
          <w:p w:rsidR="00BC6BE4" w:rsidRDefault="00BC6BE4" w14:paraId="1BEB61EE" w14:textId="77777777"/>
        </w:tc>
      </w:tr>
      <w:tr w:rsidR="00BC6BE4" w:rsidTr="006444BB" w14:paraId="0476528D" w14:textId="77777777">
        <w:tc>
          <w:tcPr>
            <w:tcW w:w="3592" w:type="dxa"/>
          </w:tcPr>
          <w:p w:rsidR="00BC6BE4" w:rsidRDefault="00BC6BE4" w14:paraId="3DA8DC15" w14:textId="77777777"/>
        </w:tc>
        <w:tc>
          <w:tcPr>
            <w:tcW w:w="3893" w:type="dxa"/>
          </w:tcPr>
          <w:p w:rsidR="00BC6BE4" w:rsidRDefault="00BC6BE4" w14:paraId="120FD54B" w14:textId="77777777"/>
        </w:tc>
      </w:tr>
    </w:tbl>
    <w:p w:rsidR="00BC6BE4" w:rsidRDefault="00BC6BE4" w14:paraId="4A499675" w14:textId="77777777">
      <w:pPr>
        <w:pStyle w:val="Verdana7"/>
      </w:pPr>
    </w:p>
    <w:sectPr w:rsidR="00BC6BE4">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FD99" w14:textId="77777777" w:rsidR="0018583F" w:rsidRDefault="000D0E70">
      <w:pPr>
        <w:spacing w:line="240" w:lineRule="auto"/>
      </w:pPr>
      <w:r>
        <w:separator/>
      </w:r>
    </w:p>
  </w:endnote>
  <w:endnote w:type="continuationSeparator" w:id="0">
    <w:p w14:paraId="511B75C5" w14:textId="77777777" w:rsidR="0018583F" w:rsidRDefault="000D0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9502" w14:textId="77777777" w:rsidR="0018583F" w:rsidRDefault="000D0E70">
      <w:pPr>
        <w:spacing w:line="240" w:lineRule="auto"/>
      </w:pPr>
      <w:r>
        <w:separator/>
      </w:r>
    </w:p>
  </w:footnote>
  <w:footnote w:type="continuationSeparator" w:id="0">
    <w:p w14:paraId="6DB7218C" w14:textId="77777777" w:rsidR="0018583F" w:rsidRDefault="000D0E70">
      <w:pPr>
        <w:spacing w:line="240" w:lineRule="auto"/>
      </w:pPr>
      <w:r>
        <w:continuationSeparator/>
      </w:r>
    </w:p>
  </w:footnote>
  <w:footnote w:id="1">
    <w:p w14:paraId="00508785" w14:textId="77777777" w:rsidR="00ED61AD" w:rsidRPr="00733B80" w:rsidRDefault="00ED61AD" w:rsidP="00ED61AD">
      <w:pPr>
        <w:pStyle w:val="Voetnoottekst"/>
        <w:rPr>
          <w:sz w:val="16"/>
          <w:szCs w:val="16"/>
        </w:rPr>
      </w:pPr>
      <w:r w:rsidRPr="00733B80">
        <w:rPr>
          <w:rFonts w:ascii="Verdana" w:eastAsia="DejaVu Sans" w:hAnsi="Verdana" w:cstheme="minorHAnsi"/>
          <w:color w:val="000000"/>
          <w:sz w:val="16"/>
          <w:szCs w:val="16"/>
          <w:vertAlign w:val="superscript"/>
        </w:rPr>
        <w:footnoteRef/>
      </w:r>
      <w:r w:rsidRPr="00733B80">
        <w:rPr>
          <w:rFonts w:ascii="Verdana" w:eastAsia="DejaVu Sans" w:hAnsi="Verdana" w:cstheme="minorHAnsi"/>
          <w:color w:val="000000"/>
          <w:sz w:val="16"/>
          <w:szCs w:val="16"/>
        </w:rPr>
        <w:t xml:space="preserve"> </w:t>
      </w:r>
      <w:r w:rsidR="00EF5E9F" w:rsidRPr="00733B80">
        <w:rPr>
          <w:rFonts w:ascii="Verdana" w:eastAsia="DejaVu Sans" w:hAnsi="Verdana" w:cstheme="minorHAnsi"/>
          <w:color w:val="000000"/>
          <w:sz w:val="16"/>
          <w:szCs w:val="16"/>
        </w:rPr>
        <w:t xml:space="preserve">Kamerstuk 34878, vergaderjaar 2023-2024, nr. 60. </w:t>
      </w:r>
    </w:p>
  </w:footnote>
  <w:footnote w:id="2">
    <w:p w14:paraId="2C6B9E7B" w14:textId="77777777" w:rsidR="00B55F28" w:rsidRPr="008A5C39" w:rsidRDefault="00B55F28" w:rsidP="00B55F28">
      <w:pPr>
        <w:pStyle w:val="Voetnoottekst"/>
        <w:rPr>
          <w:rFonts w:ascii="Verdana" w:eastAsia="DejaVu Sans" w:hAnsi="Verdana" w:cstheme="minorHAnsi"/>
          <w:color w:val="000000"/>
          <w:sz w:val="16"/>
          <w:szCs w:val="16"/>
        </w:rPr>
      </w:pPr>
      <w:r w:rsidRPr="008A5C39">
        <w:rPr>
          <w:rFonts w:ascii="Verdana" w:eastAsia="DejaVu Sans" w:hAnsi="Verdana" w:cstheme="minorHAnsi"/>
          <w:color w:val="000000"/>
          <w:sz w:val="16"/>
          <w:szCs w:val="16"/>
          <w:vertAlign w:val="superscript"/>
        </w:rPr>
        <w:footnoteRef/>
      </w:r>
      <w:r w:rsidRPr="008A5C39">
        <w:rPr>
          <w:rFonts w:ascii="Verdana" w:eastAsia="DejaVu Sans" w:hAnsi="Verdana" w:cstheme="minorHAnsi"/>
          <w:color w:val="000000"/>
          <w:sz w:val="16"/>
          <w:szCs w:val="16"/>
          <w:vertAlign w:val="superscript"/>
        </w:rPr>
        <w:t xml:space="preserve"> </w:t>
      </w:r>
      <w:r w:rsidRPr="008A5C39">
        <w:rPr>
          <w:rFonts w:ascii="Verdana" w:eastAsia="DejaVu Sans" w:hAnsi="Verdana" w:cstheme="minorHAnsi"/>
          <w:color w:val="000000"/>
          <w:sz w:val="16"/>
          <w:szCs w:val="16"/>
        </w:rPr>
        <w:t>Kamerstuk 26 485,</w:t>
      </w:r>
      <w:r w:rsidR="00733B80" w:rsidRPr="008A5C39">
        <w:rPr>
          <w:rFonts w:ascii="Verdana" w:eastAsia="DejaVu Sans" w:hAnsi="Verdana" w:cstheme="minorHAnsi"/>
          <w:color w:val="000000"/>
          <w:sz w:val="16"/>
          <w:szCs w:val="16"/>
        </w:rPr>
        <w:t xml:space="preserve"> vergaderjaar 2021-2022,</w:t>
      </w:r>
      <w:r w:rsidRPr="008A5C39">
        <w:rPr>
          <w:rFonts w:ascii="Verdana" w:eastAsia="DejaVu Sans" w:hAnsi="Verdana" w:cstheme="minorHAnsi"/>
          <w:color w:val="000000"/>
          <w:sz w:val="16"/>
          <w:szCs w:val="16"/>
        </w:rPr>
        <w:t xml:space="preserve"> nr. 380</w:t>
      </w:r>
      <w:r w:rsidR="00733B80" w:rsidRPr="008A5C39">
        <w:rPr>
          <w:rFonts w:ascii="Verdana" w:eastAsia="DejaVu Sans" w:hAnsi="Verdana" w:cstheme="minorHAnsi"/>
          <w:color w:val="000000"/>
          <w:sz w:val="16"/>
          <w:szCs w:val="16"/>
        </w:rPr>
        <w:t xml:space="preserve"> en </w:t>
      </w:r>
      <w:r w:rsidRPr="008A5C39">
        <w:rPr>
          <w:rFonts w:ascii="Verdana" w:eastAsia="DejaVu Sans" w:hAnsi="Verdana" w:cstheme="minorHAnsi"/>
          <w:color w:val="000000"/>
          <w:sz w:val="16"/>
          <w:szCs w:val="16"/>
        </w:rPr>
        <w:t xml:space="preserve">Kamerstuk 31 935, </w:t>
      </w:r>
      <w:r w:rsidR="00733B80" w:rsidRPr="008A5C39">
        <w:rPr>
          <w:rFonts w:ascii="Verdana" w:eastAsia="DejaVu Sans" w:hAnsi="Verdana" w:cstheme="minorHAnsi"/>
          <w:color w:val="000000"/>
          <w:sz w:val="16"/>
          <w:szCs w:val="16"/>
        </w:rPr>
        <w:t xml:space="preserve">vergaderjaar 2022-2023, </w:t>
      </w:r>
      <w:r w:rsidRPr="008A5C39">
        <w:rPr>
          <w:rFonts w:ascii="Verdana" w:eastAsia="DejaVu Sans" w:hAnsi="Verdana" w:cstheme="minorHAnsi"/>
          <w:color w:val="000000"/>
          <w:sz w:val="16"/>
          <w:szCs w:val="16"/>
        </w:rPr>
        <w:t>nr. 82</w:t>
      </w:r>
      <w:r w:rsidR="00733B80" w:rsidRPr="008A5C39">
        <w:rPr>
          <w:rFonts w:ascii="Verdana" w:eastAsia="DejaVu Sans" w:hAnsi="Verdana" w:cstheme="minorHAnsi"/>
          <w:color w:val="000000"/>
          <w:sz w:val="16"/>
          <w:szCs w:val="16"/>
        </w:rPr>
        <w:t>.</w:t>
      </w:r>
    </w:p>
  </w:footnote>
  <w:footnote w:id="3">
    <w:p w14:paraId="37ABB21F" w14:textId="77777777" w:rsidR="00B55F28" w:rsidRPr="008A5C39" w:rsidRDefault="00B55F28" w:rsidP="00B55F28">
      <w:pPr>
        <w:pStyle w:val="Voetnoottekst"/>
        <w:rPr>
          <w:rFonts w:ascii="Verdana" w:eastAsia="DejaVu Sans" w:hAnsi="Verdana" w:cstheme="minorHAnsi"/>
          <w:color w:val="000000"/>
          <w:sz w:val="16"/>
          <w:szCs w:val="16"/>
        </w:rPr>
      </w:pPr>
      <w:r w:rsidRPr="008A5C39">
        <w:rPr>
          <w:rFonts w:ascii="Verdana" w:eastAsia="DejaVu Sans" w:hAnsi="Verdana" w:cstheme="minorHAnsi"/>
          <w:color w:val="000000"/>
          <w:sz w:val="16"/>
          <w:szCs w:val="16"/>
          <w:vertAlign w:val="superscript"/>
        </w:rPr>
        <w:footnoteRef/>
      </w:r>
      <w:r w:rsidRPr="008A5C39">
        <w:rPr>
          <w:rFonts w:ascii="Verdana" w:eastAsia="DejaVu Sans" w:hAnsi="Verdana" w:cstheme="minorHAnsi"/>
          <w:color w:val="000000"/>
          <w:sz w:val="16"/>
          <w:szCs w:val="16"/>
        </w:rPr>
        <w:t xml:space="preserve"> Kamerstuk 26 485,</w:t>
      </w:r>
      <w:r w:rsidR="008A5C39" w:rsidRPr="008A5C39">
        <w:rPr>
          <w:rFonts w:ascii="Verdana" w:eastAsia="DejaVu Sans" w:hAnsi="Verdana" w:cstheme="minorHAnsi"/>
          <w:color w:val="000000"/>
          <w:sz w:val="16"/>
          <w:szCs w:val="16"/>
        </w:rPr>
        <w:t xml:space="preserve"> vergaderjaar 2022-2023,</w:t>
      </w:r>
      <w:r w:rsidRPr="008A5C39">
        <w:rPr>
          <w:rFonts w:ascii="Verdana" w:eastAsia="DejaVu Sans" w:hAnsi="Verdana" w:cstheme="minorHAnsi"/>
          <w:color w:val="000000"/>
          <w:sz w:val="16"/>
          <w:szCs w:val="16"/>
        </w:rPr>
        <w:t xml:space="preserve"> nr. 407</w:t>
      </w:r>
      <w:r w:rsidR="008A5C39" w:rsidRPr="008A5C39">
        <w:rPr>
          <w:rFonts w:ascii="Verdana" w:eastAsia="DejaVu Sans" w:hAnsi="Verdana" w:cstheme="minorHAnsi"/>
          <w:color w:val="000000"/>
          <w:sz w:val="16"/>
          <w:szCs w:val="16"/>
        </w:rPr>
        <w:t>.</w:t>
      </w:r>
    </w:p>
  </w:footnote>
  <w:footnote w:id="4">
    <w:p w14:paraId="50DD2488" w14:textId="77777777" w:rsidR="007907D8" w:rsidRPr="008A5C39" w:rsidRDefault="007907D8">
      <w:pPr>
        <w:pStyle w:val="Voetnoottekst"/>
        <w:rPr>
          <w:rFonts w:ascii="Verdana" w:eastAsia="DejaVu Sans" w:hAnsi="Verdana" w:cstheme="minorHAnsi"/>
          <w:color w:val="000000"/>
          <w:sz w:val="16"/>
          <w:szCs w:val="16"/>
        </w:rPr>
      </w:pPr>
      <w:r w:rsidRPr="008A5C39">
        <w:rPr>
          <w:rFonts w:ascii="Verdana" w:eastAsia="DejaVu Sans" w:hAnsi="Verdana" w:cstheme="minorHAnsi"/>
          <w:color w:val="000000"/>
          <w:sz w:val="16"/>
          <w:szCs w:val="16"/>
          <w:vertAlign w:val="superscript"/>
        </w:rPr>
        <w:footnoteRef/>
      </w:r>
      <w:r w:rsidRPr="008A5C39">
        <w:rPr>
          <w:rFonts w:ascii="Verdana" w:eastAsia="DejaVu Sans" w:hAnsi="Verdana" w:cstheme="minorHAnsi"/>
          <w:color w:val="000000"/>
          <w:sz w:val="16"/>
          <w:szCs w:val="16"/>
        </w:rPr>
        <w:t xml:space="preserve"> </w:t>
      </w:r>
      <w:r w:rsidR="008A5C39" w:rsidRPr="008A5C39">
        <w:rPr>
          <w:rFonts w:ascii="Verdana" w:eastAsia="DejaVu Sans" w:hAnsi="Verdana" w:cstheme="minorHAnsi"/>
          <w:color w:val="000000"/>
          <w:sz w:val="16"/>
          <w:szCs w:val="16"/>
        </w:rPr>
        <w:t>Zie onder meer Kamerstuk 34878, vergaderjaar 2023-2024, nr. 60.</w:t>
      </w:r>
    </w:p>
  </w:footnote>
  <w:footnote w:id="5">
    <w:p w14:paraId="4ECF4401" w14:textId="77777777" w:rsidR="000940C5" w:rsidRDefault="000940C5" w:rsidP="000940C5">
      <w:pPr>
        <w:pStyle w:val="Voetnoottekst"/>
      </w:pPr>
      <w:r w:rsidRPr="0061667B">
        <w:rPr>
          <w:rStyle w:val="Voetnootmarkering"/>
          <w:rFonts w:ascii="Verdana" w:hAnsi="Verdana"/>
          <w:sz w:val="16"/>
          <w:szCs w:val="16"/>
        </w:rPr>
        <w:footnoteRef/>
      </w:r>
      <w:r w:rsidRPr="0061667B">
        <w:rPr>
          <w:rFonts w:ascii="Verdana" w:hAnsi="Verdana"/>
          <w:sz w:val="16"/>
          <w:szCs w:val="16"/>
        </w:rPr>
        <w:t xml:space="preserve"> </w:t>
      </w:r>
      <w:r w:rsidR="00805F78" w:rsidRPr="008A5C39">
        <w:rPr>
          <w:rFonts w:ascii="Verdana" w:eastAsia="DejaVu Sans" w:hAnsi="Verdana" w:cstheme="minorHAnsi"/>
          <w:color w:val="000000"/>
          <w:sz w:val="16"/>
          <w:szCs w:val="16"/>
        </w:rPr>
        <w:t>Kamerstuk 26485, vergaderjaar 2023-2024, nr. 432.</w:t>
      </w:r>
    </w:p>
  </w:footnote>
  <w:footnote w:id="6">
    <w:p w14:paraId="0070C8F6" w14:textId="77777777" w:rsidR="00C662CD" w:rsidRPr="009573D2" w:rsidRDefault="00C662CD">
      <w:pPr>
        <w:pStyle w:val="Voetnoottekst"/>
        <w:rPr>
          <w:rFonts w:ascii="Verdana" w:eastAsia="DejaVu Sans" w:hAnsi="Verdana" w:cstheme="minorHAnsi"/>
          <w:color w:val="000000"/>
          <w:sz w:val="16"/>
          <w:szCs w:val="16"/>
        </w:rPr>
      </w:pPr>
      <w:r w:rsidRPr="009573D2">
        <w:rPr>
          <w:rFonts w:ascii="Verdana" w:eastAsia="DejaVu Sans" w:hAnsi="Verdana" w:cstheme="minorHAnsi"/>
          <w:color w:val="000000"/>
          <w:sz w:val="16"/>
          <w:szCs w:val="16"/>
          <w:vertAlign w:val="superscript"/>
        </w:rPr>
        <w:footnoteRef/>
      </w:r>
      <w:r w:rsidRPr="009573D2">
        <w:rPr>
          <w:rFonts w:ascii="Verdana" w:eastAsia="DejaVu Sans" w:hAnsi="Verdana" w:cstheme="minorHAnsi"/>
          <w:color w:val="000000"/>
          <w:sz w:val="16"/>
          <w:szCs w:val="16"/>
          <w:vertAlign w:val="superscript"/>
        </w:rPr>
        <w:t xml:space="preserve"> </w:t>
      </w:r>
      <w:r w:rsidRPr="009573D2">
        <w:rPr>
          <w:rFonts w:ascii="Verdana" w:eastAsia="DejaVu Sans" w:hAnsi="Verdana" w:cstheme="minorHAnsi"/>
          <w:color w:val="000000"/>
          <w:sz w:val="16"/>
          <w:szCs w:val="16"/>
        </w:rPr>
        <w:t xml:space="preserve">Zie </w:t>
      </w:r>
      <w:r w:rsidR="008A5C39" w:rsidRPr="009573D2">
        <w:rPr>
          <w:rFonts w:ascii="Verdana" w:eastAsia="DejaVu Sans" w:hAnsi="Verdana" w:cstheme="minorHAnsi"/>
          <w:color w:val="000000"/>
          <w:sz w:val="16"/>
          <w:szCs w:val="16"/>
        </w:rPr>
        <w:t>meest recentelijk: Kamerstuk 34878, vergaderjaar 2023-2024, nr. 60.</w:t>
      </w:r>
    </w:p>
  </w:footnote>
  <w:footnote w:id="7">
    <w:p w14:paraId="01DA3CBE" w14:textId="77777777" w:rsidR="00B55F28" w:rsidRDefault="00B55F28" w:rsidP="00B55F28">
      <w:pPr>
        <w:pStyle w:val="Voetnoottekst"/>
      </w:pPr>
      <w:r w:rsidRPr="009573D2">
        <w:rPr>
          <w:rFonts w:ascii="Verdana" w:eastAsia="DejaVu Sans" w:hAnsi="Verdana" w:cstheme="minorHAnsi"/>
          <w:color w:val="000000"/>
          <w:sz w:val="16"/>
          <w:szCs w:val="16"/>
          <w:vertAlign w:val="superscript"/>
        </w:rPr>
        <w:footnoteRef/>
      </w:r>
      <w:r w:rsidRPr="009573D2">
        <w:rPr>
          <w:rFonts w:ascii="Verdana" w:eastAsia="DejaVu Sans" w:hAnsi="Verdana" w:cstheme="minorHAnsi"/>
          <w:color w:val="000000"/>
          <w:sz w:val="18"/>
          <w:szCs w:val="18"/>
          <w:vertAlign w:val="superscript"/>
        </w:rPr>
        <w:t xml:space="preserve"> </w:t>
      </w:r>
      <w:r w:rsidR="008A5C39" w:rsidRPr="008A5C39">
        <w:rPr>
          <w:rFonts w:ascii="Verdana" w:eastAsia="DejaVu Sans" w:hAnsi="Verdana" w:cstheme="minorHAnsi"/>
          <w:color w:val="000000"/>
          <w:sz w:val="16"/>
          <w:szCs w:val="16"/>
        </w:rPr>
        <w:t>Kamerstuk 26485, vergaderjaar 2023-2024, nr. 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6CFD" w14:textId="77777777" w:rsidR="00BC6BE4" w:rsidRDefault="000D0E70">
    <w:r>
      <w:rPr>
        <w:noProof/>
      </w:rPr>
      <mc:AlternateContent>
        <mc:Choice Requires="wps">
          <w:drawing>
            <wp:anchor distT="0" distB="0" distL="0" distR="0" simplePos="0" relativeHeight="251652096" behindDoc="0" locked="1" layoutInCell="1" allowOverlap="1" wp14:anchorId="571A4BE1" wp14:editId="26DDDE8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D983447" w14:textId="77777777" w:rsidR="00BC6BE4" w:rsidRDefault="000D0E70">
                          <w:pPr>
                            <w:pStyle w:val="StandaardReferentiegegevensKop"/>
                          </w:pPr>
                          <w:r>
                            <w:t>Directie Buitenlandse Financiële Betrekkingen</w:t>
                          </w:r>
                        </w:p>
                        <w:p w14:paraId="031A8783" w14:textId="77777777" w:rsidR="00BC6BE4" w:rsidRDefault="00BC6BE4">
                          <w:pPr>
                            <w:pStyle w:val="WitregelW1"/>
                          </w:pPr>
                        </w:p>
                        <w:p w14:paraId="2BCD6443" w14:textId="77777777" w:rsidR="00BC6BE4" w:rsidRDefault="000D0E70">
                          <w:pPr>
                            <w:pStyle w:val="StandaardReferentiegegevensKop"/>
                          </w:pPr>
                          <w:r>
                            <w:t>Ons kenmerk</w:t>
                          </w:r>
                        </w:p>
                        <w:p w14:paraId="018C369D" w14:textId="23BD3D3C" w:rsidR="00641A05" w:rsidRDefault="005A24DA">
                          <w:pPr>
                            <w:pStyle w:val="StandaardReferentiegegevens"/>
                          </w:pPr>
                          <w:fldSimple w:instr=" DOCPROPERTY  &quot;Kenmerk&quot;  \* MERGEFORMAT ">
                            <w:r w:rsidR="00826553">
                              <w:t>2024-0000460719</w:t>
                            </w:r>
                          </w:fldSimple>
                        </w:p>
                      </w:txbxContent>
                    </wps:txbx>
                    <wps:bodyPr vert="horz" wrap="square" lIns="0" tIns="0" rIns="0" bIns="0" anchor="t" anchorCtr="0"/>
                  </wps:wsp>
                </a:graphicData>
              </a:graphic>
            </wp:anchor>
          </w:drawing>
        </mc:Choice>
        <mc:Fallback>
          <w:pict>
            <v:shapetype w14:anchorId="571A4BE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D983447" w14:textId="77777777" w:rsidR="00BC6BE4" w:rsidRDefault="000D0E70">
                    <w:pPr>
                      <w:pStyle w:val="StandaardReferentiegegevensKop"/>
                    </w:pPr>
                    <w:r>
                      <w:t>Directie Buitenlandse Financiële Betrekkingen</w:t>
                    </w:r>
                  </w:p>
                  <w:p w14:paraId="031A8783" w14:textId="77777777" w:rsidR="00BC6BE4" w:rsidRDefault="00BC6BE4">
                    <w:pPr>
                      <w:pStyle w:val="WitregelW1"/>
                    </w:pPr>
                  </w:p>
                  <w:p w14:paraId="2BCD6443" w14:textId="77777777" w:rsidR="00BC6BE4" w:rsidRDefault="000D0E70">
                    <w:pPr>
                      <w:pStyle w:val="StandaardReferentiegegevensKop"/>
                    </w:pPr>
                    <w:r>
                      <w:t>Ons kenmerk</w:t>
                    </w:r>
                  </w:p>
                  <w:p w14:paraId="018C369D" w14:textId="23BD3D3C" w:rsidR="00641A05" w:rsidRDefault="005A24DA">
                    <w:pPr>
                      <w:pStyle w:val="StandaardReferentiegegevens"/>
                    </w:pPr>
                    <w:fldSimple w:instr=" DOCPROPERTY  &quot;Kenmerk&quot;  \* MERGEFORMAT ">
                      <w:r w:rsidR="00826553">
                        <w:t>2024-0000460719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AE3762" wp14:editId="3E8F84B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646795" w14:textId="77777777" w:rsidR="00641A05" w:rsidRDefault="005A24D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AE376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A646795" w14:textId="77777777" w:rsidR="00641A05" w:rsidRDefault="005A24D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E43435" wp14:editId="27B39E2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638BDB6" w14:textId="7360BB26" w:rsidR="00641A05" w:rsidRDefault="005A24D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2E4343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638BDB6" w14:textId="7360BB26" w:rsidR="00641A05" w:rsidRDefault="005A24D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0B99" w14:textId="77777777" w:rsidR="00BC6BE4" w:rsidRDefault="000D0E70">
    <w:pPr>
      <w:spacing w:after="7029" w:line="14" w:lineRule="exact"/>
    </w:pPr>
    <w:r>
      <w:rPr>
        <w:noProof/>
      </w:rPr>
      <mc:AlternateContent>
        <mc:Choice Requires="wps">
          <w:drawing>
            <wp:anchor distT="0" distB="0" distL="0" distR="0" simplePos="0" relativeHeight="251655168" behindDoc="0" locked="1" layoutInCell="1" allowOverlap="1" wp14:anchorId="30C75A9F" wp14:editId="6AEC436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132ED33" w14:textId="77777777" w:rsidR="00BC6BE4" w:rsidRDefault="000D0E70">
                          <w:pPr>
                            <w:spacing w:line="240" w:lineRule="auto"/>
                          </w:pPr>
                          <w:r>
                            <w:rPr>
                              <w:noProof/>
                            </w:rPr>
                            <w:drawing>
                              <wp:inline distT="0" distB="0" distL="0" distR="0" wp14:anchorId="0EA62503" wp14:editId="16E6A3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C75A9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132ED33" w14:textId="77777777" w:rsidR="00BC6BE4" w:rsidRDefault="000D0E70">
                    <w:pPr>
                      <w:spacing w:line="240" w:lineRule="auto"/>
                    </w:pPr>
                    <w:r>
                      <w:rPr>
                        <w:noProof/>
                      </w:rPr>
                      <w:drawing>
                        <wp:inline distT="0" distB="0" distL="0" distR="0" wp14:anchorId="0EA62503" wp14:editId="16E6A3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4E3993F" wp14:editId="2A7AC80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AB6F17E" w14:textId="77777777" w:rsidR="0018583F" w:rsidRDefault="0018583F"/>
                      </w:txbxContent>
                    </wps:txbx>
                    <wps:bodyPr vert="horz" wrap="square" lIns="0" tIns="0" rIns="0" bIns="0" anchor="t" anchorCtr="0"/>
                  </wps:wsp>
                </a:graphicData>
              </a:graphic>
            </wp:anchor>
          </w:drawing>
        </mc:Choice>
        <mc:Fallback>
          <w:pict>
            <v:shape w14:anchorId="04E3993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AB6F17E" w14:textId="77777777" w:rsidR="0018583F" w:rsidRDefault="0018583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595D1C" wp14:editId="5655D27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1A79B9C" w14:textId="77777777" w:rsidR="00BC6BE4" w:rsidRDefault="000D0E70">
                          <w:pPr>
                            <w:pStyle w:val="StandaardReferentiegegevensKop"/>
                          </w:pPr>
                          <w:r>
                            <w:t>Directie Buitenlandse Financiële Betrekkingen</w:t>
                          </w:r>
                        </w:p>
                        <w:p w14:paraId="66096FE2" w14:textId="77777777" w:rsidR="00BC6BE4" w:rsidRDefault="00BC6BE4">
                          <w:pPr>
                            <w:pStyle w:val="WitregelW1"/>
                          </w:pPr>
                        </w:p>
                        <w:p w14:paraId="1316247F" w14:textId="77777777" w:rsidR="00BC6BE4" w:rsidRDefault="000D0E70">
                          <w:pPr>
                            <w:pStyle w:val="StandaardReferentiegegevens"/>
                          </w:pPr>
                          <w:r>
                            <w:t>Korte Voorhout 7</w:t>
                          </w:r>
                        </w:p>
                        <w:p w14:paraId="5382C51F" w14:textId="77777777" w:rsidR="00BC6BE4" w:rsidRDefault="000D0E70">
                          <w:pPr>
                            <w:pStyle w:val="StandaardReferentiegegevens"/>
                          </w:pPr>
                          <w:r>
                            <w:t>2511 CW  'S-GRAVENHAGE</w:t>
                          </w:r>
                        </w:p>
                        <w:p w14:paraId="5AD11DD0" w14:textId="77777777" w:rsidR="00BC6BE4" w:rsidRDefault="000D0E70">
                          <w:pPr>
                            <w:pStyle w:val="StandaardReferentiegegevens"/>
                          </w:pPr>
                          <w:r>
                            <w:t>POSTBUS 20201</w:t>
                          </w:r>
                        </w:p>
                        <w:p w14:paraId="23718F74" w14:textId="77777777" w:rsidR="00BC6BE4" w:rsidRDefault="000D0E70">
                          <w:pPr>
                            <w:pStyle w:val="StandaardReferentiegegevens"/>
                          </w:pPr>
                          <w:r>
                            <w:t>2500 EE  'S-GRAVENHAGE</w:t>
                          </w:r>
                        </w:p>
                        <w:p w14:paraId="56991547" w14:textId="77777777" w:rsidR="00BC6BE4" w:rsidRDefault="000D0E70">
                          <w:pPr>
                            <w:pStyle w:val="StandaardReferentiegegevens"/>
                          </w:pPr>
                          <w:r>
                            <w:t>www.rijksoverheid.nl/fin</w:t>
                          </w:r>
                        </w:p>
                        <w:p w14:paraId="49D23137" w14:textId="77777777" w:rsidR="00BC6BE4" w:rsidRDefault="00BC6BE4">
                          <w:pPr>
                            <w:pStyle w:val="WitregelW2"/>
                          </w:pPr>
                        </w:p>
                        <w:p w14:paraId="1FB6DE74" w14:textId="77777777" w:rsidR="00BC6BE4" w:rsidRDefault="000D0E70">
                          <w:pPr>
                            <w:pStyle w:val="StandaardReferentiegegevensKop"/>
                          </w:pPr>
                          <w:r>
                            <w:t>Ons kenmerk</w:t>
                          </w:r>
                        </w:p>
                        <w:p w14:paraId="4580C8F4" w14:textId="3D8A985F" w:rsidR="00641A05" w:rsidRDefault="005A24DA">
                          <w:pPr>
                            <w:pStyle w:val="StandaardReferentiegegevens"/>
                          </w:pPr>
                          <w:fldSimple w:instr=" DOCPROPERTY  &quot;Kenmerk&quot;  \* MERGEFORMAT ">
                            <w:r w:rsidR="00826553">
                              <w:t>2024-0000460719</w:t>
                            </w:r>
                          </w:fldSimple>
                        </w:p>
                        <w:p w14:paraId="78AA170C" w14:textId="77777777" w:rsidR="00BC6BE4" w:rsidRDefault="00BC6BE4">
                          <w:pPr>
                            <w:pStyle w:val="WitregelW1"/>
                          </w:pPr>
                        </w:p>
                        <w:p w14:paraId="30432278" w14:textId="77777777" w:rsidR="00BC6BE4" w:rsidRDefault="000D0E70">
                          <w:pPr>
                            <w:pStyle w:val="StandaardReferentiegegevensKop"/>
                          </w:pPr>
                          <w:r>
                            <w:t>Uw brief (kenmerk)</w:t>
                          </w:r>
                        </w:p>
                        <w:p w14:paraId="1A8E19DB" w14:textId="02E5DF66" w:rsidR="00641A05" w:rsidRDefault="005A24DA">
                          <w:pPr>
                            <w:pStyle w:val="StandaardReferentiegegevens"/>
                          </w:pPr>
                          <w:fldSimple w:instr=" DOCPROPERTY  &quot;UwKenmerk&quot;  \* MERGEFORMAT ">
                            <w:r w:rsidR="00826553">
                              <w:t>2024Z11262</w:t>
                            </w:r>
                          </w:fldSimple>
                        </w:p>
                        <w:p w14:paraId="5882AC3E" w14:textId="77777777" w:rsidR="00BC6BE4" w:rsidRDefault="00BC6BE4">
                          <w:pPr>
                            <w:pStyle w:val="WitregelW1"/>
                          </w:pPr>
                        </w:p>
                        <w:p w14:paraId="28169D84" w14:textId="77777777" w:rsidR="00BC6BE4" w:rsidRDefault="000D0E70">
                          <w:pPr>
                            <w:pStyle w:val="StandaardReferentiegegevensKop"/>
                          </w:pPr>
                          <w:r>
                            <w:t>Bijlagen</w:t>
                          </w:r>
                        </w:p>
                        <w:p w14:paraId="06A5A660" w14:textId="77777777" w:rsidR="00BC6BE4" w:rsidRDefault="000D0E70">
                          <w:pPr>
                            <w:pStyle w:val="StandaardReferentiegegevens"/>
                          </w:pPr>
                          <w:r>
                            <w:t>(geen)</w:t>
                          </w:r>
                        </w:p>
                      </w:txbxContent>
                    </wps:txbx>
                    <wps:bodyPr vert="horz" wrap="square" lIns="0" tIns="0" rIns="0" bIns="0" anchor="t" anchorCtr="0"/>
                  </wps:wsp>
                </a:graphicData>
              </a:graphic>
            </wp:anchor>
          </w:drawing>
        </mc:Choice>
        <mc:Fallback>
          <w:pict>
            <v:shape w14:anchorId="43595D1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1A79B9C" w14:textId="77777777" w:rsidR="00BC6BE4" w:rsidRDefault="000D0E70">
                    <w:pPr>
                      <w:pStyle w:val="StandaardReferentiegegevensKop"/>
                    </w:pPr>
                    <w:r>
                      <w:t>Directie Buitenlandse Financiële Betrekkingen</w:t>
                    </w:r>
                  </w:p>
                  <w:p w14:paraId="66096FE2" w14:textId="77777777" w:rsidR="00BC6BE4" w:rsidRDefault="00BC6BE4">
                    <w:pPr>
                      <w:pStyle w:val="WitregelW1"/>
                    </w:pPr>
                  </w:p>
                  <w:p w14:paraId="1316247F" w14:textId="77777777" w:rsidR="00BC6BE4" w:rsidRDefault="000D0E70">
                    <w:pPr>
                      <w:pStyle w:val="StandaardReferentiegegevens"/>
                    </w:pPr>
                    <w:r>
                      <w:t>Korte Voorhout 7</w:t>
                    </w:r>
                  </w:p>
                  <w:p w14:paraId="5382C51F" w14:textId="77777777" w:rsidR="00BC6BE4" w:rsidRDefault="000D0E70">
                    <w:pPr>
                      <w:pStyle w:val="StandaardReferentiegegevens"/>
                    </w:pPr>
                    <w:r>
                      <w:t>2511 CW  'S-GRAVENHAGE</w:t>
                    </w:r>
                  </w:p>
                  <w:p w14:paraId="5AD11DD0" w14:textId="77777777" w:rsidR="00BC6BE4" w:rsidRDefault="000D0E70">
                    <w:pPr>
                      <w:pStyle w:val="StandaardReferentiegegevens"/>
                    </w:pPr>
                    <w:r>
                      <w:t>POSTBUS 20201</w:t>
                    </w:r>
                  </w:p>
                  <w:p w14:paraId="23718F74" w14:textId="77777777" w:rsidR="00BC6BE4" w:rsidRDefault="000D0E70">
                    <w:pPr>
                      <w:pStyle w:val="StandaardReferentiegegevens"/>
                    </w:pPr>
                    <w:r>
                      <w:t>2500 EE  'S-GRAVENHAGE</w:t>
                    </w:r>
                  </w:p>
                  <w:p w14:paraId="56991547" w14:textId="77777777" w:rsidR="00BC6BE4" w:rsidRDefault="000D0E70">
                    <w:pPr>
                      <w:pStyle w:val="StandaardReferentiegegevens"/>
                    </w:pPr>
                    <w:r>
                      <w:t>www.rijksoverheid.nl/fin</w:t>
                    </w:r>
                  </w:p>
                  <w:p w14:paraId="49D23137" w14:textId="77777777" w:rsidR="00BC6BE4" w:rsidRDefault="00BC6BE4">
                    <w:pPr>
                      <w:pStyle w:val="WitregelW2"/>
                    </w:pPr>
                  </w:p>
                  <w:p w14:paraId="1FB6DE74" w14:textId="77777777" w:rsidR="00BC6BE4" w:rsidRDefault="000D0E70">
                    <w:pPr>
                      <w:pStyle w:val="StandaardReferentiegegevensKop"/>
                    </w:pPr>
                    <w:r>
                      <w:t>Ons kenmerk</w:t>
                    </w:r>
                  </w:p>
                  <w:p w14:paraId="4580C8F4" w14:textId="3D8A985F" w:rsidR="00641A05" w:rsidRDefault="005A24DA">
                    <w:pPr>
                      <w:pStyle w:val="StandaardReferentiegegevens"/>
                    </w:pPr>
                    <w:fldSimple w:instr=" DOCPROPERTY  &quot;Kenmerk&quot;  \* MERGEFORMAT ">
                      <w:r w:rsidR="00826553">
                        <w:t>2024-0000460719</w:t>
                      </w:r>
                    </w:fldSimple>
                  </w:p>
                  <w:p w14:paraId="78AA170C" w14:textId="77777777" w:rsidR="00BC6BE4" w:rsidRDefault="00BC6BE4">
                    <w:pPr>
                      <w:pStyle w:val="WitregelW1"/>
                    </w:pPr>
                  </w:p>
                  <w:p w14:paraId="30432278" w14:textId="77777777" w:rsidR="00BC6BE4" w:rsidRDefault="000D0E70">
                    <w:pPr>
                      <w:pStyle w:val="StandaardReferentiegegevensKop"/>
                    </w:pPr>
                    <w:r>
                      <w:t>Uw brief (kenmerk)</w:t>
                    </w:r>
                  </w:p>
                  <w:p w14:paraId="1A8E19DB" w14:textId="02E5DF66" w:rsidR="00641A05" w:rsidRDefault="005A24DA">
                    <w:pPr>
                      <w:pStyle w:val="StandaardReferentiegegevens"/>
                    </w:pPr>
                    <w:fldSimple w:instr=" DOCPROPERTY  &quot;UwKenmerk&quot;  \* MERGEFORMAT ">
                      <w:r w:rsidR="00826553">
                        <w:t>2024Z11262</w:t>
                      </w:r>
                    </w:fldSimple>
                  </w:p>
                  <w:p w14:paraId="5882AC3E" w14:textId="77777777" w:rsidR="00BC6BE4" w:rsidRDefault="00BC6BE4">
                    <w:pPr>
                      <w:pStyle w:val="WitregelW1"/>
                    </w:pPr>
                  </w:p>
                  <w:p w14:paraId="28169D84" w14:textId="77777777" w:rsidR="00BC6BE4" w:rsidRDefault="000D0E70">
                    <w:pPr>
                      <w:pStyle w:val="StandaardReferentiegegevensKop"/>
                    </w:pPr>
                    <w:r>
                      <w:t>Bijlagen</w:t>
                    </w:r>
                  </w:p>
                  <w:p w14:paraId="06A5A660" w14:textId="77777777" w:rsidR="00BC6BE4" w:rsidRDefault="000D0E70">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577EA29" wp14:editId="545EF2F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73A1DB6" w14:textId="77777777" w:rsidR="00BC6BE4" w:rsidRDefault="000D0E7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577EA2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73A1DB6" w14:textId="77777777" w:rsidR="00BC6BE4" w:rsidRDefault="000D0E7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9B15C3" wp14:editId="2D9ED09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51AC8A8" w14:textId="7B5998FB" w:rsidR="00641A05" w:rsidRDefault="005A24DA">
                          <w:pPr>
                            <w:pStyle w:val="Rubricering"/>
                          </w:pPr>
                          <w:r>
                            <w:fldChar w:fldCharType="begin"/>
                          </w:r>
                          <w:r>
                            <w:instrText xml:space="preserve"> DOCPROPERTY  "Rubricering"  \* MERGEFORMAT </w:instrText>
                          </w:r>
                          <w:r>
                            <w:fldChar w:fldCharType="end"/>
                          </w:r>
                        </w:p>
                        <w:p w14:paraId="1F90BB76" w14:textId="77777777" w:rsidR="00BC6BE4" w:rsidRDefault="000D0E7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99B15C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51AC8A8" w14:textId="7B5998FB" w:rsidR="00641A05" w:rsidRDefault="005A24DA">
                    <w:pPr>
                      <w:pStyle w:val="Rubricering"/>
                    </w:pPr>
                    <w:r>
                      <w:fldChar w:fldCharType="begin"/>
                    </w:r>
                    <w:r>
                      <w:instrText xml:space="preserve"> DOCPROPERTY  "Rubricering"  \* MERGEFORMAT </w:instrText>
                    </w:r>
                    <w:r>
                      <w:fldChar w:fldCharType="end"/>
                    </w:r>
                  </w:p>
                  <w:p w14:paraId="1F90BB76" w14:textId="77777777" w:rsidR="00BC6BE4" w:rsidRDefault="000D0E7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B579F7" wp14:editId="0D14C04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121DA78" w14:textId="77777777" w:rsidR="00641A05" w:rsidRDefault="005A24D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0B579F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121DA78" w14:textId="77777777" w:rsidR="00641A05" w:rsidRDefault="005A24D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0219C44" wp14:editId="5474BE2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C6BE4" w14:paraId="6AE8A8E0" w14:textId="77777777">
                            <w:trPr>
                              <w:trHeight w:val="200"/>
                            </w:trPr>
                            <w:tc>
                              <w:tcPr>
                                <w:tcW w:w="1140" w:type="dxa"/>
                              </w:tcPr>
                              <w:p w14:paraId="2C0871F4" w14:textId="77777777" w:rsidR="00BC6BE4" w:rsidRDefault="00BC6BE4"/>
                            </w:tc>
                            <w:tc>
                              <w:tcPr>
                                <w:tcW w:w="5400" w:type="dxa"/>
                              </w:tcPr>
                              <w:p w14:paraId="5B085D1B" w14:textId="77777777" w:rsidR="00BC6BE4" w:rsidRDefault="00BC6BE4"/>
                            </w:tc>
                          </w:tr>
                          <w:tr w:rsidR="00BC6BE4" w14:paraId="720B152C" w14:textId="77777777">
                            <w:trPr>
                              <w:trHeight w:val="240"/>
                            </w:trPr>
                            <w:tc>
                              <w:tcPr>
                                <w:tcW w:w="1140" w:type="dxa"/>
                              </w:tcPr>
                              <w:p w14:paraId="7AA391EE" w14:textId="77777777" w:rsidR="00BC6BE4" w:rsidRDefault="000D0E70">
                                <w:r>
                                  <w:t>Datum</w:t>
                                </w:r>
                              </w:p>
                            </w:tc>
                            <w:tc>
                              <w:tcPr>
                                <w:tcW w:w="5400" w:type="dxa"/>
                              </w:tcPr>
                              <w:p w14:paraId="702261B3" w14:textId="68BC5DC2" w:rsidR="00BC6BE4" w:rsidRDefault="00826553">
                                <w:r>
                                  <w:t>16 oktober 2024</w:t>
                                </w:r>
                              </w:p>
                            </w:tc>
                          </w:tr>
                          <w:tr w:rsidR="00BC6BE4" w14:paraId="21A99BE6" w14:textId="77777777">
                            <w:trPr>
                              <w:trHeight w:val="240"/>
                            </w:trPr>
                            <w:tc>
                              <w:tcPr>
                                <w:tcW w:w="1140" w:type="dxa"/>
                              </w:tcPr>
                              <w:p w14:paraId="2E3830A5" w14:textId="77777777" w:rsidR="00BC6BE4" w:rsidRDefault="000D0E70">
                                <w:r>
                                  <w:t>Betreft</w:t>
                                </w:r>
                              </w:p>
                            </w:tc>
                            <w:tc>
                              <w:tcPr>
                                <w:tcW w:w="5400" w:type="dxa"/>
                              </w:tcPr>
                              <w:p w14:paraId="3CAF06EE" w14:textId="63046F40" w:rsidR="00641A05" w:rsidRDefault="005A24DA">
                                <w:r>
                                  <w:fldChar w:fldCharType="begin"/>
                                </w:r>
                                <w:r>
                                  <w:instrText xml:space="preserve"> DOCPROPERTY  "Onderwerp"  \* MERGEFORMAT </w:instrText>
                                </w:r>
                                <w:r>
                                  <w:fldChar w:fldCharType="separate"/>
                                </w:r>
                                <w:r w:rsidR="00826553">
                                  <w:t xml:space="preserve">Kabinetsreactie publicatie </w:t>
                                </w:r>
                                <w:proofErr w:type="spellStart"/>
                                <w:r w:rsidR="00826553">
                                  <w:t>NGO's</w:t>
                                </w:r>
                                <w:proofErr w:type="spellEnd"/>
                                <w:r w:rsidR="00826553">
                                  <w:t xml:space="preserve"> over het Mozambique LNG-project</w:t>
                                </w:r>
                                <w:r>
                                  <w:fldChar w:fldCharType="end"/>
                                </w:r>
                              </w:p>
                            </w:tc>
                          </w:tr>
                          <w:tr w:rsidR="00BC6BE4" w14:paraId="491F327B" w14:textId="77777777">
                            <w:trPr>
                              <w:trHeight w:val="200"/>
                            </w:trPr>
                            <w:tc>
                              <w:tcPr>
                                <w:tcW w:w="1140" w:type="dxa"/>
                              </w:tcPr>
                              <w:p w14:paraId="02CE8C51" w14:textId="77777777" w:rsidR="00BC6BE4" w:rsidRDefault="00BC6BE4"/>
                            </w:tc>
                            <w:tc>
                              <w:tcPr>
                                <w:tcW w:w="4738" w:type="dxa"/>
                              </w:tcPr>
                              <w:p w14:paraId="48E9B706" w14:textId="77777777" w:rsidR="00BC6BE4" w:rsidRDefault="00BC6BE4"/>
                            </w:tc>
                          </w:tr>
                        </w:tbl>
                        <w:p w14:paraId="4CE0663C" w14:textId="77777777" w:rsidR="0018583F" w:rsidRDefault="0018583F"/>
                      </w:txbxContent>
                    </wps:txbx>
                    <wps:bodyPr vert="horz" wrap="square" lIns="0" tIns="0" rIns="0" bIns="0" anchor="t" anchorCtr="0"/>
                  </wps:wsp>
                </a:graphicData>
              </a:graphic>
            </wp:anchor>
          </w:drawing>
        </mc:Choice>
        <mc:Fallback>
          <w:pict>
            <v:shape w14:anchorId="70219C4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C6BE4" w14:paraId="6AE8A8E0" w14:textId="77777777">
                      <w:trPr>
                        <w:trHeight w:val="200"/>
                      </w:trPr>
                      <w:tc>
                        <w:tcPr>
                          <w:tcW w:w="1140" w:type="dxa"/>
                        </w:tcPr>
                        <w:p w14:paraId="2C0871F4" w14:textId="77777777" w:rsidR="00BC6BE4" w:rsidRDefault="00BC6BE4"/>
                      </w:tc>
                      <w:tc>
                        <w:tcPr>
                          <w:tcW w:w="5400" w:type="dxa"/>
                        </w:tcPr>
                        <w:p w14:paraId="5B085D1B" w14:textId="77777777" w:rsidR="00BC6BE4" w:rsidRDefault="00BC6BE4"/>
                      </w:tc>
                    </w:tr>
                    <w:tr w:rsidR="00BC6BE4" w14:paraId="720B152C" w14:textId="77777777">
                      <w:trPr>
                        <w:trHeight w:val="240"/>
                      </w:trPr>
                      <w:tc>
                        <w:tcPr>
                          <w:tcW w:w="1140" w:type="dxa"/>
                        </w:tcPr>
                        <w:p w14:paraId="7AA391EE" w14:textId="77777777" w:rsidR="00BC6BE4" w:rsidRDefault="000D0E70">
                          <w:r>
                            <w:t>Datum</w:t>
                          </w:r>
                        </w:p>
                      </w:tc>
                      <w:tc>
                        <w:tcPr>
                          <w:tcW w:w="5400" w:type="dxa"/>
                        </w:tcPr>
                        <w:p w14:paraId="702261B3" w14:textId="68BC5DC2" w:rsidR="00BC6BE4" w:rsidRDefault="00826553">
                          <w:r>
                            <w:t>16 oktober 2024</w:t>
                          </w:r>
                        </w:p>
                      </w:tc>
                    </w:tr>
                    <w:tr w:rsidR="00BC6BE4" w14:paraId="21A99BE6" w14:textId="77777777">
                      <w:trPr>
                        <w:trHeight w:val="240"/>
                      </w:trPr>
                      <w:tc>
                        <w:tcPr>
                          <w:tcW w:w="1140" w:type="dxa"/>
                        </w:tcPr>
                        <w:p w14:paraId="2E3830A5" w14:textId="77777777" w:rsidR="00BC6BE4" w:rsidRDefault="000D0E70">
                          <w:r>
                            <w:t>Betreft</w:t>
                          </w:r>
                        </w:p>
                      </w:tc>
                      <w:tc>
                        <w:tcPr>
                          <w:tcW w:w="5400" w:type="dxa"/>
                        </w:tcPr>
                        <w:p w14:paraId="3CAF06EE" w14:textId="63046F40" w:rsidR="00641A05" w:rsidRDefault="005A24DA">
                          <w:r>
                            <w:fldChar w:fldCharType="begin"/>
                          </w:r>
                          <w:r>
                            <w:instrText xml:space="preserve"> DOCPROPERTY  "Onderwerp"  \* MERGEFORMAT </w:instrText>
                          </w:r>
                          <w:r>
                            <w:fldChar w:fldCharType="separate"/>
                          </w:r>
                          <w:r w:rsidR="00826553">
                            <w:t xml:space="preserve">Kabinetsreactie publicatie </w:t>
                          </w:r>
                          <w:proofErr w:type="spellStart"/>
                          <w:r w:rsidR="00826553">
                            <w:t>NGO's</w:t>
                          </w:r>
                          <w:proofErr w:type="spellEnd"/>
                          <w:r w:rsidR="00826553">
                            <w:t xml:space="preserve"> over het Mozambique LNG-project</w:t>
                          </w:r>
                          <w:r>
                            <w:fldChar w:fldCharType="end"/>
                          </w:r>
                        </w:p>
                      </w:tc>
                    </w:tr>
                    <w:tr w:rsidR="00BC6BE4" w14:paraId="491F327B" w14:textId="77777777">
                      <w:trPr>
                        <w:trHeight w:val="200"/>
                      </w:trPr>
                      <w:tc>
                        <w:tcPr>
                          <w:tcW w:w="1140" w:type="dxa"/>
                        </w:tcPr>
                        <w:p w14:paraId="02CE8C51" w14:textId="77777777" w:rsidR="00BC6BE4" w:rsidRDefault="00BC6BE4"/>
                      </w:tc>
                      <w:tc>
                        <w:tcPr>
                          <w:tcW w:w="4738" w:type="dxa"/>
                        </w:tcPr>
                        <w:p w14:paraId="48E9B706" w14:textId="77777777" w:rsidR="00BC6BE4" w:rsidRDefault="00BC6BE4"/>
                      </w:tc>
                    </w:tr>
                  </w:tbl>
                  <w:p w14:paraId="4CE0663C" w14:textId="77777777" w:rsidR="0018583F" w:rsidRDefault="0018583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B0F70E" wp14:editId="29028FB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1799004" w14:textId="1D76CC01" w:rsidR="00641A05" w:rsidRDefault="005A24D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DB0F70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1799004" w14:textId="1D76CC01" w:rsidR="00641A05" w:rsidRDefault="005A24D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50C2E3" wp14:editId="4F51630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65BBF95" w14:textId="77777777" w:rsidR="0018583F" w:rsidRDefault="0018583F"/>
                      </w:txbxContent>
                    </wps:txbx>
                    <wps:bodyPr vert="horz" wrap="square" lIns="0" tIns="0" rIns="0" bIns="0" anchor="t" anchorCtr="0"/>
                  </wps:wsp>
                </a:graphicData>
              </a:graphic>
            </wp:anchor>
          </w:drawing>
        </mc:Choice>
        <mc:Fallback>
          <w:pict>
            <v:shape w14:anchorId="6250C2E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65BBF95" w14:textId="77777777" w:rsidR="0018583F" w:rsidRDefault="001858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F5141"/>
    <w:multiLevelType w:val="multilevel"/>
    <w:tmpl w:val="3453FF4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0D2B5F"/>
    <w:multiLevelType w:val="multilevel"/>
    <w:tmpl w:val="865E422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3626DE4"/>
    <w:multiLevelType w:val="multilevel"/>
    <w:tmpl w:val="AF17AD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BE88975"/>
    <w:multiLevelType w:val="multilevel"/>
    <w:tmpl w:val="A8EF08D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E00C0"/>
    <w:multiLevelType w:val="multilevel"/>
    <w:tmpl w:val="8CDF0A6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6EEB90"/>
    <w:multiLevelType w:val="multilevel"/>
    <w:tmpl w:val="7BB9E7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57522408">
    <w:abstractNumId w:val="0"/>
  </w:num>
  <w:num w:numId="2" w16cid:durableId="383414052">
    <w:abstractNumId w:val="4"/>
  </w:num>
  <w:num w:numId="3" w16cid:durableId="1518930599">
    <w:abstractNumId w:val="2"/>
  </w:num>
  <w:num w:numId="4" w16cid:durableId="1518420862">
    <w:abstractNumId w:val="5"/>
  </w:num>
  <w:num w:numId="5" w16cid:durableId="1012295768">
    <w:abstractNumId w:val="3"/>
  </w:num>
  <w:num w:numId="6" w16cid:durableId="164254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4"/>
    <w:rsid w:val="0000188E"/>
    <w:rsid w:val="00045427"/>
    <w:rsid w:val="000475BA"/>
    <w:rsid w:val="000524A6"/>
    <w:rsid w:val="000540CD"/>
    <w:rsid w:val="000940C5"/>
    <w:rsid w:val="000A1BDF"/>
    <w:rsid w:val="000B6717"/>
    <w:rsid w:val="000D0E70"/>
    <w:rsid w:val="00101297"/>
    <w:rsid w:val="00106E95"/>
    <w:rsid w:val="00141009"/>
    <w:rsid w:val="00163291"/>
    <w:rsid w:val="0018583F"/>
    <w:rsid w:val="001867B1"/>
    <w:rsid w:val="0018740A"/>
    <w:rsid w:val="001C0C6A"/>
    <w:rsid w:val="00227A8A"/>
    <w:rsid w:val="00230D6A"/>
    <w:rsid w:val="00231692"/>
    <w:rsid w:val="002427FD"/>
    <w:rsid w:val="0024471C"/>
    <w:rsid w:val="00251170"/>
    <w:rsid w:val="00254ACA"/>
    <w:rsid w:val="00266376"/>
    <w:rsid w:val="002A1743"/>
    <w:rsid w:val="002C3546"/>
    <w:rsid w:val="00311736"/>
    <w:rsid w:val="00313194"/>
    <w:rsid w:val="00377714"/>
    <w:rsid w:val="003B082C"/>
    <w:rsid w:val="003B33D1"/>
    <w:rsid w:val="003C0E81"/>
    <w:rsid w:val="003C2E3B"/>
    <w:rsid w:val="003C574A"/>
    <w:rsid w:val="003E3E2D"/>
    <w:rsid w:val="003E5DAA"/>
    <w:rsid w:val="003F0B98"/>
    <w:rsid w:val="003F5F70"/>
    <w:rsid w:val="00411CC4"/>
    <w:rsid w:val="00466589"/>
    <w:rsid w:val="00466B53"/>
    <w:rsid w:val="004A4D16"/>
    <w:rsid w:val="004F031E"/>
    <w:rsid w:val="004F7279"/>
    <w:rsid w:val="005032F9"/>
    <w:rsid w:val="00531F85"/>
    <w:rsid w:val="005A14B3"/>
    <w:rsid w:val="005A24DA"/>
    <w:rsid w:val="005C7F6E"/>
    <w:rsid w:val="005F482C"/>
    <w:rsid w:val="0061667B"/>
    <w:rsid w:val="00641A05"/>
    <w:rsid w:val="006444BB"/>
    <w:rsid w:val="00656872"/>
    <w:rsid w:val="00662303"/>
    <w:rsid w:val="00663476"/>
    <w:rsid w:val="00673534"/>
    <w:rsid w:val="00674E1F"/>
    <w:rsid w:val="00684095"/>
    <w:rsid w:val="00713DAD"/>
    <w:rsid w:val="00723459"/>
    <w:rsid w:val="00723F09"/>
    <w:rsid w:val="00733B80"/>
    <w:rsid w:val="00747CB4"/>
    <w:rsid w:val="0076704C"/>
    <w:rsid w:val="00787803"/>
    <w:rsid w:val="007907D8"/>
    <w:rsid w:val="007A4167"/>
    <w:rsid w:val="007C60B3"/>
    <w:rsid w:val="007D78B9"/>
    <w:rsid w:val="007E3E02"/>
    <w:rsid w:val="007F0D65"/>
    <w:rsid w:val="00805F78"/>
    <w:rsid w:val="0081450A"/>
    <w:rsid w:val="00817D77"/>
    <w:rsid w:val="00826553"/>
    <w:rsid w:val="0083306D"/>
    <w:rsid w:val="008437A2"/>
    <w:rsid w:val="00843EA4"/>
    <w:rsid w:val="00844196"/>
    <w:rsid w:val="00851E4F"/>
    <w:rsid w:val="00877B94"/>
    <w:rsid w:val="0088368D"/>
    <w:rsid w:val="008877A7"/>
    <w:rsid w:val="008957BA"/>
    <w:rsid w:val="008A5C39"/>
    <w:rsid w:val="008E64EC"/>
    <w:rsid w:val="00902383"/>
    <w:rsid w:val="00902F87"/>
    <w:rsid w:val="00952D04"/>
    <w:rsid w:val="009573D2"/>
    <w:rsid w:val="0098799F"/>
    <w:rsid w:val="00993A97"/>
    <w:rsid w:val="009B1902"/>
    <w:rsid w:val="009B5149"/>
    <w:rsid w:val="00A1088E"/>
    <w:rsid w:val="00A10FEB"/>
    <w:rsid w:val="00A172A2"/>
    <w:rsid w:val="00AB0E93"/>
    <w:rsid w:val="00AB23EB"/>
    <w:rsid w:val="00AB2576"/>
    <w:rsid w:val="00AF7DF0"/>
    <w:rsid w:val="00B40653"/>
    <w:rsid w:val="00B55F28"/>
    <w:rsid w:val="00B5648A"/>
    <w:rsid w:val="00BC2BC5"/>
    <w:rsid w:val="00BC6BE4"/>
    <w:rsid w:val="00BE2FFC"/>
    <w:rsid w:val="00BE3542"/>
    <w:rsid w:val="00C305D7"/>
    <w:rsid w:val="00C662CD"/>
    <w:rsid w:val="00C75849"/>
    <w:rsid w:val="00C94068"/>
    <w:rsid w:val="00C94FA1"/>
    <w:rsid w:val="00CE1963"/>
    <w:rsid w:val="00D0025F"/>
    <w:rsid w:val="00D17756"/>
    <w:rsid w:val="00D2533C"/>
    <w:rsid w:val="00D33D5C"/>
    <w:rsid w:val="00D67804"/>
    <w:rsid w:val="00DA167A"/>
    <w:rsid w:val="00DD2BC4"/>
    <w:rsid w:val="00E0295D"/>
    <w:rsid w:val="00E05CEB"/>
    <w:rsid w:val="00E40165"/>
    <w:rsid w:val="00E752D2"/>
    <w:rsid w:val="00E778DB"/>
    <w:rsid w:val="00ED61AD"/>
    <w:rsid w:val="00EF5E9F"/>
    <w:rsid w:val="00EF763A"/>
    <w:rsid w:val="00F22ECE"/>
    <w:rsid w:val="00F362C2"/>
    <w:rsid w:val="00F56C8F"/>
    <w:rsid w:val="00F61582"/>
    <w:rsid w:val="00F67DA2"/>
    <w:rsid w:val="00F80DE3"/>
    <w:rsid w:val="00F96D90"/>
    <w:rsid w:val="00FB6219"/>
    <w:rsid w:val="00FD38AA"/>
    <w:rsid w:val="00FE0091"/>
    <w:rsid w:val="00FE3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E1270CB"/>
  <w15:docId w15:val="{314585D6-2AC2-47D5-8396-2758B428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55F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5F28"/>
    <w:rPr>
      <w:rFonts w:ascii="Verdana" w:hAnsi="Verdana"/>
      <w:color w:val="000000"/>
      <w:sz w:val="18"/>
      <w:szCs w:val="18"/>
    </w:rPr>
  </w:style>
  <w:style w:type="paragraph" w:styleId="Voettekst">
    <w:name w:val="footer"/>
    <w:basedOn w:val="Standaard"/>
    <w:link w:val="VoettekstChar"/>
    <w:uiPriority w:val="99"/>
    <w:unhideWhenUsed/>
    <w:rsid w:val="00B55F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5F28"/>
    <w:rPr>
      <w:rFonts w:ascii="Verdana" w:hAnsi="Verdana"/>
      <w:color w:val="000000"/>
      <w:sz w:val="18"/>
      <w:szCs w:val="18"/>
    </w:rPr>
  </w:style>
  <w:style w:type="paragraph" w:styleId="Voetnoottekst">
    <w:name w:val="footnote text"/>
    <w:basedOn w:val="Standaard"/>
    <w:link w:val="VoetnoottekstChar"/>
    <w:uiPriority w:val="99"/>
    <w:semiHidden/>
    <w:unhideWhenUsed/>
    <w:rsid w:val="00B55F28"/>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B55F28"/>
    <w:rPr>
      <w:rFonts w:eastAsia="Times New Roman" w:cs="Times New Roman"/>
    </w:rPr>
  </w:style>
  <w:style w:type="character" w:styleId="Voetnootmarkering">
    <w:name w:val="footnote reference"/>
    <w:basedOn w:val="Standaardalinea-lettertype"/>
    <w:uiPriority w:val="99"/>
    <w:semiHidden/>
    <w:unhideWhenUsed/>
    <w:rsid w:val="00B55F28"/>
    <w:rPr>
      <w:vertAlign w:val="superscript"/>
    </w:rPr>
  </w:style>
  <w:style w:type="paragraph" w:styleId="Tekstopmerking">
    <w:name w:val="annotation text"/>
    <w:basedOn w:val="Standaard"/>
    <w:link w:val="TekstopmerkingChar"/>
    <w:uiPriority w:val="99"/>
    <w:unhideWhenUsed/>
    <w:rsid w:val="000940C5"/>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rsid w:val="000940C5"/>
    <w:rPr>
      <w:rFonts w:eastAsia="Times New Roman" w:cs="Times New Roman"/>
    </w:rPr>
  </w:style>
  <w:style w:type="character" w:styleId="Verwijzingopmerking">
    <w:name w:val="annotation reference"/>
    <w:basedOn w:val="Standaardalinea-lettertype"/>
    <w:uiPriority w:val="99"/>
    <w:semiHidden/>
    <w:unhideWhenUsed/>
    <w:rsid w:val="000940C5"/>
    <w:rPr>
      <w:sz w:val="16"/>
      <w:szCs w:val="16"/>
    </w:rPr>
  </w:style>
  <w:style w:type="paragraph" w:styleId="Revisie">
    <w:name w:val="Revision"/>
    <w:hidden/>
    <w:uiPriority w:val="99"/>
    <w:semiHidden/>
    <w:rsid w:val="004A4D1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A4D16"/>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4A4D16"/>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1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1586</ap:Words>
  <ap:Characters>8726</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publicatie NGO's over het Mozambique LNG-project</vt:lpstr>
    </vt:vector>
  </ap:TitlesOfParts>
  <ap:LinksUpToDate>false</ap:LinksUpToDate>
  <ap:CharactersWithSpaces>10292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2024-10-16T10:18:00.0000000Z</dcterms:created>
  <dcterms:modified xsi:type="dcterms:W3CDTF">2024-10-16T10:18:00.0000000Z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publicatie NGO's over het Mozambique LNG-project</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25 september 2024</vt:lpwstr>
  </property>
  <property fmtid="{D5CDD505-2E9C-101B-9397-08002B2CF9AE}" pid="13" name="Opgesteld door, Naam">
    <vt:lpwstr/>
  </property>
  <property fmtid="{D5CDD505-2E9C-101B-9397-08002B2CF9AE}" pid="14" name="Opgesteld door, Telefoonnummer">
    <vt:lpwstr>088-4428099</vt:lpwstr>
  </property>
  <property fmtid="{D5CDD505-2E9C-101B-9397-08002B2CF9AE}" pid="15" name="Kenmerk">
    <vt:lpwstr>2024-0000460719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publicatie NGO's over het Mozambique LNG-project</vt:lpwstr>
  </property>
  <property fmtid="{D5CDD505-2E9C-101B-9397-08002B2CF9AE}" pid="30" name="UwKenmerk">
    <vt:lpwstr>2024Z11262</vt:lpwstr>
  </property>
  <property fmtid="{D5CDD505-2E9C-101B-9397-08002B2CF9AE}" pid="31" name="MSIP_Label_6800fede-0e59-47ad-af95-4e63bbdb932d_Enabled">
    <vt:lpwstr>true</vt:lpwstr>
  </property>
  <property fmtid="{D5CDD505-2E9C-101B-9397-08002B2CF9AE}" pid="32" name="MSIP_Label_6800fede-0e59-47ad-af95-4e63bbdb932d_SetDate">
    <vt:lpwstr>2024-09-25T08:38:50Z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505559ea-325d-45e5-bf88-a4b5c17c4e32</vt:lpwstr>
  </property>
  <property fmtid="{D5CDD505-2E9C-101B-9397-08002B2CF9AE}" pid="37" name="MSIP_Label_6800fede-0e59-47ad-af95-4e63bbdb932d_ContentBits">
    <vt:lpwstr>0</vt:lpwstr>
  </property>
</Properties>
</file>