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32D" w:rsidRDefault="0031032D" w14:paraId="34E4A6D0" w14:textId="2FD16EC6">
      <w:pPr>
        <w:rPr>
          <w:sz w:val="36"/>
          <w:szCs w:val="36"/>
        </w:rPr>
      </w:pPr>
      <w:r>
        <w:rPr>
          <w:sz w:val="36"/>
          <w:szCs w:val="36"/>
        </w:rPr>
        <w:t>Ronde Tafel Commissie Europese Zaken Tweede Kamer over rechtstatelijke ontwikkelingen in de Europese Unie</w:t>
      </w:r>
    </w:p>
    <w:p w:rsidRPr="0031032D" w:rsidR="0031032D" w:rsidRDefault="0031032D" w14:paraId="0AB8E501" w14:textId="616A07F1">
      <w:pPr>
        <w:rPr>
          <w:sz w:val="28"/>
          <w:szCs w:val="28"/>
        </w:rPr>
      </w:pPr>
      <w:r w:rsidRPr="0031032D">
        <w:rPr>
          <w:sz w:val="28"/>
          <w:szCs w:val="28"/>
        </w:rPr>
        <w:t>23 oktober 2024</w:t>
      </w:r>
    </w:p>
    <w:p w:rsidRPr="002C2EA9" w:rsidR="002C2EA9" w:rsidRDefault="002C2EA9" w14:paraId="5D470A13" w14:textId="358C6922">
      <w:pPr>
        <w:rPr>
          <w:sz w:val="28"/>
          <w:szCs w:val="28"/>
        </w:rPr>
      </w:pPr>
      <w:r w:rsidRPr="002C2EA9">
        <w:rPr>
          <w:sz w:val="28"/>
          <w:szCs w:val="28"/>
        </w:rPr>
        <w:t>Kees Sterk, rechter en hoogleraar te Maastricht</w:t>
      </w:r>
    </w:p>
    <w:p w:rsidR="002C2EA9" w:rsidRDefault="002C2EA9" w14:paraId="7BBC0D80" w14:textId="77777777">
      <w:pPr>
        <w:rPr>
          <w:sz w:val="36"/>
          <w:szCs w:val="36"/>
        </w:rPr>
      </w:pPr>
    </w:p>
    <w:p w:rsidR="005D7994" w:rsidRDefault="005A308A" w14:paraId="5740D1C0" w14:textId="2A8642C3">
      <w:pPr>
        <w:rPr>
          <w:sz w:val="36"/>
          <w:szCs w:val="36"/>
        </w:rPr>
      </w:pPr>
      <w:r>
        <w:rPr>
          <w:sz w:val="36"/>
          <w:szCs w:val="36"/>
        </w:rPr>
        <w:t xml:space="preserve">Ronde </w:t>
      </w:r>
      <w:r w:rsidR="005D7994">
        <w:rPr>
          <w:sz w:val="36"/>
          <w:szCs w:val="36"/>
        </w:rPr>
        <w:t>2</w:t>
      </w:r>
      <w:r>
        <w:rPr>
          <w:sz w:val="36"/>
          <w:szCs w:val="36"/>
        </w:rPr>
        <w:t xml:space="preserve">: </w:t>
      </w:r>
      <w:r w:rsidR="005D7994">
        <w:rPr>
          <w:sz w:val="36"/>
          <w:szCs w:val="36"/>
        </w:rPr>
        <w:t>Handhaving van EU-normen met betrekking tot onafhankelijke rechtspraak in de lidstaten.</w:t>
      </w:r>
    </w:p>
    <w:p w:rsidR="005D7994" w:rsidRDefault="005D7994" w14:paraId="28A84551" w14:textId="77777777">
      <w:pPr>
        <w:rPr>
          <w:sz w:val="36"/>
          <w:szCs w:val="36"/>
        </w:rPr>
      </w:pPr>
    </w:p>
    <w:p w:rsidR="002159B3" w:rsidP="00244B3A" w:rsidRDefault="00244B3A" w14:paraId="3567AE2C" w14:textId="42140F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Handhaving van de EU-normen met betrekking tot onafhankelijke rechtspraak in de lidstaten is </w:t>
      </w:r>
      <w:r w:rsidR="00CE59C7">
        <w:rPr>
          <w:sz w:val="28"/>
          <w:szCs w:val="28"/>
        </w:rPr>
        <w:t xml:space="preserve">niet succesvol. </w:t>
      </w:r>
      <w:r w:rsidR="00123CBD">
        <w:rPr>
          <w:sz w:val="28"/>
          <w:szCs w:val="28"/>
        </w:rPr>
        <w:t xml:space="preserve">Zie Hongarije, Polen en andere lidstaten. </w:t>
      </w:r>
      <w:r w:rsidR="00CE59C7">
        <w:rPr>
          <w:sz w:val="28"/>
          <w:szCs w:val="28"/>
        </w:rPr>
        <w:t xml:space="preserve">De reden daarvoor is </w:t>
      </w:r>
      <w:r>
        <w:rPr>
          <w:sz w:val="28"/>
          <w:szCs w:val="28"/>
        </w:rPr>
        <w:t>niet een gebrek aan instrumenten</w:t>
      </w:r>
      <w:r w:rsidR="00CE59C7">
        <w:rPr>
          <w:sz w:val="28"/>
          <w:szCs w:val="28"/>
        </w:rPr>
        <w:t xml:space="preserve"> v</w:t>
      </w:r>
      <w:r w:rsidR="00DD125C">
        <w:rPr>
          <w:sz w:val="28"/>
          <w:szCs w:val="28"/>
        </w:rPr>
        <w:t>an</w:t>
      </w:r>
      <w:r w:rsidR="00CE59C7">
        <w:rPr>
          <w:sz w:val="28"/>
          <w:szCs w:val="28"/>
        </w:rPr>
        <w:t xml:space="preserve"> de Commissie en Raad</w:t>
      </w:r>
      <w:r>
        <w:rPr>
          <w:sz w:val="28"/>
          <w:szCs w:val="28"/>
        </w:rPr>
        <w:t>, maar een gebrek aan politieke wil bij de Commissie en de Raad.</w:t>
      </w:r>
    </w:p>
    <w:p w:rsidR="00244B3A" w:rsidP="00244B3A" w:rsidRDefault="00CE59C7" w14:paraId="474CDEB9" w14:textId="1F1B1DF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Commissie heeft </w:t>
      </w:r>
      <w:r w:rsidR="00244B3A">
        <w:rPr>
          <w:sz w:val="28"/>
          <w:szCs w:val="28"/>
        </w:rPr>
        <w:t xml:space="preserve">met betrekking tot Hongarije laat en halfslachtig  </w:t>
      </w:r>
      <w:r>
        <w:rPr>
          <w:sz w:val="28"/>
          <w:szCs w:val="28"/>
        </w:rPr>
        <w:t xml:space="preserve">geacteerd waardoor </w:t>
      </w:r>
      <w:r w:rsidR="00244B3A">
        <w:rPr>
          <w:sz w:val="28"/>
          <w:szCs w:val="28"/>
        </w:rPr>
        <w:t xml:space="preserve">Orban </w:t>
      </w:r>
      <w:r>
        <w:rPr>
          <w:sz w:val="28"/>
          <w:szCs w:val="28"/>
        </w:rPr>
        <w:t xml:space="preserve">inmiddels </w:t>
      </w:r>
      <w:r w:rsidR="00244B3A">
        <w:rPr>
          <w:sz w:val="28"/>
          <w:szCs w:val="28"/>
        </w:rPr>
        <w:t xml:space="preserve">de rechtspraak in zijn land </w:t>
      </w:r>
      <w:r>
        <w:rPr>
          <w:sz w:val="28"/>
          <w:szCs w:val="28"/>
        </w:rPr>
        <w:t xml:space="preserve">volledig </w:t>
      </w:r>
      <w:r w:rsidR="00244B3A">
        <w:rPr>
          <w:sz w:val="28"/>
          <w:szCs w:val="28"/>
        </w:rPr>
        <w:t xml:space="preserve">naar zijn hand </w:t>
      </w:r>
      <w:r>
        <w:rPr>
          <w:sz w:val="28"/>
          <w:szCs w:val="28"/>
        </w:rPr>
        <w:t xml:space="preserve">heeft </w:t>
      </w:r>
      <w:r w:rsidR="00244B3A">
        <w:rPr>
          <w:sz w:val="28"/>
          <w:szCs w:val="28"/>
        </w:rPr>
        <w:t>kunnen zetten.</w:t>
      </w:r>
    </w:p>
    <w:p w:rsidR="00244B3A" w:rsidP="00244B3A" w:rsidRDefault="00244B3A" w14:paraId="318E30B9" w14:textId="61B5EBD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 Commissie heeft met betrekking tot Polen laat inbreukprocedures gestart</w:t>
      </w:r>
      <w:r w:rsidR="00DD125C">
        <w:rPr>
          <w:sz w:val="28"/>
          <w:szCs w:val="28"/>
        </w:rPr>
        <w:t xml:space="preserve">, en daarbij niet altijd de belangrijkste problemen aangepakt:  </w:t>
      </w:r>
      <w:r>
        <w:rPr>
          <w:sz w:val="28"/>
          <w:szCs w:val="28"/>
        </w:rPr>
        <w:t>niet de politieke benoemingen</w:t>
      </w:r>
      <w:r w:rsidR="00CE59C7">
        <w:rPr>
          <w:sz w:val="28"/>
          <w:szCs w:val="28"/>
        </w:rPr>
        <w:t xml:space="preserve"> van rechters</w:t>
      </w:r>
      <w:r>
        <w:rPr>
          <w:sz w:val="28"/>
          <w:szCs w:val="28"/>
        </w:rPr>
        <w:t xml:space="preserve"> (inmiddels 3000)</w:t>
      </w:r>
      <w:r w:rsidR="00DD125C">
        <w:rPr>
          <w:sz w:val="28"/>
          <w:szCs w:val="28"/>
        </w:rPr>
        <w:t xml:space="preserve"> door de </w:t>
      </w:r>
      <w:proofErr w:type="spellStart"/>
      <w:r w:rsidR="00DD125C">
        <w:rPr>
          <w:sz w:val="28"/>
          <w:szCs w:val="28"/>
        </w:rPr>
        <w:t>neo</w:t>
      </w:r>
      <w:proofErr w:type="spellEnd"/>
      <w:r w:rsidR="00DD125C">
        <w:rPr>
          <w:sz w:val="28"/>
          <w:szCs w:val="28"/>
        </w:rPr>
        <w:t>-KRS (zie ronde 1)</w:t>
      </w:r>
      <w:r>
        <w:rPr>
          <w:sz w:val="28"/>
          <w:szCs w:val="28"/>
        </w:rPr>
        <w:t>.</w:t>
      </w:r>
    </w:p>
    <w:p w:rsidR="00CE59C7" w:rsidP="00244B3A" w:rsidRDefault="00244B3A" w14:paraId="0658C1CC" w14:textId="160E34B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 Commissie</w:t>
      </w:r>
      <w:r w:rsidR="00CE59C7">
        <w:rPr>
          <w:sz w:val="28"/>
          <w:szCs w:val="28"/>
        </w:rPr>
        <w:t xml:space="preserve"> blokkeerde gelden voor Hongarije op grond van het </w:t>
      </w:r>
      <w:proofErr w:type="spellStart"/>
      <w:r w:rsidR="00CE59C7">
        <w:rPr>
          <w:sz w:val="28"/>
          <w:szCs w:val="28"/>
        </w:rPr>
        <w:t>conditionaliteits</w:t>
      </w:r>
      <w:r w:rsidR="00123CBD">
        <w:rPr>
          <w:sz w:val="28"/>
          <w:szCs w:val="28"/>
        </w:rPr>
        <w:t>instrument</w:t>
      </w:r>
      <w:proofErr w:type="spellEnd"/>
      <w:r w:rsidR="00CE59C7">
        <w:rPr>
          <w:sz w:val="28"/>
          <w:szCs w:val="28"/>
        </w:rPr>
        <w:t xml:space="preserve">, maar laat zich vervolgens door Orban chanteren met veto’s op andere onderwerpen, zodat de gelden </w:t>
      </w:r>
      <w:r w:rsidR="002C2EA9">
        <w:rPr>
          <w:sz w:val="28"/>
          <w:szCs w:val="28"/>
        </w:rPr>
        <w:t xml:space="preserve">toch </w:t>
      </w:r>
      <w:r w:rsidR="00CE59C7">
        <w:rPr>
          <w:sz w:val="28"/>
          <w:szCs w:val="28"/>
        </w:rPr>
        <w:t>worden gedeblokkeerd. Hierdoor verandert er</w:t>
      </w:r>
      <w:r w:rsidR="00DD125C">
        <w:rPr>
          <w:sz w:val="28"/>
          <w:szCs w:val="28"/>
        </w:rPr>
        <w:t xml:space="preserve"> in de praktijk </w:t>
      </w:r>
      <w:r w:rsidR="00CE59C7">
        <w:rPr>
          <w:sz w:val="28"/>
          <w:szCs w:val="28"/>
        </w:rPr>
        <w:t xml:space="preserve">in Hongarije niets ten goede </w:t>
      </w:r>
      <w:r w:rsidR="002C2EA9">
        <w:rPr>
          <w:sz w:val="28"/>
          <w:szCs w:val="28"/>
        </w:rPr>
        <w:t xml:space="preserve">van de </w:t>
      </w:r>
      <w:r w:rsidR="00CE59C7">
        <w:rPr>
          <w:sz w:val="28"/>
          <w:szCs w:val="28"/>
        </w:rPr>
        <w:t>onafhankelijkheid van de rechtspraak</w:t>
      </w:r>
      <w:r w:rsidR="002C2EA9">
        <w:rPr>
          <w:sz w:val="28"/>
          <w:szCs w:val="28"/>
        </w:rPr>
        <w:t xml:space="preserve">, alhoewel de papieren werkelijkheid van de Commissie </w:t>
      </w:r>
      <w:r w:rsidR="00DD125C">
        <w:rPr>
          <w:sz w:val="28"/>
          <w:szCs w:val="28"/>
        </w:rPr>
        <w:t xml:space="preserve">soms </w:t>
      </w:r>
      <w:r w:rsidR="002C2EA9">
        <w:rPr>
          <w:sz w:val="28"/>
          <w:szCs w:val="28"/>
        </w:rPr>
        <w:t>anders suggereert</w:t>
      </w:r>
      <w:r w:rsidR="00CE59C7">
        <w:rPr>
          <w:sz w:val="28"/>
          <w:szCs w:val="28"/>
        </w:rPr>
        <w:t>.</w:t>
      </w:r>
    </w:p>
    <w:p w:rsidR="00CE59C7" w:rsidP="00244B3A" w:rsidRDefault="00CE59C7" w14:paraId="4FA9A760" w14:textId="3A084C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Uitbreiding van het handhavingsinstrumentarium van de Commissie is mooi, maar zet geen zoden aan de dijk, indien de Commissie steeds door de knieën gaat bij dreigen met veto’s (zie 4)</w:t>
      </w:r>
      <w:r w:rsidR="00DD125C">
        <w:rPr>
          <w:sz w:val="28"/>
          <w:szCs w:val="28"/>
        </w:rPr>
        <w:t>.</w:t>
      </w:r>
    </w:p>
    <w:p w:rsidR="0073482B" w:rsidP="00244B3A" w:rsidRDefault="00123CBD" w14:paraId="31D7EA7B" w14:textId="35584D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praktijk van de Commissie en de Raad veroorzaakt </w:t>
      </w:r>
      <w:r w:rsidR="00CE59C7">
        <w:rPr>
          <w:sz w:val="28"/>
          <w:szCs w:val="28"/>
        </w:rPr>
        <w:t xml:space="preserve">een </w:t>
      </w:r>
      <w:r w:rsidR="0073482B">
        <w:rPr>
          <w:sz w:val="28"/>
          <w:szCs w:val="28"/>
        </w:rPr>
        <w:t>lacune</w:t>
      </w:r>
      <w:r w:rsidR="00CE59C7">
        <w:rPr>
          <w:sz w:val="28"/>
          <w:szCs w:val="28"/>
        </w:rPr>
        <w:t xml:space="preserve"> in de handhaving van het EU-recht</w:t>
      </w:r>
      <w:r w:rsidR="002C2EA9">
        <w:rPr>
          <w:sz w:val="28"/>
          <w:szCs w:val="28"/>
        </w:rPr>
        <w:t xml:space="preserve"> op dit onderwerp</w:t>
      </w:r>
      <w:r w:rsidR="00CE59C7">
        <w:rPr>
          <w:sz w:val="28"/>
          <w:szCs w:val="28"/>
        </w:rPr>
        <w:t xml:space="preserve">. De dieperliggende oorzaak </w:t>
      </w:r>
      <w:r>
        <w:rPr>
          <w:sz w:val="28"/>
          <w:szCs w:val="28"/>
        </w:rPr>
        <w:t xml:space="preserve">van de genoemde praktijk </w:t>
      </w:r>
      <w:r w:rsidR="00CE59C7">
        <w:rPr>
          <w:sz w:val="28"/>
          <w:szCs w:val="28"/>
        </w:rPr>
        <w:t xml:space="preserve">is dat de rol van de Commissie steeds politieker is geworden en nog steeds politieker wordt (corona, </w:t>
      </w:r>
      <w:r w:rsidR="00CE59C7">
        <w:rPr>
          <w:sz w:val="28"/>
          <w:szCs w:val="28"/>
        </w:rPr>
        <w:lastRenderedPageBreak/>
        <w:t>immigratie, defensie</w:t>
      </w:r>
      <w:r w:rsidR="0073482B">
        <w:rPr>
          <w:sz w:val="28"/>
          <w:szCs w:val="28"/>
        </w:rPr>
        <w:t>, Ukraine</w:t>
      </w:r>
      <w:r w:rsidR="00CE59C7">
        <w:rPr>
          <w:sz w:val="28"/>
          <w:szCs w:val="28"/>
        </w:rPr>
        <w:t>)</w:t>
      </w:r>
      <w:r w:rsidR="0073482B">
        <w:rPr>
          <w:sz w:val="28"/>
          <w:szCs w:val="28"/>
        </w:rPr>
        <w:t>. Deze politieke rol heeft in de praktijk prioriteit boven de traditionele taak van handhaven van het EU-recht met betrekking tot de onafhankelijkheid van nationale rechters.</w:t>
      </w:r>
    </w:p>
    <w:p w:rsidR="0073482B" w:rsidP="00244B3A" w:rsidRDefault="0073482B" w14:paraId="410ED95E" w14:textId="2481237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Voor deze lacune (zie 6) moeten oplossingen gevonden worden, wil het systeem van de Europese Unie </w:t>
      </w:r>
      <w:r w:rsidR="002C2EA9">
        <w:rPr>
          <w:sz w:val="28"/>
          <w:szCs w:val="28"/>
        </w:rPr>
        <w:t xml:space="preserve">op de langere termijn </w:t>
      </w:r>
      <w:r>
        <w:rPr>
          <w:sz w:val="28"/>
          <w:szCs w:val="28"/>
        </w:rPr>
        <w:t xml:space="preserve">niet imploderen. </w:t>
      </w:r>
    </w:p>
    <w:p w:rsidR="00123CBD" w:rsidP="00244B3A" w:rsidRDefault="0073482B" w14:paraId="465BE7F1" w14:textId="01FDDD7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Vier Europese rechterlijke organisatie bieden een oplossing voor een klein deel van het probleem. Zij betogen dat zij bevoegd moeten worden om tegen de Commissie en de Raad te procederen, </w:t>
      </w:r>
      <w:r w:rsidR="002C2EA9">
        <w:rPr>
          <w:sz w:val="28"/>
          <w:szCs w:val="28"/>
        </w:rPr>
        <w:t>indien, en voor zover</w:t>
      </w:r>
      <w:r>
        <w:rPr>
          <w:sz w:val="28"/>
          <w:szCs w:val="28"/>
        </w:rPr>
        <w:t xml:space="preserve"> deze wezenlijke schendingen van de onafhankelijkheid van nationale rechters niet aanpakken met inbreukprocedures, of met toepassing van het </w:t>
      </w:r>
      <w:proofErr w:type="spellStart"/>
      <w:r>
        <w:rPr>
          <w:sz w:val="28"/>
          <w:szCs w:val="28"/>
        </w:rPr>
        <w:t>conditionaliteits</w:t>
      </w:r>
      <w:r w:rsidR="002C2EA9">
        <w:rPr>
          <w:sz w:val="28"/>
          <w:szCs w:val="28"/>
        </w:rPr>
        <w:t>instrument</w:t>
      </w:r>
      <w:proofErr w:type="spellEnd"/>
      <w:r>
        <w:rPr>
          <w:sz w:val="28"/>
          <w:szCs w:val="28"/>
        </w:rPr>
        <w:t>, of door de knieën gaan bij dreiging met veto</w:t>
      </w:r>
      <w:r w:rsidR="002C2EA9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2C2EA9">
        <w:rPr>
          <w:sz w:val="28"/>
          <w:szCs w:val="28"/>
        </w:rPr>
        <w:t xml:space="preserve"> van regeringsleiders</w:t>
      </w:r>
      <w:r>
        <w:rPr>
          <w:sz w:val="28"/>
          <w:szCs w:val="28"/>
        </w:rPr>
        <w:t xml:space="preserve">. Zou hun betoog gehonoreerd worden,  dan leidt dat ertoe dat de Commissie en de Raad niet meer de vrijheid hebben een politieke deal te sluiten </w:t>
      </w:r>
      <w:r w:rsidR="002C2EA9">
        <w:rPr>
          <w:sz w:val="28"/>
          <w:szCs w:val="28"/>
        </w:rPr>
        <w:t xml:space="preserve">met regeringsleiders </w:t>
      </w:r>
      <w:r>
        <w:rPr>
          <w:sz w:val="28"/>
          <w:szCs w:val="28"/>
        </w:rPr>
        <w:t>over</w:t>
      </w:r>
      <w:r w:rsidR="002C2EA9">
        <w:rPr>
          <w:sz w:val="28"/>
          <w:szCs w:val="28"/>
        </w:rPr>
        <w:t xml:space="preserve"> schendingen van</w:t>
      </w:r>
      <w:r>
        <w:rPr>
          <w:sz w:val="28"/>
          <w:szCs w:val="28"/>
        </w:rPr>
        <w:t xml:space="preserve"> onafhankelijke rechtspraak</w:t>
      </w:r>
      <w:r w:rsidR="00DD125C">
        <w:rPr>
          <w:sz w:val="28"/>
          <w:szCs w:val="28"/>
        </w:rPr>
        <w:t xml:space="preserve"> in de landen van die regeringsleiders</w:t>
      </w:r>
      <w:r>
        <w:rPr>
          <w:sz w:val="28"/>
          <w:szCs w:val="28"/>
        </w:rPr>
        <w:t xml:space="preserve">. </w:t>
      </w:r>
      <w:r w:rsidR="00123CBD">
        <w:rPr>
          <w:sz w:val="28"/>
          <w:szCs w:val="28"/>
        </w:rPr>
        <w:t xml:space="preserve">Ze zijn dan niet meer vatbaar voor chantage met veto’s. </w:t>
      </w:r>
    </w:p>
    <w:p w:rsidRPr="00244B3A" w:rsidR="00244B3A" w:rsidP="00244B3A" w:rsidRDefault="00123CBD" w14:paraId="67AE96AA" w14:textId="735ECB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procedure van de vier rechterlijke organisaties is </w:t>
      </w:r>
      <w:r w:rsidR="00DD125C">
        <w:rPr>
          <w:sz w:val="28"/>
          <w:szCs w:val="28"/>
        </w:rPr>
        <w:t xml:space="preserve">sinds 14 augustus 2024 </w:t>
      </w:r>
      <w:r>
        <w:rPr>
          <w:sz w:val="28"/>
          <w:szCs w:val="28"/>
        </w:rPr>
        <w:t>aanhangig bij het Europese Hof van Justitie</w:t>
      </w:r>
      <w:r w:rsidR="002C2EA9">
        <w:rPr>
          <w:sz w:val="28"/>
          <w:szCs w:val="28"/>
        </w:rPr>
        <w:t xml:space="preserve"> onder nummer </w:t>
      </w:r>
      <w:r w:rsidR="00DD125C">
        <w:rPr>
          <w:sz w:val="28"/>
          <w:szCs w:val="28"/>
        </w:rPr>
        <w:t>C-555/24</w:t>
      </w:r>
      <w:r w:rsidR="002C2EA9">
        <w:rPr>
          <w:sz w:val="28"/>
          <w:szCs w:val="28"/>
        </w:rPr>
        <w:t>.</w:t>
      </w:r>
      <w:r w:rsidR="0073482B">
        <w:rPr>
          <w:sz w:val="28"/>
          <w:szCs w:val="28"/>
        </w:rPr>
        <w:t xml:space="preserve">    </w:t>
      </w:r>
      <w:r w:rsidR="00CE59C7">
        <w:rPr>
          <w:sz w:val="28"/>
          <w:szCs w:val="28"/>
        </w:rPr>
        <w:t xml:space="preserve"> </w:t>
      </w:r>
      <w:r w:rsidR="00244B3A">
        <w:rPr>
          <w:sz w:val="28"/>
          <w:szCs w:val="28"/>
        </w:rPr>
        <w:t xml:space="preserve"> </w:t>
      </w:r>
    </w:p>
    <w:sectPr w:rsidRPr="00244B3A" w:rsidR="00244B3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930"/>
    <w:multiLevelType w:val="hybridMultilevel"/>
    <w:tmpl w:val="8CEA5C34"/>
    <w:lvl w:ilvl="0" w:tplc="0136E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D4F"/>
    <w:multiLevelType w:val="hybridMultilevel"/>
    <w:tmpl w:val="AA040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70B4"/>
    <w:multiLevelType w:val="hybridMultilevel"/>
    <w:tmpl w:val="DFC405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519">
    <w:abstractNumId w:val="2"/>
  </w:num>
  <w:num w:numId="2" w16cid:durableId="874779758">
    <w:abstractNumId w:val="0"/>
  </w:num>
  <w:num w:numId="3" w16cid:durableId="96038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E"/>
    <w:rsid w:val="00065ABF"/>
    <w:rsid w:val="00087EAF"/>
    <w:rsid w:val="00123CBD"/>
    <w:rsid w:val="001862EA"/>
    <w:rsid w:val="002159B3"/>
    <w:rsid w:val="00225409"/>
    <w:rsid w:val="0023634B"/>
    <w:rsid w:val="00244B3A"/>
    <w:rsid w:val="00284040"/>
    <w:rsid w:val="002C2EA9"/>
    <w:rsid w:val="002C6AB8"/>
    <w:rsid w:val="0031032D"/>
    <w:rsid w:val="00381953"/>
    <w:rsid w:val="00457665"/>
    <w:rsid w:val="004807BA"/>
    <w:rsid w:val="004E4C66"/>
    <w:rsid w:val="004F394E"/>
    <w:rsid w:val="005A308A"/>
    <w:rsid w:val="005D7994"/>
    <w:rsid w:val="006B27D8"/>
    <w:rsid w:val="006D0984"/>
    <w:rsid w:val="00723002"/>
    <w:rsid w:val="0073482B"/>
    <w:rsid w:val="007C3837"/>
    <w:rsid w:val="008D782B"/>
    <w:rsid w:val="00927BA1"/>
    <w:rsid w:val="009A72C5"/>
    <w:rsid w:val="00AD2768"/>
    <w:rsid w:val="00BA190A"/>
    <w:rsid w:val="00C158D5"/>
    <w:rsid w:val="00C774C7"/>
    <w:rsid w:val="00CE59C7"/>
    <w:rsid w:val="00CF07B7"/>
    <w:rsid w:val="00D43F82"/>
    <w:rsid w:val="00D570BD"/>
    <w:rsid w:val="00DD125C"/>
    <w:rsid w:val="00E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4ED"/>
  <w15:chartTrackingRefBased/>
  <w15:docId w15:val="{21F2B822-B616-4DE6-B5A3-F54E1A5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9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9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4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94E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4E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94E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94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94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94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94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F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94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94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94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9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4E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F39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472</ap:Words>
  <ap:Characters>2602</ap:Characters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2024-10-13T11:28:00.0000000Z</dcterms:created>
  <dcterms:modified xsi:type="dcterms:W3CDTF">2024-10-13T12:27:00.0000000Z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e0e3f2-e1d2-4d64-96ed-2c56cf223811_Enabled">
    <vt:lpwstr>true</vt:lpwstr>
  </property>
  <property fmtid="{D5CDD505-2E9C-101B-9397-08002B2CF9AE}" pid="3" name="MSIP_Label_b1e0e3f2-e1d2-4d64-96ed-2c56cf223811_SetDate">
    <vt:lpwstr>2024-10-11T14:52:43Z</vt:lpwstr>
  </property>
  <property fmtid="{D5CDD505-2E9C-101B-9397-08002B2CF9AE}" pid="4" name="MSIP_Label_b1e0e3f2-e1d2-4d64-96ed-2c56cf223811_Method">
    <vt:lpwstr>Privileged</vt:lpwstr>
  </property>
  <property fmtid="{D5CDD505-2E9C-101B-9397-08002B2CF9AE}" pid="5" name="MSIP_Label_b1e0e3f2-e1d2-4d64-96ed-2c56cf223811_Name">
    <vt:lpwstr>Test label</vt:lpwstr>
  </property>
  <property fmtid="{D5CDD505-2E9C-101B-9397-08002B2CF9AE}" pid="6" name="MSIP_Label_b1e0e3f2-e1d2-4d64-96ed-2c56cf223811_SiteId">
    <vt:lpwstr>4a7f237b-3fd4-4839-8175-58ce30110251</vt:lpwstr>
  </property>
  <property fmtid="{D5CDD505-2E9C-101B-9397-08002B2CF9AE}" pid="7" name="MSIP_Label_b1e0e3f2-e1d2-4d64-96ed-2c56cf223811_ActionId">
    <vt:lpwstr>406bf7d8-ed65-45fb-8d62-15e9acf48805</vt:lpwstr>
  </property>
  <property fmtid="{D5CDD505-2E9C-101B-9397-08002B2CF9AE}" pid="8" name="MSIP_Label_b1e0e3f2-e1d2-4d64-96ed-2c56cf223811_ContentBits">
    <vt:lpwstr>0</vt:lpwstr>
  </property>
</Properties>
</file>