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5C9D" w:rsidP="00485C9D" w:rsidRDefault="00AA03D3" w14:paraId="411A8001" w14:textId="2996382D">
      <w:pPr>
        <w:tabs>
          <w:tab w:val="left" w:pos="993"/>
        </w:tabs>
        <w:ind w:left="993" w:hanging="993"/>
      </w:pPr>
      <w:r>
        <w:rPr>
          <w:b/>
        </w:rPr>
        <w:t>36 608</w:t>
      </w:r>
      <w:r>
        <w:rPr>
          <w:b/>
        </w:rPr>
        <w:tab/>
      </w:r>
      <w:r w:rsidR="00485C9D">
        <w:rPr>
          <w:b/>
        </w:rPr>
        <w:t>Wijziging van de Wet verlaging eigen bijdrage huurtoeslag, de Wet op de huurtoeslag en enkele andere wetten ter verbetering van de koopkracht en vereenvoudiging van de regeling</w:t>
      </w:r>
    </w:p>
    <w:p w:rsidR="00485C9D" w:rsidP="00485C9D" w:rsidRDefault="00485C9D" w14:paraId="30AD6E25" w14:textId="77777777">
      <w:pPr>
        <w:tabs>
          <w:tab w:val="left" w:pos="1418"/>
        </w:tabs>
      </w:pPr>
    </w:p>
    <w:p w:rsidR="00485C9D" w:rsidP="00485C9D" w:rsidRDefault="00485C9D" w14:paraId="08675BBC" w14:textId="77777777">
      <w:pPr>
        <w:tabs>
          <w:tab w:val="left" w:pos="1418"/>
        </w:tabs>
      </w:pPr>
    </w:p>
    <w:p w:rsidR="00485C9D" w:rsidP="00485C9D" w:rsidRDefault="00485C9D" w14:paraId="0036EA0E" w14:textId="77777777">
      <w:pPr>
        <w:tabs>
          <w:tab w:val="left" w:pos="1418"/>
        </w:tabs>
      </w:pPr>
      <w:r>
        <w:rPr>
          <w:b/>
        </w:rPr>
        <w:t>NOTA VAN WIJZIGING</w:t>
      </w:r>
    </w:p>
    <w:p w:rsidR="00485C9D" w:rsidP="00485C9D" w:rsidRDefault="00485C9D" w14:paraId="55BDDBC0" w14:textId="77777777">
      <w:pPr>
        <w:tabs>
          <w:tab w:val="left" w:pos="1418"/>
        </w:tabs>
      </w:pPr>
    </w:p>
    <w:p w:rsidR="00485C9D" w:rsidP="00485C9D" w:rsidRDefault="00485C9D" w14:paraId="6FA42539" w14:textId="77777777">
      <w:pPr>
        <w:tabs>
          <w:tab w:val="left" w:pos="1418"/>
        </w:tabs>
      </w:pPr>
      <w:r>
        <w:t>Het voorstel van wet wordt als volgt gewijzigd:</w:t>
      </w:r>
    </w:p>
    <w:p w:rsidR="00485C9D" w:rsidP="00485C9D" w:rsidRDefault="00485C9D" w14:paraId="0A8941DF" w14:textId="77777777">
      <w:pPr>
        <w:tabs>
          <w:tab w:val="left" w:pos="1418"/>
        </w:tabs>
      </w:pPr>
    </w:p>
    <w:p w:rsidR="00AA03D3" w:rsidP="00485C9D" w:rsidRDefault="00AA03D3" w14:paraId="6C43473C" w14:textId="7134348F">
      <w:pPr>
        <w:tabs>
          <w:tab w:val="left" w:pos="1418"/>
        </w:tabs>
      </w:pPr>
      <w:r>
        <w:t>A</w:t>
      </w:r>
    </w:p>
    <w:p w:rsidR="00AA03D3" w:rsidP="00485C9D" w:rsidRDefault="00AA03D3" w14:paraId="574ACE1B" w14:textId="77777777">
      <w:pPr>
        <w:tabs>
          <w:tab w:val="left" w:pos="1418"/>
        </w:tabs>
      </w:pPr>
    </w:p>
    <w:p w:rsidR="00AA03D3" w:rsidP="00485C9D" w:rsidRDefault="00AA03D3" w14:paraId="68B3D9FE" w14:textId="3B21AA8F">
      <w:pPr>
        <w:tabs>
          <w:tab w:val="left" w:pos="1418"/>
        </w:tabs>
      </w:pPr>
      <w:r>
        <w:t>Artikel II wordt als volgt gewijzigd:</w:t>
      </w:r>
    </w:p>
    <w:p w:rsidR="00AA03D3" w:rsidP="00485C9D" w:rsidRDefault="00AA03D3" w14:paraId="2792C4AA" w14:textId="77777777">
      <w:pPr>
        <w:tabs>
          <w:tab w:val="left" w:pos="1418"/>
        </w:tabs>
      </w:pPr>
    </w:p>
    <w:p w:rsidR="00AA03D3" w:rsidP="00AA03D3" w:rsidRDefault="00AA03D3" w14:paraId="38E78C01" w14:textId="77777777">
      <w:pPr>
        <w:tabs>
          <w:tab w:val="left" w:pos="1418"/>
        </w:tabs>
      </w:pPr>
      <w:r>
        <w:t>1. De onderdelen C en I vervallen.</w:t>
      </w:r>
    </w:p>
    <w:p w:rsidR="00AA03D3" w:rsidP="00AA03D3" w:rsidRDefault="00AA03D3" w14:paraId="7481570B" w14:textId="0DC77BDD">
      <w:pPr>
        <w:tabs>
          <w:tab w:val="left" w:pos="1418"/>
        </w:tabs>
      </w:pPr>
      <w:r>
        <w:t xml:space="preserve"> </w:t>
      </w:r>
    </w:p>
    <w:p w:rsidR="00485C9D" w:rsidP="00485C9D" w:rsidRDefault="00AA03D3" w14:paraId="7ABC6953" w14:textId="621DEBCD">
      <w:pPr>
        <w:tabs>
          <w:tab w:val="left" w:pos="1418"/>
        </w:tabs>
      </w:pPr>
      <w:r>
        <w:t xml:space="preserve">2. In </w:t>
      </w:r>
      <w:r w:rsidR="00485C9D">
        <w:t>onderdeel F, onder 2, wordt “in de gevallen” vervangen door “, in de gevallen”.</w:t>
      </w:r>
    </w:p>
    <w:p w:rsidR="00485C9D" w:rsidP="00485C9D" w:rsidRDefault="00485C9D" w14:paraId="57D1486C" w14:textId="77777777">
      <w:pPr>
        <w:tabs>
          <w:tab w:val="left" w:pos="1418"/>
        </w:tabs>
      </w:pPr>
    </w:p>
    <w:p w:rsidR="00AA03D3" w:rsidP="00485C9D" w:rsidRDefault="00AA03D3" w14:paraId="265B79F1" w14:textId="77777777">
      <w:pPr>
        <w:tabs>
          <w:tab w:val="left" w:pos="1418"/>
        </w:tabs>
      </w:pPr>
      <w:r>
        <w:t>B</w:t>
      </w:r>
    </w:p>
    <w:p w:rsidR="00AA03D3" w:rsidP="00485C9D" w:rsidRDefault="00AA03D3" w14:paraId="2AB9EC67" w14:textId="77777777">
      <w:pPr>
        <w:tabs>
          <w:tab w:val="left" w:pos="1418"/>
        </w:tabs>
      </w:pPr>
    </w:p>
    <w:p w:rsidR="00AA03D3" w:rsidP="00485C9D" w:rsidRDefault="00AA03D3" w14:paraId="3AA295FB" w14:textId="77777777">
      <w:pPr>
        <w:tabs>
          <w:tab w:val="left" w:pos="1418"/>
        </w:tabs>
      </w:pPr>
      <w:r>
        <w:t>Artikel III wordt als volgt gewijzigd:</w:t>
      </w:r>
    </w:p>
    <w:p w:rsidR="00AA03D3" w:rsidP="00485C9D" w:rsidRDefault="00AA03D3" w14:paraId="34030EE4" w14:textId="77777777">
      <w:pPr>
        <w:tabs>
          <w:tab w:val="left" w:pos="1418"/>
        </w:tabs>
      </w:pPr>
    </w:p>
    <w:p w:rsidR="00AA03D3" w:rsidP="00AA03D3" w:rsidRDefault="00AA03D3" w14:paraId="64DF44E0" w14:textId="29E2322C">
      <w:pPr>
        <w:tabs>
          <w:tab w:val="left" w:pos="1418"/>
        </w:tabs>
      </w:pPr>
      <w:r>
        <w:t>1. Aan onderdeel A wordt toegevoegd “en wordt “de artikelen 17, 18 en 19” vervangen door “artikel 17””.</w:t>
      </w:r>
    </w:p>
    <w:p w:rsidR="00AA03D3" w:rsidP="00485C9D" w:rsidRDefault="00AA03D3" w14:paraId="62A26116" w14:textId="646228BA">
      <w:pPr>
        <w:tabs>
          <w:tab w:val="left" w:pos="1418"/>
        </w:tabs>
      </w:pPr>
    </w:p>
    <w:p w:rsidR="00AA03D3" w:rsidP="00485C9D" w:rsidRDefault="00AA03D3" w14:paraId="33D9352C" w14:textId="4A2F4579">
      <w:pPr>
        <w:tabs>
          <w:tab w:val="left" w:pos="1418"/>
        </w:tabs>
      </w:pPr>
      <w:r>
        <w:t>2. Onderdeel E komt te luiden:</w:t>
      </w:r>
    </w:p>
    <w:p w:rsidR="00AA03D3" w:rsidP="00485C9D" w:rsidRDefault="00AA03D3" w14:paraId="2C06C584" w14:textId="5543BA3E">
      <w:pPr>
        <w:tabs>
          <w:tab w:val="left" w:pos="1418"/>
        </w:tabs>
      </w:pPr>
      <w:r>
        <w:br/>
        <w:t>E</w:t>
      </w:r>
    </w:p>
    <w:p w:rsidR="00AA03D3" w:rsidP="00485C9D" w:rsidRDefault="00AA03D3" w14:paraId="752AB1E0" w14:textId="77777777">
      <w:pPr>
        <w:tabs>
          <w:tab w:val="left" w:pos="1418"/>
        </w:tabs>
      </w:pPr>
    </w:p>
    <w:p w:rsidRPr="00F75B1C" w:rsidR="00AA03D3" w:rsidP="00AA03D3" w:rsidRDefault="00AA03D3" w14:paraId="5E2A8D4D" w14:textId="0BFAC221">
      <w:pPr>
        <w:tabs>
          <w:tab w:val="left" w:pos="0"/>
        </w:tabs>
        <w:rPr>
          <w:b/>
          <w:bCs/>
        </w:rPr>
      </w:pPr>
      <w:r>
        <w:t>Artikel 27 wordt als volgt gewijzigd:</w:t>
      </w:r>
    </w:p>
    <w:p w:rsidR="00AA03D3" w:rsidP="00AA03D3" w:rsidRDefault="00AA03D3" w14:paraId="217BBB03" w14:textId="77777777">
      <w:pPr>
        <w:tabs>
          <w:tab w:val="left" w:pos="0"/>
        </w:tabs>
      </w:pPr>
    </w:p>
    <w:p w:rsidR="00AA03D3" w:rsidP="00AA03D3" w:rsidRDefault="00AA03D3" w14:paraId="22C2151E" w14:textId="24D4F69C">
      <w:pPr>
        <w:tabs>
          <w:tab w:val="left" w:pos="0"/>
        </w:tabs>
      </w:pPr>
      <w:r>
        <w:t xml:space="preserve">1. In het derde lid vervalt “18, </w:t>
      </w:r>
      <w:r w:rsidR="002F1452">
        <w:t xml:space="preserve">tweede </w:t>
      </w:r>
      <w:r>
        <w:t>lid (bij referentie-inkomensijkpunt behorende normhuur),”.</w:t>
      </w:r>
    </w:p>
    <w:p w:rsidR="00AA03D3" w:rsidP="00AA03D3" w:rsidRDefault="00AA03D3" w14:paraId="0AB0EE21" w14:textId="77777777">
      <w:pPr>
        <w:tabs>
          <w:tab w:val="left" w:pos="0"/>
        </w:tabs>
      </w:pPr>
      <w:r>
        <w:t>2. Het vijfde lid vervalt onder vernummering van het zesde tot en met achtste lid tot vijfde tot en met zevende lid.</w:t>
      </w:r>
    </w:p>
    <w:p w:rsidR="00AA03D3" w:rsidP="00AA03D3" w:rsidRDefault="00AA03D3" w14:paraId="40AC0D61" w14:textId="77777777">
      <w:pPr>
        <w:tabs>
          <w:tab w:val="left" w:pos="0"/>
        </w:tabs>
        <w:rPr>
          <w:color w:val="auto"/>
        </w:rPr>
      </w:pPr>
      <w:r>
        <w:rPr>
          <w:color w:val="auto"/>
        </w:rPr>
        <w:t>3</w:t>
      </w:r>
      <w:r w:rsidRPr="00475F6D">
        <w:rPr>
          <w:color w:val="auto"/>
        </w:rPr>
        <w:t xml:space="preserve">. </w:t>
      </w:r>
      <w:r>
        <w:rPr>
          <w:color w:val="auto"/>
        </w:rPr>
        <w:t xml:space="preserve">In het zesde lid (nieuw) wordt “zesde lid” vervangen door “vijfde lid”. </w:t>
      </w:r>
    </w:p>
    <w:p w:rsidRPr="00F93F72" w:rsidR="00AA03D3" w:rsidP="00AA03D3" w:rsidRDefault="00AA03D3" w14:paraId="238A0E38" w14:textId="05D64C97">
      <w:pPr>
        <w:tabs>
          <w:tab w:val="left" w:pos="0"/>
        </w:tabs>
        <w:rPr>
          <w:color w:val="auto"/>
        </w:rPr>
      </w:pPr>
      <w:r>
        <w:t xml:space="preserve">4. In het zevende lid (nieuw) wordt voor “17” ingevoegd “en” en vervalt “, en 18, </w:t>
      </w:r>
      <w:r w:rsidR="002F1452">
        <w:t xml:space="preserve">derde </w:t>
      </w:r>
      <w:r>
        <w:t>lid, onderdelen a</w:t>
      </w:r>
      <w:r w:rsidR="002F1452">
        <w:t xml:space="preserve"> en</w:t>
      </w:r>
      <w:r>
        <w:t xml:space="preserve"> b (verlaging van de normhuur bij het referentie-inkomensijkpunt)</w:t>
      </w:r>
      <w:r w:rsidR="00E961CD">
        <w:t>”</w:t>
      </w:r>
      <w:r>
        <w:t>.</w:t>
      </w:r>
    </w:p>
    <w:p w:rsidR="00AA03D3" w:rsidP="00AA03D3" w:rsidRDefault="00AA03D3" w14:paraId="025034DE" w14:textId="77777777">
      <w:pPr>
        <w:tabs>
          <w:tab w:val="left" w:pos="0"/>
        </w:tabs>
        <w:rPr>
          <w:color w:val="auto"/>
        </w:rPr>
      </w:pPr>
      <w:r>
        <w:rPr>
          <w:color w:val="auto"/>
        </w:rPr>
        <w:t>5. Er wordt een lid toegevoegd, luidende:</w:t>
      </w:r>
    </w:p>
    <w:p w:rsidR="00AA03D3" w:rsidP="00AA03D3" w:rsidRDefault="00AA03D3" w14:paraId="5A08D6CE" w14:textId="77777777">
      <w:pPr>
        <w:tabs>
          <w:tab w:val="left" w:pos="0"/>
        </w:tabs>
        <w:rPr>
          <w:color w:val="auto"/>
        </w:rPr>
      </w:pPr>
    </w:p>
    <w:p w:rsidR="00AA03D3" w:rsidP="00AA03D3" w:rsidRDefault="00AA03D3" w14:paraId="751958DB" w14:textId="2025727C">
      <w:pPr>
        <w:tabs>
          <w:tab w:val="left" w:pos="1418"/>
        </w:tabs>
        <w:rPr>
          <w:color w:val="auto"/>
        </w:rPr>
      </w:pPr>
      <w:r>
        <w:rPr>
          <w:color w:val="auto"/>
        </w:rPr>
        <w:t xml:space="preserve">8. </w:t>
      </w:r>
      <w:r w:rsidRPr="00F93F72">
        <w:rPr>
          <w:color w:val="auto"/>
        </w:rPr>
        <w:t>Bij ministeriële regeling kan het afbouwpercentage, bedoeld in artikel 21, tweede lid, worden gewijzigd voor zover de wijziging van de jaarinkomens, bedoeld in artikel 17, eerste lid, onbedoeld afwijk</w:t>
      </w:r>
      <w:r>
        <w:rPr>
          <w:color w:val="auto"/>
        </w:rPr>
        <w:t>t</w:t>
      </w:r>
      <w:r w:rsidRPr="00F93F72">
        <w:rPr>
          <w:color w:val="auto"/>
        </w:rPr>
        <w:t xml:space="preserve"> van de wijziging welke naar verwachting plaats zal vinden met betrekking tot de inkomens boven het minimum-inkomensijkpunt.</w:t>
      </w:r>
    </w:p>
    <w:p w:rsidR="00AA03D3" w:rsidP="00AA03D3" w:rsidRDefault="00AA03D3" w14:paraId="571EDE85" w14:textId="77777777">
      <w:pPr>
        <w:tabs>
          <w:tab w:val="left" w:pos="1418"/>
        </w:tabs>
      </w:pPr>
    </w:p>
    <w:p w:rsidR="00485C9D" w:rsidP="00485C9D" w:rsidRDefault="00AA03D3" w14:paraId="74AA3232" w14:textId="2FA9FAAA">
      <w:pPr>
        <w:tabs>
          <w:tab w:val="left" w:pos="1418"/>
        </w:tabs>
      </w:pPr>
      <w:r>
        <w:t>C</w:t>
      </w:r>
    </w:p>
    <w:p w:rsidR="00485C9D" w:rsidP="00485C9D" w:rsidRDefault="00485C9D" w14:paraId="4EC7E597" w14:textId="77777777">
      <w:pPr>
        <w:tabs>
          <w:tab w:val="left" w:pos="1418"/>
        </w:tabs>
      </w:pPr>
    </w:p>
    <w:p w:rsidR="00485C9D" w:rsidP="00485C9D" w:rsidRDefault="0024282D" w14:paraId="53FE1216" w14:textId="793FB543">
      <w:pPr>
        <w:tabs>
          <w:tab w:val="left" w:pos="1418"/>
        </w:tabs>
      </w:pPr>
      <w:r>
        <w:t>De a</w:t>
      </w:r>
      <w:r w:rsidR="00AA03D3">
        <w:t>rtikel</w:t>
      </w:r>
      <w:r>
        <w:t>en</w:t>
      </w:r>
      <w:r w:rsidR="00AA03D3">
        <w:t xml:space="preserve"> I</w:t>
      </w:r>
      <w:r>
        <w:t>V en V</w:t>
      </w:r>
      <w:r w:rsidR="00B26BB8">
        <w:t xml:space="preserve"> kom</w:t>
      </w:r>
      <w:r>
        <w:t>en</w:t>
      </w:r>
      <w:r w:rsidR="00B26BB8">
        <w:t xml:space="preserve"> </w:t>
      </w:r>
      <w:r w:rsidR="00AA03D3">
        <w:t>te luiden:</w:t>
      </w:r>
    </w:p>
    <w:p w:rsidR="00AA03D3" w:rsidP="00485C9D" w:rsidRDefault="00AA03D3" w14:paraId="6A1D2810" w14:textId="77777777">
      <w:pPr>
        <w:tabs>
          <w:tab w:val="left" w:pos="1418"/>
        </w:tabs>
      </w:pPr>
    </w:p>
    <w:p w:rsidR="00AA03D3" w:rsidP="00485C9D" w:rsidRDefault="00AA03D3" w14:paraId="65A0BEDE" w14:textId="397A471C">
      <w:pPr>
        <w:tabs>
          <w:tab w:val="left" w:pos="1418"/>
        </w:tabs>
      </w:pPr>
      <w:r>
        <w:rPr>
          <w:b/>
          <w:bCs/>
        </w:rPr>
        <w:t>Artikel IV</w:t>
      </w:r>
    </w:p>
    <w:p w:rsidR="00AA03D3" w:rsidP="00485C9D" w:rsidRDefault="00AA03D3" w14:paraId="59F7854E" w14:textId="77777777">
      <w:pPr>
        <w:tabs>
          <w:tab w:val="left" w:pos="1418"/>
        </w:tabs>
      </w:pPr>
    </w:p>
    <w:p w:rsidR="00AA03D3" w:rsidP="00AA03D3" w:rsidRDefault="00AA03D3" w14:paraId="22109509" w14:textId="03E68A6C">
      <w:pPr>
        <w:tabs>
          <w:tab w:val="left" w:pos="0"/>
        </w:tabs>
      </w:pPr>
      <w:r>
        <w:t>A</w:t>
      </w:r>
      <w:r w:rsidRPr="00475F6D">
        <w:t xml:space="preserve">rtikel 10, tweede lid, </w:t>
      </w:r>
      <w:r>
        <w:t>tweede zin, van de Uitvoeringswet huurprijzen woonruimte</w:t>
      </w:r>
      <w:r w:rsidRPr="00475F6D">
        <w:t xml:space="preserve"> </w:t>
      </w:r>
      <w:r>
        <w:t>komt te luiden:</w:t>
      </w:r>
    </w:p>
    <w:p w:rsidR="00AA03D3" w:rsidP="00AA03D3" w:rsidRDefault="00AA03D3" w14:paraId="71324D70" w14:textId="77777777">
      <w:pPr>
        <w:tabs>
          <w:tab w:val="left" w:pos="0"/>
        </w:tabs>
      </w:pPr>
    </w:p>
    <w:p w:rsidR="00AA03D3" w:rsidP="00AA03D3" w:rsidRDefault="00AA03D3" w14:paraId="34720E78" w14:textId="31D1B35B">
      <w:pPr>
        <w:tabs>
          <w:tab w:val="left" w:pos="1418"/>
        </w:tabs>
      </w:pPr>
      <w:r>
        <w:t>Bij ministeriële regeling worden de bedragen, genoemd in onderdeel a, met ingang van 1 januari van elk jaar gewijzigd met de procentuele wijziging per die datum van het bedrag, genoemd in artikel 17, eerste lid, onderdeel b, van de Wet op de huurtoeslag</w:t>
      </w:r>
      <w:r w:rsidRPr="00475F6D">
        <w:t>.</w:t>
      </w:r>
    </w:p>
    <w:p w:rsidR="00AA03D3" w:rsidP="00AA03D3" w:rsidRDefault="00AA03D3" w14:paraId="1C1DC79C" w14:textId="77777777">
      <w:pPr>
        <w:tabs>
          <w:tab w:val="left" w:pos="1418"/>
        </w:tabs>
      </w:pPr>
    </w:p>
    <w:p w:rsidRPr="0024282D" w:rsidR="0024282D" w:rsidP="00AA03D3" w:rsidRDefault="0024282D" w14:paraId="63FD842B" w14:textId="4B22F029">
      <w:pPr>
        <w:tabs>
          <w:tab w:val="left" w:pos="1418"/>
        </w:tabs>
        <w:rPr>
          <w:b/>
          <w:bCs/>
        </w:rPr>
      </w:pPr>
      <w:r>
        <w:rPr>
          <w:b/>
          <w:bCs/>
        </w:rPr>
        <w:t>Artikel V</w:t>
      </w:r>
    </w:p>
    <w:p w:rsidRPr="00AA03D3" w:rsidR="0024282D" w:rsidP="00AA03D3" w:rsidRDefault="0024282D" w14:paraId="795B65A9" w14:textId="77777777">
      <w:pPr>
        <w:tabs>
          <w:tab w:val="left" w:pos="1418"/>
        </w:tabs>
      </w:pPr>
    </w:p>
    <w:p w:rsidR="0024282D" w:rsidP="0024282D" w:rsidRDefault="0024282D" w14:paraId="25491DBE" w14:textId="77777777">
      <w:pPr>
        <w:tabs>
          <w:tab w:val="left" w:pos="0"/>
        </w:tabs>
      </w:pPr>
      <w:r>
        <w:t>A</w:t>
      </w:r>
      <w:r w:rsidRPr="00475F6D">
        <w:t>rtikel 10, vijfde lid, van de Huisvestingswet 2014</w:t>
      </w:r>
      <w:r>
        <w:t xml:space="preserve"> komt te luiden:</w:t>
      </w:r>
    </w:p>
    <w:p w:rsidR="0024282D" w:rsidP="0024282D" w:rsidRDefault="0024282D" w14:paraId="0106D98B" w14:textId="77777777">
      <w:pPr>
        <w:tabs>
          <w:tab w:val="left" w:pos="0"/>
        </w:tabs>
      </w:pPr>
    </w:p>
    <w:p w:rsidR="00485C9D" w:rsidP="0024282D" w:rsidRDefault="0024282D" w14:paraId="6155E900" w14:textId="7ED462F6">
      <w:pPr>
        <w:tabs>
          <w:tab w:val="left" w:pos="1418"/>
        </w:tabs>
      </w:pPr>
      <w:r>
        <w:t>5. Bij ministeriële regeling worden de bedragen, genoemd in het vierde lid, met ingang van 1 januari van elk jaar gewijzigd met de procentuele wijziging per die datum van het bedrag, genoemd in artikel 17, eerste lid, onderdeel b, van de Wet op de huurtoeslag</w:t>
      </w:r>
      <w:r w:rsidRPr="00475F6D">
        <w:t>.</w:t>
      </w:r>
    </w:p>
    <w:p w:rsidR="00AA03D3" w:rsidP="00485C9D" w:rsidRDefault="00AA03D3" w14:paraId="5D0A089A" w14:textId="77777777">
      <w:pPr>
        <w:tabs>
          <w:tab w:val="left" w:pos="1418"/>
        </w:tabs>
      </w:pPr>
    </w:p>
    <w:p w:rsidR="0024282D" w:rsidP="00485C9D" w:rsidRDefault="0024282D" w14:paraId="1C9B4863" w14:textId="0C34C899">
      <w:pPr>
        <w:tabs>
          <w:tab w:val="left" w:pos="1418"/>
        </w:tabs>
      </w:pPr>
      <w:r>
        <w:t>D</w:t>
      </w:r>
    </w:p>
    <w:p w:rsidR="0024282D" w:rsidP="00485C9D" w:rsidRDefault="0024282D" w14:paraId="05811BD1" w14:textId="77777777">
      <w:pPr>
        <w:tabs>
          <w:tab w:val="left" w:pos="1418"/>
        </w:tabs>
      </w:pPr>
    </w:p>
    <w:p w:rsidR="00AA03D3" w:rsidP="00485C9D" w:rsidRDefault="0024282D" w14:paraId="3A2E262F" w14:textId="58AE1B65">
      <w:pPr>
        <w:tabs>
          <w:tab w:val="left" w:pos="1418"/>
        </w:tabs>
      </w:pPr>
      <w:r>
        <w:t>De artikelen</w:t>
      </w:r>
      <w:r w:rsidR="00AA03D3">
        <w:t xml:space="preserve"> VI</w:t>
      </w:r>
      <w:r>
        <w:t xml:space="preserve"> en VII</w:t>
      </w:r>
      <w:r w:rsidR="00AA03D3">
        <w:t xml:space="preserve"> verval</w:t>
      </w:r>
      <w:r>
        <w:t>len</w:t>
      </w:r>
      <w:r w:rsidR="00AA03D3">
        <w:t xml:space="preserve"> onder vernummering van de artikelen VII</w:t>
      </w:r>
      <w:r>
        <w:t>I</w:t>
      </w:r>
      <w:r w:rsidR="00AA03D3">
        <w:t xml:space="preserve"> tot en met XI tot V</w:t>
      </w:r>
      <w:r>
        <w:t>I</w:t>
      </w:r>
      <w:r w:rsidR="00AA03D3">
        <w:t xml:space="preserve"> tot en met IX.</w:t>
      </w:r>
    </w:p>
    <w:p w:rsidR="00AA03D3" w:rsidP="00485C9D" w:rsidRDefault="00AA03D3" w14:paraId="213A0D33" w14:textId="77777777">
      <w:pPr>
        <w:tabs>
          <w:tab w:val="left" w:pos="1418"/>
        </w:tabs>
      </w:pPr>
    </w:p>
    <w:p w:rsidR="00AA03D3" w:rsidP="00485C9D" w:rsidRDefault="00C03C25" w14:paraId="6EA6C236" w14:textId="4C10B9B1">
      <w:pPr>
        <w:tabs>
          <w:tab w:val="left" w:pos="1418"/>
        </w:tabs>
      </w:pPr>
      <w:r>
        <w:t>E</w:t>
      </w:r>
    </w:p>
    <w:p w:rsidR="00485C9D" w:rsidP="00485C9D" w:rsidRDefault="00485C9D" w14:paraId="5853457E" w14:textId="77777777">
      <w:pPr>
        <w:tabs>
          <w:tab w:val="left" w:pos="1418"/>
        </w:tabs>
      </w:pPr>
    </w:p>
    <w:p w:rsidR="00485C9D" w:rsidP="00485C9D" w:rsidRDefault="00485C9D" w14:paraId="04981BDA" w14:textId="3CBBE5FC">
      <w:pPr>
        <w:tabs>
          <w:tab w:val="left" w:pos="1418"/>
        </w:tabs>
      </w:pPr>
      <w:r>
        <w:t>Artikel VI</w:t>
      </w:r>
      <w:r w:rsidR="00AA03D3">
        <w:t xml:space="preserve"> (nieuw)</w:t>
      </w:r>
      <w:r>
        <w:t xml:space="preserve"> komt te luiden:</w:t>
      </w:r>
    </w:p>
    <w:p w:rsidR="00485C9D" w:rsidP="00485C9D" w:rsidRDefault="00485C9D" w14:paraId="62487D79" w14:textId="77777777">
      <w:pPr>
        <w:tabs>
          <w:tab w:val="left" w:pos="1418"/>
        </w:tabs>
      </w:pPr>
    </w:p>
    <w:p w:rsidR="00485C9D" w:rsidP="00485C9D" w:rsidRDefault="00485C9D" w14:paraId="032C1D67" w14:textId="0F72D74E">
      <w:pPr>
        <w:tabs>
          <w:tab w:val="left" w:pos="1418"/>
        </w:tabs>
        <w:rPr>
          <w:b/>
          <w:bCs/>
        </w:rPr>
      </w:pPr>
      <w:r>
        <w:rPr>
          <w:b/>
          <w:bCs/>
        </w:rPr>
        <w:t>Artikel VI</w:t>
      </w:r>
    </w:p>
    <w:p w:rsidR="00AA03D3" w:rsidP="00485C9D" w:rsidRDefault="00AA03D3" w14:paraId="66EFE897" w14:textId="77777777">
      <w:pPr>
        <w:tabs>
          <w:tab w:val="left" w:pos="1418"/>
        </w:tabs>
        <w:rPr>
          <w:b/>
          <w:bCs/>
        </w:rPr>
      </w:pPr>
    </w:p>
    <w:p w:rsidRPr="009B704A" w:rsidR="00C06BB5" w:rsidP="00C06BB5" w:rsidRDefault="00C06BB5" w14:paraId="1FD6C6A5" w14:textId="77777777">
      <w:r w:rsidRPr="009B704A">
        <w:t>Artikel 475da van het Wetboek van Burgerlijke Rechtsvordering wordt als volgt gewijzigd:</w:t>
      </w:r>
    </w:p>
    <w:p w:rsidRPr="009B704A" w:rsidR="00C06BB5" w:rsidP="00C06BB5" w:rsidRDefault="00C06BB5" w14:paraId="0D8F5AAC" w14:textId="77777777"/>
    <w:p w:rsidRPr="009B704A" w:rsidR="00C06BB5" w:rsidP="00C06BB5" w:rsidRDefault="00C06BB5" w14:paraId="4EF62FFA" w14:textId="7A90C272">
      <w:r w:rsidRPr="009B704A">
        <w:t>1. Het tweede lid komt te luiden:</w:t>
      </w:r>
    </w:p>
    <w:p w:rsidR="00C06BB5" w:rsidP="00C06BB5" w:rsidRDefault="00C06BB5" w14:paraId="42BF6CD7" w14:textId="77777777"/>
    <w:p w:rsidRPr="009B704A" w:rsidR="002F1452" w:rsidP="002F1452" w:rsidRDefault="002F1452" w14:paraId="5860B03A" w14:textId="77777777">
      <w:r w:rsidRPr="009B704A">
        <w:t>2. Met inachtneming van het eerste lid bedraagt de beslagvrije voet:</w:t>
      </w:r>
    </w:p>
    <w:p w:rsidRPr="009B704A" w:rsidR="002F1452" w:rsidP="002F1452" w:rsidRDefault="002F1452" w14:paraId="1055985C" w14:textId="77777777">
      <w:pPr>
        <w:pStyle w:val="Lijstalinea"/>
        <w:numPr>
          <w:ilvl w:val="0"/>
          <w:numId w:val="2"/>
        </w:numPr>
        <w:spacing w:after="0" w:line="240" w:lineRule="atLeast"/>
        <w:rPr>
          <w:lang w:val="nl-NL"/>
        </w:rPr>
      </w:pPr>
      <w:r w:rsidRPr="009B704A">
        <w:rPr>
          <w:lang w:val="nl-NL"/>
        </w:rPr>
        <w:t>voor een alleenstaande (95% x A) + (((C - D) / 12) x E) + (</w:t>
      </w:r>
      <w:r>
        <w:rPr>
          <w:lang w:val="nl-NL"/>
        </w:rPr>
        <w:t xml:space="preserve">I x (F / 12), of, als dat minder is, </w:t>
      </w:r>
      <w:r w:rsidRPr="009B704A">
        <w:rPr>
          <w:lang w:val="nl-NL"/>
        </w:rPr>
        <w:t>H–J);</w:t>
      </w:r>
    </w:p>
    <w:p w:rsidRPr="00E75FDF" w:rsidR="002F1452" w:rsidP="002F1452" w:rsidRDefault="002F1452" w14:paraId="3EC2BB7E" w14:textId="77777777">
      <w:pPr>
        <w:pStyle w:val="Lijstalinea"/>
        <w:numPr>
          <w:ilvl w:val="0"/>
          <w:numId w:val="2"/>
        </w:numPr>
        <w:spacing w:after="0" w:line="240" w:lineRule="atLeast"/>
        <w:rPr>
          <w:lang w:val="nl-NL"/>
        </w:rPr>
      </w:pPr>
      <w:r w:rsidRPr="009B704A">
        <w:rPr>
          <w:rFonts w:cs="Arial"/>
          <w:lang w:val="nl-NL"/>
        </w:rPr>
        <w:t>voor een alleenstaande ouder: (95% x A) + (((C – D) / 12) x E</w:t>
      </w:r>
      <w:r w:rsidRPr="00E75FDF">
        <w:rPr>
          <w:rFonts w:cs="Arial"/>
          <w:lang w:val="nl-NL"/>
        </w:rPr>
        <w:t>) + (</w:t>
      </w:r>
      <w:r>
        <w:rPr>
          <w:rFonts w:cs="Arial"/>
          <w:lang w:val="nl-NL"/>
        </w:rPr>
        <w:t>I</w:t>
      </w:r>
      <w:r w:rsidRPr="00E75FDF">
        <w:rPr>
          <w:rFonts w:cs="Arial"/>
          <w:lang w:val="nl-NL"/>
        </w:rPr>
        <w:t xml:space="preserve"> x (</w:t>
      </w:r>
      <w:r>
        <w:rPr>
          <w:rFonts w:cs="Arial"/>
          <w:lang w:val="nl-NL"/>
        </w:rPr>
        <w:t xml:space="preserve">G </w:t>
      </w:r>
      <w:r w:rsidRPr="009B704A">
        <w:rPr>
          <w:rFonts w:cs="Arial"/>
          <w:lang w:val="nl-NL"/>
        </w:rPr>
        <w:t>/</w:t>
      </w:r>
      <w:r>
        <w:rPr>
          <w:rFonts w:cs="Arial"/>
          <w:lang w:val="nl-NL"/>
        </w:rPr>
        <w:t xml:space="preserve"> </w:t>
      </w:r>
      <w:r w:rsidRPr="00E75FDF">
        <w:rPr>
          <w:rFonts w:cs="Arial"/>
          <w:lang w:val="nl-NL"/>
        </w:rPr>
        <w:t>12</w:t>
      </w:r>
      <w:r w:rsidRPr="009B704A">
        <w:rPr>
          <w:rFonts w:cs="Arial"/>
          <w:lang w:val="nl-NL"/>
        </w:rPr>
        <w:t>)</w:t>
      </w:r>
      <w:r>
        <w:rPr>
          <w:rFonts w:cs="Arial"/>
          <w:lang w:val="nl-NL"/>
        </w:rPr>
        <w:t>, of, als dat minder is, H</w:t>
      </w:r>
      <w:r w:rsidRPr="009B704A">
        <w:rPr>
          <w:rFonts w:cs="Arial"/>
          <w:lang w:val="nl-NL"/>
        </w:rPr>
        <w:t>-</w:t>
      </w:r>
      <w:r w:rsidRPr="00E75FDF">
        <w:rPr>
          <w:rFonts w:cs="Arial"/>
          <w:lang w:val="nl-NL"/>
        </w:rPr>
        <w:t xml:space="preserve">J) + (((C – D) / 12) x </w:t>
      </w:r>
      <w:r>
        <w:rPr>
          <w:rFonts w:cs="Arial"/>
          <w:lang w:val="nl-NL"/>
        </w:rPr>
        <w:t>K</w:t>
      </w:r>
      <w:r w:rsidRPr="00E75FDF">
        <w:rPr>
          <w:rFonts w:cs="Arial"/>
          <w:lang w:val="nl-NL"/>
        </w:rPr>
        <w:t>);</w:t>
      </w:r>
    </w:p>
    <w:p w:rsidRPr="00E75FDF" w:rsidR="002F1452" w:rsidP="002F1452" w:rsidRDefault="002F1452" w14:paraId="4F9FA1D8" w14:textId="77777777">
      <w:pPr>
        <w:pStyle w:val="Lijstalinea"/>
        <w:numPr>
          <w:ilvl w:val="0"/>
          <w:numId w:val="2"/>
        </w:numPr>
        <w:spacing w:after="0" w:line="240" w:lineRule="atLeast"/>
        <w:rPr>
          <w:lang w:val="nl-NL"/>
        </w:rPr>
      </w:pPr>
      <w:r w:rsidRPr="00E75FDF">
        <w:rPr>
          <w:lang w:val="nl-NL"/>
        </w:rPr>
        <w:t>voor gehuwden zonder kinderen: (95% x B) + (((C – D) / 12) x E) + (</w:t>
      </w:r>
      <w:r>
        <w:rPr>
          <w:lang w:val="nl-NL"/>
        </w:rPr>
        <w:t>I</w:t>
      </w:r>
      <w:r w:rsidRPr="00E75FDF">
        <w:rPr>
          <w:lang w:val="nl-NL"/>
        </w:rPr>
        <w:t xml:space="preserve"> x (</w:t>
      </w:r>
      <w:r>
        <w:rPr>
          <w:lang w:val="nl-NL"/>
        </w:rPr>
        <w:t xml:space="preserve">G </w:t>
      </w:r>
      <w:r w:rsidRPr="009B704A">
        <w:rPr>
          <w:lang w:val="nl-NL"/>
        </w:rPr>
        <w:t>/</w:t>
      </w:r>
      <w:r>
        <w:rPr>
          <w:lang w:val="nl-NL"/>
        </w:rPr>
        <w:t xml:space="preserve"> </w:t>
      </w:r>
      <w:r w:rsidRPr="00E75FDF">
        <w:rPr>
          <w:lang w:val="nl-NL"/>
        </w:rPr>
        <w:t>12</w:t>
      </w:r>
      <w:r w:rsidRPr="009B704A">
        <w:rPr>
          <w:lang w:val="nl-NL"/>
        </w:rPr>
        <w:t>)</w:t>
      </w:r>
      <w:r>
        <w:rPr>
          <w:lang w:val="nl-NL"/>
        </w:rPr>
        <w:t>, of, als dat minder is, H</w:t>
      </w:r>
      <w:r w:rsidRPr="009B704A">
        <w:rPr>
          <w:lang w:val="nl-NL"/>
        </w:rPr>
        <w:t>-</w:t>
      </w:r>
      <w:r w:rsidRPr="00E75FDF">
        <w:rPr>
          <w:lang w:val="nl-NL"/>
        </w:rPr>
        <w:t>J);</w:t>
      </w:r>
    </w:p>
    <w:p w:rsidRPr="009B704A" w:rsidR="002F1452" w:rsidP="002F1452" w:rsidRDefault="002F1452" w14:paraId="3A10C9D7" w14:textId="77777777">
      <w:pPr>
        <w:pStyle w:val="Lijstalinea"/>
        <w:numPr>
          <w:ilvl w:val="0"/>
          <w:numId w:val="2"/>
        </w:numPr>
        <w:spacing w:after="0" w:line="240" w:lineRule="atLeast"/>
        <w:rPr>
          <w:lang w:val="nl-NL"/>
        </w:rPr>
      </w:pPr>
      <w:r w:rsidRPr="00E75FDF">
        <w:rPr>
          <w:lang w:val="nl-NL"/>
        </w:rPr>
        <w:t>voor gehuwden met een of meer kinderen: (95% x B) + (((C – D) / 12) x E) + (</w:t>
      </w:r>
      <w:r>
        <w:rPr>
          <w:lang w:val="nl-NL"/>
        </w:rPr>
        <w:t>I</w:t>
      </w:r>
      <w:r w:rsidRPr="00E75FDF">
        <w:rPr>
          <w:lang w:val="nl-NL"/>
        </w:rPr>
        <w:t xml:space="preserve"> x (</w:t>
      </w:r>
      <w:r>
        <w:rPr>
          <w:lang w:val="nl-NL"/>
        </w:rPr>
        <w:t xml:space="preserve">G </w:t>
      </w:r>
      <w:r w:rsidRPr="009B704A">
        <w:rPr>
          <w:lang w:val="nl-NL"/>
        </w:rPr>
        <w:t>/</w:t>
      </w:r>
      <w:r>
        <w:rPr>
          <w:lang w:val="nl-NL"/>
        </w:rPr>
        <w:t xml:space="preserve"> </w:t>
      </w:r>
      <w:r w:rsidRPr="00E75FDF">
        <w:rPr>
          <w:lang w:val="nl-NL"/>
        </w:rPr>
        <w:t>12</w:t>
      </w:r>
      <w:r w:rsidRPr="009B704A">
        <w:rPr>
          <w:lang w:val="nl-NL"/>
        </w:rPr>
        <w:t>)</w:t>
      </w:r>
      <w:r>
        <w:rPr>
          <w:lang w:val="nl-NL"/>
        </w:rPr>
        <w:t>, of, als dat minder is, H</w:t>
      </w:r>
      <w:r w:rsidRPr="009B704A">
        <w:rPr>
          <w:lang w:val="nl-NL"/>
        </w:rPr>
        <w:t>-</w:t>
      </w:r>
      <w:r w:rsidRPr="00E75FDF">
        <w:rPr>
          <w:lang w:val="nl-NL"/>
        </w:rPr>
        <w:t>J) + (((C –</w:t>
      </w:r>
      <w:r w:rsidRPr="009B704A">
        <w:rPr>
          <w:lang w:val="nl-NL"/>
        </w:rPr>
        <w:t xml:space="preserve"> (D + </w:t>
      </w:r>
      <w:r>
        <w:rPr>
          <w:lang w:val="nl-NL"/>
        </w:rPr>
        <w:t>L</w:t>
      </w:r>
      <w:r w:rsidRPr="009B704A">
        <w:rPr>
          <w:lang w:val="nl-NL"/>
        </w:rPr>
        <w:t xml:space="preserve">)) / 12) x </w:t>
      </w:r>
      <w:r>
        <w:rPr>
          <w:lang w:val="nl-NL"/>
        </w:rPr>
        <w:t>K</w:t>
      </w:r>
      <w:r w:rsidRPr="009B704A">
        <w:rPr>
          <w:lang w:val="nl-NL"/>
        </w:rPr>
        <w:t>).</w:t>
      </w:r>
    </w:p>
    <w:p w:rsidRPr="009B704A" w:rsidR="002F1452" w:rsidP="002F1452" w:rsidRDefault="002F1452" w14:paraId="311C05F0" w14:textId="77777777">
      <w:pPr>
        <w:ind w:left="360"/>
        <w:rPr>
          <w:rFonts w:cs="Arial"/>
        </w:rPr>
      </w:pPr>
    </w:p>
    <w:p w:rsidRPr="009B704A" w:rsidR="002F1452" w:rsidP="002F1452" w:rsidRDefault="002F1452" w14:paraId="1B1C90F2" w14:textId="77777777">
      <w:pPr>
        <w:ind w:left="360"/>
      </w:pPr>
      <w:r w:rsidRPr="009B704A">
        <w:rPr>
          <w:rFonts w:cs="Arial"/>
        </w:rPr>
        <w:t>Hierbij staat</w:t>
      </w:r>
    </w:p>
    <w:p w:rsidRPr="009B704A" w:rsidR="002F1452" w:rsidP="002F1452" w:rsidRDefault="002F1452" w14:paraId="31F155B4" w14:textId="77777777">
      <w:pPr>
        <w:ind w:left="360"/>
      </w:pPr>
    </w:p>
    <w:p w:rsidRPr="009B704A" w:rsidR="002F1452" w:rsidP="002F1452" w:rsidRDefault="002F1452" w14:paraId="1271A04D" w14:textId="77777777">
      <w:pPr>
        <w:numPr>
          <w:ilvl w:val="0"/>
          <w:numId w:val="1"/>
        </w:numPr>
        <w:rPr>
          <w:rFonts w:cs="Arial"/>
          <w:shd w:val="clear" w:color="auto" w:fill="FFFFFF"/>
        </w:rPr>
      </w:pPr>
      <w:r w:rsidRPr="009B704A">
        <w:rPr>
          <w:rFonts w:cs="Arial"/>
          <w:shd w:val="clear" w:color="auto" w:fill="FFFFFF"/>
        </w:rPr>
        <w:t>A voor de norm, genoemd in artikel 21, onderdeel a, van de Participatiewet;</w:t>
      </w:r>
    </w:p>
    <w:p w:rsidRPr="009B704A" w:rsidR="002F1452" w:rsidP="002F1452" w:rsidRDefault="002F1452" w14:paraId="2C1F6F82" w14:textId="77777777">
      <w:pPr>
        <w:numPr>
          <w:ilvl w:val="0"/>
          <w:numId w:val="1"/>
        </w:numPr>
        <w:rPr>
          <w:rFonts w:cs="Arial"/>
          <w:shd w:val="clear" w:color="auto" w:fill="FFFFFF"/>
        </w:rPr>
      </w:pPr>
      <w:r w:rsidRPr="009B704A">
        <w:rPr>
          <w:rFonts w:cs="Arial"/>
          <w:shd w:val="clear" w:color="auto" w:fill="FFFFFF"/>
        </w:rPr>
        <w:t>B voor de norm, genoemd in artikel 21, onderdeel b, van de Participatiewet;</w:t>
      </w:r>
    </w:p>
    <w:p w:rsidRPr="009B704A" w:rsidR="002F1452" w:rsidP="002F1452" w:rsidRDefault="002F1452" w14:paraId="4D059748" w14:textId="77777777">
      <w:pPr>
        <w:numPr>
          <w:ilvl w:val="0"/>
          <w:numId w:val="1"/>
        </w:numPr>
        <w:rPr>
          <w:rFonts w:cs="Arial"/>
          <w:shd w:val="clear" w:color="auto" w:fill="FFFFFF"/>
        </w:rPr>
      </w:pPr>
      <w:r w:rsidRPr="009B704A">
        <w:rPr>
          <w:rFonts w:cs="Arial"/>
          <w:shd w:val="clear" w:color="auto" w:fill="FFFFFF"/>
        </w:rPr>
        <w:t>C voor het tot een jaarinkomen herleide belastbaar inkomen zoals dit is vastgesteld op basis van artikel 475d, eerste lid, van de geëxecuteerde, en, indien van toepassing, zijn echtgenoot;</w:t>
      </w:r>
    </w:p>
    <w:p w:rsidRPr="009B704A" w:rsidR="002F1452" w:rsidP="002F1452" w:rsidRDefault="002F1452" w14:paraId="6A8982D0" w14:textId="77777777">
      <w:pPr>
        <w:numPr>
          <w:ilvl w:val="0"/>
          <w:numId w:val="1"/>
        </w:numPr>
        <w:rPr>
          <w:rFonts w:cs="Arial"/>
          <w:shd w:val="clear" w:color="auto" w:fill="FFFFFF"/>
        </w:rPr>
      </w:pPr>
      <w:r w:rsidRPr="009B704A">
        <w:rPr>
          <w:rFonts w:cs="Arial"/>
          <w:shd w:val="clear" w:color="auto" w:fill="FFFFFF"/>
        </w:rPr>
        <w:t xml:space="preserve">D voor het drempelbedrag, bedoeld in artikel 1, eerste lid, onderdeel f, van de Wet op de zorgtoeslag, </w:t>
      </w:r>
      <w:r>
        <w:rPr>
          <w:rFonts w:cs="Arial"/>
          <w:shd w:val="clear" w:color="auto" w:fill="FFFFFF"/>
        </w:rPr>
        <w:t>of</w:t>
      </w:r>
      <w:r w:rsidRPr="009B704A">
        <w:rPr>
          <w:rFonts w:cs="Arial"/>
          <w:shd w:val="clear" w:color="auto" w:fill="FFFFFF"/>
        </w:rPr>
        <w:t xml:space="preserve"> </w:t>
      </w:r>
      <w:r>
        <w:rPr>
          <w:rFonts w:cs="Arial"/>
          <w:shd w:val="clear" w:color="auto" w:fill="FFFFFF"/>
        </w:rPr>
        <w:t xml:space="preserve">voor </w:t>
      </w:r>
      <w:r w:rsidRPr="009B704A">
        <w:rPr>
          <w:rFonts w:cs="Arial"/>
          <w:shd w:val="clear" w:color="auto" w:fill="FFFFFF"/>
        </w:rPr>
        <w:t>C, indien C lager is dan dit drempelbedrag;</w:t>
      </w:r>
    </w:p>
    <w:p w:rsidRPr="009B704A" w:rsidR="002F1452" w:rsidP="002F1452" w:rsidRDefault="002F1452" w14:paraId="386C67B7" w14:textId="77777777">
      <w:pPr>
        <w:numPr>
          <w:ilvl w:val="0"/>
          <w:numId w:val="1"/>
        </w:numPr>
        <w:rPr>
          <w:rFonts w:cs="Arial"/>
          <w:shd w:val="clear" w:color="auto" w:fill="FFFFFF"/>
        </w:rPr>
      </w:pPr>
      <w:r w:rsidRPr="009B704A">
        <w:rPr>
          <w:rFonts w:cs="Arial"/>
          <w:shd w:val="clear" w:color="auto" w:fill="FFFFFF"/>
        </w:rPr>
        <w:t>E voor het percentage van het toetsingsinkomen waarmee het drempelinkomen wordt vermeerderd, bedoeld in artikel 2, derde lid, van de Wet op de zorgtoeslag;</w:t>
      </w:r>
    </w:p>
    <w:p w:rsidRPr="009B704A" w:rsidR="002F1452" w:rsidP="002F1452" w:rsidRDefault="002F1452" w14:paraId="31D39E84" w14:textId="77777777">
      <w:pPr>
        <w:numPr>
          <w:ilvl w:val="0"/>
          <w:numId w:val="1"/>
        </w:numPr>
        <w:rPr>
          <w:rFonts w:cs="Arial"/>
          <w:shd w:val="clear" w:color="auto" w:fill="FFFFFF"/>
        </w:rPr>
      </w:pPr>
      <w:r>
        <w:rPr>
          <w:rFonts w:cs="Arial"/>
          <w:shd w:val="clear" w:color="auto" w:fill="FFFFFF"/>
        </w:rPr>
        <w:t>F</w:t>
      </w:r>
      <w:r w:rsidRPr="009B704A">
        <w:rPr>
          <w:rFonts w:cs="Arial"/>
          <w:shd w:val="clear" w:color="auto" w:fill="FFFFFF"/>
        </w:rPr>
        <w:t xml:space="preserve"> voor het afbouwpercentage</w:t>
      </w:r>
      <w:r>
        <w:rPr>
          <w:rFonts w:cs="Arial"/>
          <w:shd w:val="clear" w:color="auto" w:fill="FFFFFF"/>
        </w:rPr>
        <w:t xml:space="preserve"> voor een eenpersoonshuishouden</w:t>
      </w:r>
      <w:r w:rsidRPr="009B704A">
        <w:rPr>
          <w:rFonts w:cs="Arial"/>
          <w:shd w:val="clear" w:color="auto" w:fill="FFFFFF"/>
        </w:rPr>
        <w:t>, bedoeld in artikel 21, tweede lid, onderdeel a</w:t>
      </w:r>
      <w:r>
        <w:rPr>
          <w:rFonts w:cs="Arial"/>
          <w:shd w:val="clear" w:color="auto" w:fill="FFFFFF"/>
        </w:rPr>
        <w:t>, van de Wet op de huurtoeslag;</w:t>
      </w:r>
    </w:p>
    <w:p w:rsidRPr="009B704A" w:rsidR="002F1452" w:rsidP="002F1452" w:rsidRDefault="002F1452" w14:paraId="1E74E8ED" w14:textId="77777777">
      <w:pPr>
        <w:numPr>
          <w:ilvl w:val="0"/>
          <w:numId w:val="1"/>
        </w:numPr>
        <w:rPr>
          <w:rFonts w:cs="Arial"/>
          <w:shd w:val="clear" w:color="auto" w:fill="FFFFFF"/>
        </w:rPr>
      </w:pPr>
      <w:r>
        <w:rPr>
          <w:rFonts w:cs="Arial"/>
          <w:shd w:val="clear" w:color="auto" w:fill="FFFFFF"/>
        </w:rPr>
        <w:t>G</w:t>
      </w:r>
      <w:r w:rsidRPr="009B704A">
        <w:rPr>
          <w:rFonts w:cs="Arial"/>
          <w:shd w:val="clear" w:color="auto" w:fill="FFFFFF"/>
        </w:rPr>
        <w:t xml:space="preserve"> voor het afbouwpercentage</w:t>
      </w:r>
      <w:r>
        <w:rPr>
          <w:rFonts w:cs="Arial"/>
          <w:shd w:val="clear" w:color="auto" w:fill="FFFFFF"/>
        </w:rPr>
        <w:t xml:space="preserve"> voor een meerpersoonshuishouden</w:t>
      </w:r>
      <w:r w:rsidRPr="009B704A">
        <w:rPr>
          <w:rFonts w:cs="Arial"/>
          <w:shd w:val="clear" w:color="auto" w:fill="FFFFFF"/>
        </w:rPr>
        <w:t>, bedoeld in artikel 21</w:t>
      </w:r>
      <w:r>
        <w:rPr>
          <w:rFonts w:cs="Arial"/>
          <w:shd w:val="clear" w:color="auto" w:fill="FFFFFF"/>
        </w:rPr>
        <w:t>,</w:t>
      </w:r>
      <w:r w:rsidRPr="009B704A">
        <w:rPr>
          <w:rFonts w:cs="Arial"/>
          <w:shd w:val="clear" w:color="auto" w:fill="FFFFFF"/>
        </w:rPr>
        <w:t xml:space="preserve"> </w:t>
      </w:r>
      <w:r>
        <w:rPr>
          <w:rFonts w:cs="Arial"/>
          <w:shd w:val="clear" w:color="auto" w:fill="FFFFFF"/>
        </w:rPr>
        <w:t>tweede</w:t>
      </w:r>
      <w:r w:rsidRPr="009B704A">
        <w:rPr>
          <w:rFonts w:cs="Arial"/>
          <w:shd w:val="clear" w:color="auto" w:fill="FFFFFF"/>
        </w:rPr>
        <w:t xml:space="preserve"> lid</w:t>
      </w:r>
      <w:r>
        <w:rPr>
          <w:rFonts w:cs="Arial"/>
          <w:shd w:val="clear" w:color="auto" w:fill="FFFFFF"/>
        </w:rPr>
        <w:t>,</w:t>
      </w:r>
      <w:r w:rsidRPr="009B704A">
        <w:rPr>
          <w:rFonts w:cs="Arial"/>
          <w:shd w:val="clear" w:color="auto" w:fill="FFFFFF"/>
        </w:rPr>
        <w:t xml:space="preserve"> </w:t>
      </w:r>
      <w:r>
        <w:rPr>
          <w:rFonts w:cs="Arial"/>
          <w:shd w:val="clear" w:color="auto" w:fill="FFFFFF"/>
        </w:rPr>
        <w:t>onderdeel</w:t>
      </w:r>
      <w:r w:rsidRPr="009B704A">
        <w:rPr>
          <w:rFonts w:cs="Arial"/>
          <w:shd w:val="clear" w:color="auto" w:fill="FFFFFF"/>
        </w:rPr>
        <w:t xml:space="preserve"> b</w:t>
      </w:r>
      <w:r>
        <w:rPr>
          <w:rFonts w:cs="Arial"/>
          <w:shd w:val="clear" w:color="auto" w:fill="FFFFFF"/>
        </w:rPr>
        <w:t>, van de Wet op de huurtoeslag;</w:t>
      </w:r>
    </w:p>
    <w:p w:rsidR="002F1452" w:rsidP="002F1452" w:rsidRDefault="002F1452" w14:paraId="06187DB4" w14:textId="77777777">
      <w:pPr>
        <w:numPr>
          <w:ilvl w:val="0"/>
          <w:numId w:val="1"/>
        </w:numPr>
        <w:rPr>
          <w:rFonts w:cs="Arial"/>
          <w:shd w:val="clear" w:color="auto" w:fill="FFFFFF"/>
        </w:rPr>
      </w:pPr>
      <w:r>
        <w:rPr>
          <w:rFonts w:cs="Arial"/>
          <w:shd w:val="clear" w:color="auto" w:fill="FFFFFF"/>
        </w:rPr>
        <w:t>H voor de maximale rekenhuur, bedoeld in artikel 13, eerste lid, onderdeel a, van de Wet op de huurtoeslag;</w:t>
      </w:r>
    </w:p>
    <w:p w:rsidRPr="00C90A79" w:rsidR="002F1452" w:rsidP="002F1452" w:rsidRDefault="002F1452" w14:paraId="749B1F4E" w14:textId="77777777">
      <w:pPr>
        <w:numPr>
          <w:ilvl w:val="0"/>
          <w:numId w:val="1"/>
        </w:numPr>
        <w:rPr>
          <w:rFonts w:cs="Arial"/>
          <w:shd w:val="clear" w:color="auto" w:fill="FFFFFF"/>
        </w:rPr>
      </w:pPr>
      <w:r>
        <w:rPr>
          <w:rFonts w:cs="Arial"/>
          <w:shd w:val="clear" w:color="auto" w:fill="FFFFFF"/>
        </w:rPr>
        <w:t>I</w:t>
      </w:r>
      <w:r w:rsidRPr="009B704A">
        <w:rPr>
          <w:rFonts w:cs="Arial"/>
          <w:shd w:val="clear" w:color="auto" w:fill="FFFFFF"/>
        </w:rPr>
        <w:t xml:space="preserve"> voor het belastbaar inkomen C verminderd met het minimum-inkomensijkpunt, bedoeld in artikel 17, eerste lid, van de Wet op de huurtoeslag</w:t>
      </w:r>
      <w:r>
        <w:rPr>
          <w:rFonts w:cs="Arial"/>
          <w:shd w:val="clear" w:color="auto" w:fill="FFFFFF"/>
        </w:rPr>
        <w:t>;</w:t>
      </w:r>
      <w:r w:rsidRPr="00C90A79">
        <w:rPr>
          <w:rFonts w:cs="Arial"/>
          <w:shd w:val="clear" w:color="auto" w:fill="FFFFFF"/>
        </w:rPr>
        <w:t xml:space="preserve"> </w:t>
      </w:r>
    </w:p>
    <w:p w:rsidR="002F1452" w:rsidP="002F1452" w:rsidRDefault="002F1452" w14:paraId="7E0CE706" w14:textId="77777777">
      <w:pPr>
        <w:numPr>
          <w:ilvl w:val="0"/>
          <w:numId w:val="1"/>
        </w:numPr>
        <w:rPr>
          <w:rFonts w:cs="Arial"/>
          <w:shd w:val="clear" w:color="auto" w:fill="FFFFFF"/>
        </w:rPr>
      </w:pPr>
      <w:r w:rsidRPr="009B704A">
        <w:rPr>
          <w:rFonts w:cs="Arial"/>
          <w:shd w:val="clear" w:color="auto" w:fill="FFFFFF"/>
        </w:rPr>
        <w:t>J voor de basishuur, bedoeld in artikel 16 van de Wet op de huurtoeslag;</w:t>
      </w:r>
    </w:p>
    <w:p w:rsidR="002F1452" w:rsidP="002F1452" w:rsidRDefault="002F1452" w14:paraId="5007BC67" w14:textId="77777777">
      <w:pPr>
        <w:numPr>
          <w:ilvl w:val="0"/>
          <w:numId w:val="1"/>
        </w:numPr>
        <w:rPr>
          <w:rFonts w:cs="Arial"/>
          <w:shd w:val="clear" w:color="auto" w:fill="FFFFFF"/>
        </w:rPr>
      </w:pPr>
      <w:r>
        <w:rPr>
          <w:rFonts w:cs="Arial"/>
          <w:shd w:val="clear" w:color="auto" w:fill="FFFFFF"/>
        </w:rPr>
        <w:t xml:space="preserve">K </w:t>
      </w:r>
      <w:r w:rsidRPr="009B704A">
        <w:rPr>
          <w:rFonts w:cs="Arial"/>
          <w:shd w:val="clear" w:color="auto" w:fill="FFFFFF"/>
        </w:rPr>
        <w:t>voor het percentage, bedoeld in artikel 2, zevende lid, van de Wet op het kindgebonden budget;</w:t>
      </w:r>
      <w:r w:rsidRPr="00187E2C">
        <w:rPr>
          <w:rFonts w:cs="Arial"/>
          <w:shd w:val="clear" w:color="auto" w:fill="FFFFFF"/>
        </w:rPr>
        <w:t xml:space="preserve"> </w:t>
      </w:r>
    </w:p>
    <w:p w:rsidRPr="009B704A" w:rsidR="002F1452" w:rsidP="002F1452" w:rsidRDefault="002F1452" w14:paraId="53D3928F" w14:textId="77777777">
      <w:pPr>
        <w:numPr>
          <w:ilvl w:val="0"/>
          <w:numId w:val="1"/>
        </w:numPr>
        <w:rPr>
          <w:rFonts w:cs="Arial"/>
          <w:shd w:val="clear" w:color="auto" w:fill="FFFFFF"/>
        </w:rPr>
      </w:pPr>
      <w:r>
        <w:rPr>
          <w:rFonts w:cs="Arial"/>
          <w:shd w:val="clear" w:color="auto" w:fill="FFFFFF"/>
        </w:rPr>
        <w:t xml:space="preserve">L </w:t>
      </w:r>
      <w:r w:rsidRPr="009B704A">
        <w:rPr>
          <w:rFonts w:cs="Arial"/>
          <w:shd w:val="clear" w:color="auto" w:fill="FFFFFF"/>
        </w:rPr>
        <w:t xml:space="preserve">voor het bedrag waarmee het drempelinkomen van de ouder en </w:t>
      </w:r>
      <w:r>
        <w:rPr>
          <w:rFonts w:cs="Arial"/>
          <w:shd w:val="clear" w:color="auto" w:fill="FFFFFF"/>
        </w:rPr>
        <w:t>diens</w:t>
      </w:r>
      <w:r w:rsidRPr="009B704A">
        <w:rPr>
          <w:rFonts w:cs="Arial"/>
          <w:shd w:val="clear" w:color="auto" w:fill="FFFFFF"/>
        </w:rPr>
        <w:t xml:space="preserve"> partner op basis van artikel 2, achtste lid, van de Wet op het kindgebonden budget wordt verhoogd.</w:t>
      </w:r>
    </w:p>
    <w:p w:rsidRPr="009B704A" w:rsidR="00C06BB5" w:rsidP="00C06BB5" w:rsidRDefault="00C06BB5" w14:paraId="0B6F088A" w14:textId="77777777">
      <w:pPr>
        <w:rPr>
          <w:rFonts w:cs="Arial"/>
          <w:shd w:val="clear" w:color="auto" w:fill="FFFFFF"/>
        </w:rPr>
      </w:pPr>
    </w:p>
    <w:p w:rsidR="00C06BB5" w:rsidP="00C06BB5" w:rsidRDefault="00C06BB5" w14:paraId="55F09525" w14:textId="49266D1B">
      <w:pPr>
        <w:rPr>
          <w:rFonts w:cs="Arial"/>
        </w:rPr>
      </w:pPr>
      <w:r w:rsidRPr="009B704A">
        <w:rPr>
          <w:rFonts w:cs="Arial"/>
          <w:shd w:val="clear" w:color="auto" w:fill="FFFFFF"/>
        </w:rPr>
        <w:t xml:space="preserve">2. </w:t>
      </w:r>
      <w:r>
        <w:t>In het</w:t>
      </w:r>
      <w:r w:rsidRPr="009B704A">
        <w:t xml:space="preserve"> achtste lid wordt</w:t>
      </w:r>
      <w:r w:rsidRPr="009B704A">
        <w:rPr>
          <w:rFonts w:cs="Arial"/>
          <w:shd w:val="clear" w:color="auto" w:fill="FFFFFF"/>
        </w:rPr>
        <w:t> “(F x C</w:t>
      </w:r>
      <w:r w:rsidRPr="009B704A">
        <w:rPr>
          <w:rFonts w:cs="Arial"/>
          <w:shd w:val="clear" w:color="auto" w:fill="FFFFFF"/>
          <w:vertAlign w:val="superscript"/>
        </w:rPr>
        <w:t>2</w:t>
      </w:r>
      <w:r w:rsidRPr="009B704A">
        <w:rPr>
          <w:rFonts w:cs="Arial"/>
          <w:shd w:val="clear" w:color="auto" w:fill="FFFFFF"/>
        </w:rPr>
        <w:t> + G x C)</w:t>
      </w:r>
      <w:r>
        <w:rPr>
          <w:rFonts w:cs="Arial"/>
          <w:shd w:val="clear" w:color="auto" w:fill="FFFFFF"/>
        </w:rPr>
        <w:t xml:space="preserve"> respectievelijk</w:t>
      </w:r>
      <w:r w:rsidRPr="009B704A" w:rsidDel="00715EAE">
        <w:rPr>
          <w:rFonts w:cs="Arial"/>
          <w:shd w:val="clear" w:color="auto" w:fill="FFFFFF"/>
        </w:rPr>
        <w:t xml:space="preserve"> </w:t>
      </w:r>
      <w:r w:rsidRPr="009B704A">
        <w:rPr>
          <w:rFonts w:cs="Arial"/>
          <w:shd w:val="clear" w:color="auto" w:fill="FFFFFF"/>
        </w:rPr>
        <w:t>(H x C</w:t>
      </w:r>
      <w:r w:rsidRPr="009B704A">
        <w:rPr>
          <w:rFonts w:cs="Arial"/>
          <w:shd w:val="clear" w:color="auto" w:fill="FFFFFF"/>
          <w:vertAlign w:val="superscript"/>
        </w:rPr>
        <w:t>2</w:t>
      </w:r>
      <w:r w:rsidRPr="009B704A">
        <w:rPr>
          <w:rFonts w:cs="Arial"/>
          <w:shd w:val="clear" w:color="auto" w:fill="FFFFFF"/>
        </w:rPr>
        <w:t> + I x C)</w:t>
      </w:r>
      <w:r w:rsidR="006D6B5C">
        <w:rPr>
          <w:rFonts w:cs="Arial"/>
          <w:shd w:val="clear" w:color="auto" w:fill="FFFFFF"/>
        </w:rPr>
        <w:t>”</w:t>
      </w:r>
      <w:r w:rsidRPr="009B704A">
        <w:rPr>
          <w:rFonts w:cs="Arial"/>
          <w:shd w:val="clear" w:color="auto" w:fill="FFFFFF"/>
        </w:rPr>
        <w:t xml:space="preserve"> </w:t>
      </w:r>
      <w:r>
        <w:rPr>
          <w:rFonts w:cs="Arial"/>
          <w:shd w:val="clear" w:color="auto" w:fill="FFFFFF"/>
        </w:rPr>
        <w:t xml:space="preserve">vervangen door </w:t>
      </w:r>
      <w:r w:rsidRPr="009B704A">
        <w:rPr>
          <w:rFonts w:cs="Arial"/>
          <w:shd w:val="clear" w:color="auto" w:fill="FFFFFF"/>
        </w:rPr>
        <w:t>“</w:t>
      </w:r>
      <w:r w:rsidRPr="009B704A">
        <w:rPr>
          <w:rFonts w:cs="Arial"/>
        </w:rPr>
        <w:t>(</w:t>
      </w:r>
      <w:r w:rsidR="006D6B5C">
        <w:rPr>
          <w:rFonts w:cs="Arial"/>
        </w:rPr>
        <w:t>I</w:t>
      </w:r>
      <w:r w:rsidRPr="009B704A">
        <w:rPr>
          <w:rFonts w:cs="Arial"/>
        </w:rPr>
        <w:t xml:space="preserve"> x (</w:t>
      </w:r>
      <w:r w:rsidR="006D6B5C">
        <w:rPr>
          <w:rFonts w:cs="Arial"/>
        </w:rPr>
        <w:t xml:space="preserve">F </w:t>
      </w:r>
      <w:r w:rsidRPr="009B704A">
        <w:rPr>
          <w:rFonts w:cs="Arial"/>
        </w:rPr>
        <w:t>/</w:t>
      </w:r>
      <w:r w:rsidR="006D6B5C">
        <w:rPr>
          <w:rFonts w:cs="Arial"/>
        </w:rPr>
        <w:t xml:space="preserve"> </w:t>
      </w:r>
      <w:r w:rsidRPr="009B704A">
        <w:rPr>
          <w:rFonts w:cs="Arial"/>
        </w:rPr>
        <w:t>12))</w:t>
      </w:r>
      <w:r>
        <w:rPr>
          <w:rFonts w:cs="Arial"/>
        </w:rPr>
        <w:t xml:space="preserve"> respectievelijk </w:t>
      </w:r>
      <w:r w:rsidRPr="009B704A">
        <w:rPr>
          <w:rFonts w:cs="Arial"/>
        </w:rPr>
        <w:t>(</w:t>
      </w:r>
      <w:r w:rsidR="006D6B5C">
        <w:rPr>
          <w:rFonts w:cs="Arial"/>
        </w:rPr>
        <w:t>I</w:t>
      </w:r>
      <w:r w:rsidRPr="009B704A">
        <w:rPr>
          <w:rFonts w:cs="Arial"/>
        </w:rPr>
        <w:t xml:space="preserve"> x (</w:t>
      </w:r>
      <w:r w:rsidR="006D6B5C">
        <w:rPr>
          <w:rFonts w:cs="Arial"/>
        </w:rPr>
        <w:t xml:space="preserve">G </w:t>
      </w:r>
      <w:r w:rsidRPr="009B704A">
        <w:rPr>
          <w:rFonts w:cs="Arial"/>
        </w:rPr>
        <w:t>/</w:t>
      </w:r>
      <w:r w:rsidR="006D6B5C">
        <w:rPr>
          <w:rFonts w:cs="Arial"/>
        </w:rPr>
        <w:t xml:space="preserve"> </w:t>
      </w:r>
      <w:r w:rsidRPr="009B704A">
        <w:rPr>
          <w:rFonts w:cs="Arial"/>
        </w:rPr>
        <w:t>12))”</w:t>
      </w:r>
      <w:r>
        <w:rPr>
          <w:rFonts w:cs="Arial"/>
        </w:rPr>
        <w:t>.</w:t>
      </w:r>
    </w:p>
    <w:p w:rsidR="00C06BB5" w:rsidP="00C06BB5" w:rsidRDefault="00C06BB5" w14:paraId="09968C81" w14:textId="77777777">
      <w:pPr>
        <w:rPr>
          <w:rFonts w:cs="Arial"/>
        </w:rPr>
      </w:pPr>
    </w:p>
    <w:p w:rsidR="00C06BB5" w:rsidP="00C06BB5" w:rsidRDefault="00C06BB5" w14:paraId="44287900" w14:textId="3DE75674">
      <w:pPr>
        <w:rPr>
          <w:rFonts w:cs="Arial"/>
          <w:shd w:val="clear" w:color="auto" w:fill="FFFFFF"/>
        </w:rPr>
      </w:pPr>
      <w:r w:rsidRPr="009B704A">
        <w:rPr>
          <w:rFonts w:cs="Arial"/>
        </w:rPr>
        <w:lastRenderedPageBreak/>
        <w:t xml:space="preserve">3. </w:t>
      </w:r>
      <w:r>
        <w:rPr>
          <w:rFonts w:cs="Arial"/>
        </w:rPr>
        <w:t xml:space="preserve">In het </w:t>
      </w:r>
      <w:r w:rsidRPr="009B704A">
        <w:rPr>
          <w:rFonts w:cs="Arial"/>
        </w:rPr>
        <w:t>negende lid wordt “</w:t>
      </w:r>
      <w:r w:rsidRPr="009B704A">
        <w:rPr>
          <w:rFonts w:cs="Arial"/>
          <w:shd w:val="clear" w:color="auto" w:fill="FFFFFF"/>
        </w:rPr>
        <w:t>(F x C</w:t>
      </w:r>
      <w:r w:rsidRPr="009B704A">
        <w:rPr>
          <w:rFonts w:cs="Arial"/>
          <w:shd w:val="clear" w:color="auto" w:fill="FFFFFF"/>
          <w:vertAlign w:val="superscript"/>
        </w:rPr>
        <w:t>2</w:t>
      </w:r>
      <w:r w:rsidRPr="009B704A">
        <w:rPr>
          <w:rFonts w:cs="Arial"/>
          <w:shd w:val="clear" w:color="auto" w:fill="FFFFFF"/>
        </w:rPr>
        <w:t> + G x C)</w:t>
      </w:r>
      <w:r>
        <w:rPr>
          <w:rFonts w:cs="Arial"/>
          <w:shd w:val="clear" w:color="auto" w:fill="FFFFFF"/>
        </w:rPr>
        <w:t xml:space="preserve"> en </w:t>
      </w:r>
      <w:r w:rsidRPr="009B704A">
        <w:rPr>
          <w:rFonts w:cs="Arial"/>
          <w:shd w:val="clear" w:color="auto" w:fill="FFFFFF"/>
        </w:rPr>
        <w:t>(H x C</w:t>
      </w:r>
      <w:r w:rsidRPr="009B704A">
        <w:rPr>
          <w:rFonts w:cs="Arial"/>
          <w:shd w:val="clear" w:color="auto" w:fill="FFFFFF"/>
          <w:vertAlign w:val="superscript"/>
        </w:rPr>
        <w:t>2</w:t>
      </w:r>
      <w:r w:rsidRPr="009B704A">
        <w:rPr>
          <w:rFonts w:cs="Arial"/>
          <w:shd w:val="clear" w:color="auto" w:fill="FFFFFF"/>
        </w:rPr>
        <w:t> + I x C)”vervangen door “</w:t>
      </w:r>
      <w:r w:rsidRPr="009B704A">
        <w:rPr>
          <w:rFonts w:cs="Arial"/>
        </w:rPr>
        <w:t>(</w:t>
      </w:r>
      <w:r w:rsidR="006D6B5C">
        <w:rPr>
          <w:rFonts w:cs="Arial"/>
        </w:rPr>
        <w:t>I</w:t>
      </w:r>
      <w:r w:rsidRPr="009B704A">
        <w:rPr>
          <w:rFonts w:cs="Arial"/>
        </w:rPr>
        <w:t xml:space="preserve"> x (</w:t>
      </w:r>
      <w:r w:rsidR="006D6B5C">
        <w:rPr>
          <w:rFonts w:cs="Arial"/>
        </w:rPr>
        <w:t xml:space="preserve">F </w:t>
      </w:r>
      <w:r w:rsidRPr="009B704A">
        <w:rPr>
          <w:rFonts w:cs="Arial"/>
        </w:rPr>
        <w:t>/</w:t>
      </w:r>
      <w:r w:rsidR="006D6B5C">
        <w:rPr>
          <w:rFonts w:cs="Arial"/>
        </w:rPr>
        <w:t xml:space="preserve"> </w:t>
      </w:r>
      <w:r w:rsidRPr="009B704A">
        <w:rPr>
          <w:rFonts w:cs="Arial"/>
        </w:rPr>
        <w:t>12))</w:t>
      </w:r>
      <w:r>
        <w:rPr>
          <w:rFonts w:cs="Arial"/>
        </w:rPr>
        <w:t xml:space="preserve"> en </w:t>
      </w:r>
      <w:r w:rsidRPr="009B704A">
        <w:rPr>
          <w:rFonts w:cs="Arial"/>
        </w:rPr>
        <w:t>(</w:t>
      </w:r>
      <w:r w:rsidR="006D6B5C">
        <w:rPr>
          <w:rFonts w:cs="Arial"/>
        </w:rPr>
        <w:t>I</w:t>
      </w:r>
      <w:r w:rsidRPr="009B704A">
        <w:rPr>
          <w:rFonts w:cs="Arial"/>
        </w:rPr>
        <w:t xml:space="preserve"> x (</w:t>
      </w:r>
      <w:r w:rsidR="006D6B5C">
        <w:rPr>
          <w:rFonts w:cs="Arial"/>
        </w:rPr>
        <w:t xml:space="preserve">G </w:t>
      </w:r>
      <w:r w:rsidRPr="009B704A">
        <w:rPr>
          <w:rFonts w:cs="Arial"/>
        </w:rPr>
        <w:t>/</w:t>
      </w:r>
      <w:r w:rsidR="006D6B5C">
        <w:rPr>
          <w:rFonts w:cs="Arial"/>
        </w:rPr>
        <w:t xml:space="preserve"> </w:t>
      </w:r>
      <w:r w:rsidRPr="009B704A">
        <w:rPr>
          <w:rFonts w:cs="Arial"/>
        </w:rPr>
        <w:t>12))” en</w:t>
      </w:r>
      <w:r w:rsidR="006D6B5C">
        <w:rPr>
          <w:rFonts w:cs="Arial"/>
        </w:rPr>
        <w:t xml:space="preserve"> wordt</w:t>
      </w:r>
      <w:r w:rsidRPr="009B704A">
        <w:rPr>
          <w:rFonts w:cs="Arial"/>
        </w:rPr>
        <w:t xml:space="preserve"> “</w:t>
      </w:r>
      <w:r w:rsidRPr="009B704A">
        <w:rPr>
          <w:rFonts w:cs="Arial"/>
          <w:shd w:val="clear" w:color="auto" w:fill="FFFFFF"/>
        </w:rPr>
        <w:t>C, F, G, H en I” vervangen door “</w:t>
      </w:r>
      <w:r w:rsidR="006D6B5C">
        <w:rPr>
          <w:rFonts w:cs="Arial"/>
          <w:shd w:val="clear" w:color="auto" w:fill="FFFFFF"/>
        </w:rPr>
        <w:t>F</w:t>
      </w:r>
      <w:r w:rsidRPr="009B704A">
        <w:rPr>
          <w:rFonts w:cs="Arial"/>
          <w:shd w:val="clear" w:color="auto" w:fill="FFFFFF"/>
        </w:rPr>
        <w:t xml:space="preserve">, </w:t>
      </w:r>
      <w:r w:rsidR="006D6B5C">
        <w:rPr>
          <w:rFonts w:cs="Arial"/>
          <w:shd w:val="clear" w:color="auto" w:fill="FFFFFF"/>
        </w:rPr>
        <w:t>G</w:t>
      </w:r>
      <w:r w:rsidRPr="009B704A">
        <w:rPr>
          <w:rFonts w:cs="Arial"/>
          <w:shd w:val="clear" w:color="auto" w:fill="FFFFFF"/>
        </w:rPr>
        <w:t xml:space="preserve"> en I”</w:t>
      </w:r>
      <w:r>
        <w:rPr>
          <w:rFonts w:cs="Arial"/>
          <w:shd w:val="clear" w:color="auto" w:fill="FFFFFF"/>
        </w:rPr>
        <w:t>.</w:t>
      </w:r>
    </w:p>
    <w:p w:rsidR="00C06BB5" w:rsidP="00C06BB5" w:rsidRDefault="00C06BB5" w14:paraId="5FB6D129" w14:textId="77777777">
      <w:pPr>
        <w:rPr>
          <w:rFonts w:cs="Arial"/>
          <w:shd w:val="clear" w:color="auto" w:fill="FFFFFF"/>
        </w:rPr>
      </w:pPr>
    </w:p>
    <w:p w:rsidR="002F1452" w:rsidP="00C06BB5" w:rsidRDefault="002F1452" w14:paraId="624EC37D" w14:textId="7BE9C414">
      <w:pPr>
        <w:rPr>
          <w:rFonts w:cs="Arial"/>
          <w:shd w:val="clear" w:color="auto" w:fill="FFFFFF"/>
        </w:rPr>
      </w:pPr>
      <w:r>
        <w:rPr>
          <w:rFonts w:cs="Arial"/>
          <w:shd w:val="clear" w:color="auto" w:fill="FFFFFF"/>
        </w:rPr>
        <w:t>F</w:t>
      </w:r>
    </w:p>
    <w:p w:rsidR="002F1452" w:rsidP="00C06BB5" w:rsidRDefault="002F1452" w14:paraId="6DC2006C" w14:textId="77777777">
      <w:pPr>
        <w:rPr>
          <w:rFonts w:cs="Arial"/>
          <w:shd w:val="clear" w:color="auto" w:fill="FFFFFF"/>
        </w:rPr>
      </w:pPr>
    </w:p>
    <w:p w:rsidR="002F1452" w:rsidP="00C06BB5" w:rsidRDefault="002F1452" w14:paraId="2EDEA610" w14:textId="43BA21D3">
      <w:pPr>
        <w:rPr>
          <w:rFonts w:cs="Arial"/>
          <w:shd w:val="clear" w:color="auto" w:fill="FFFFFF"/>
        </w:rPr>
      </w:pPr>
      <w:r>
        <w:rPr>
          <w:rFonts w:cs="Arial"/>
          <w:shd w:val="clear" w:color="auto" w:fill="FFFFFF"/>
        </w:rPr>
        <w:t>Artikel VIII (nieuw) wordt als volgt gewijzigd:</w:t>
      </w:r>
    </w:p>
    <w:p w:rsidR="002F1452" w:rsidP="00C06BB5" w:rsidRDefault="002F1452" w14:paraId="4BFCA469" w14:textId="77777777">
      <w:pPr>
        <w:rPr>
          <w:rFonts w:cs="Arial"/>
          <w:shd w:val="clear" w:color="auto" w:fill="FFFFFF"/>
        </w:rPr>
      </w:pPr>
    </w:p>
    <w:p w:rsidR="002F1452" w:rsidP="00C06BB5" w:rsidRDefault="002F1452" w14:paraId="3B3AD034" w14:textId="691FFFFE">
      <w:pPr>
        <w:rPr>
          <w:rFonts w:cs="Arial"/>
          <w:shd w:val="clear" w:color="auto" w:fill="FFFFFF"/>
        </w:rPr>
      </w:pPr>
      <w:r>
        <w:rPr>
          <w:rFonts w:cs="Arial"/>
          <w:shd w:val="clear" w:color="auto" w:fill="FFFFFF"/>
        </w:rPr>
        <w:t>1. Onderdeel A, onder 2, komt te luiden:</w:t>
      </w:r>
    </w:p>
    <w:p w:rsidR="002F1452" w:rsidP="00C06BB5" w:rsidRDefault="002F1452" w14:paraId="792F3ADB" w14:textId="77777777">
      <w:pPr>
        <w:rPr>
          <w:rFonts w:cs="Arial"/>
          <w:shd w:val="clear" w:color="auto" w:fill="FFFFFF"/>
        </w:rPr>
      </w:pPr>
    </w:p>
    <w:p w:rsidR="002F1452" w:rsidP="00C06BB5" w:rsidRDefault="002F1452" w14:paraId="0EB36482" w14:textId="4BD14A0E">
      <w:pPr>
        <w:rPr>
          <w:rFonts w:cs="Arial"/>
          <w:shd w:val="clear" w:color="auto" w:fill="FFFFFF"/>
        </w:rPr>
      </w:pPr>
      <w:r>
        <w:rPr>
          <w:rFonts w:cs="Arial"/>
          <w:shd w:val="clear" w:color="auto" w:fill="FFFFFF"/>
        </w:rPr>
        <w:t>2. wordt in artikel III, onderdeel E, onder 4, na “(nieuw)” ingevoegd “vervalt “5, derde lid, onderdelen a, b, c en d (maximum service-kosten),”,”.</w:t>
      </w:r>
    </w:p>
    <w:p w:rsidR="002F1452" w:rsidP="00C06BB5" w:rsidRDefault="002F1452" w14:paraId="7C86765C" w14:textId="77777777">
      <w:pPr>
        <w:rPr>
          <w:rFonts w:cs="Arial"/>
          <w:shd w:val="clear" w:color="auto" w:fill="FFFFFF"/>
        </w:rPr>
      </w:pPr>
    </w:p>
    <w:p w:rsidR="002F1452" w:rsidP="00C06BB5" w:rsidRDefault="002F1452" w14:paraId="039F381B" w14:textId="3E14113A">
      <w:pPr>
        <w:rPr>
          <w:rFonts w:cs="Arial"/>
          <w:shd w:val="clear" w:color="auto" w:fill="FFFFFF"/>
        </w:rPr>
      </w:pPr>
      <w:r>
        <w:rPr>
          <w:rFonts w:cs="Arial"/>
          <w:shd w:val="clear" w:color="auto" w:fill="FFFFFF"/>
        </w:rPr>
        <w:t>2. In onderdeel B, onder 2, onder b, wordt “4” vervangen door “2” en wordt “zesde” vervangen door “zevende”.</w:t>
      </w:r>
    </w:p>
    <w:p w:rsidR="002F1452" w:rsidP="00C06BB5" w:rsidRDefault="002F1452" w14:paraId="18CDFE19" w14:textId="77777777">
      <w:pPr>
        <w:rPr>
          <w:rFonts w:cs="Arial"/>
          <w:shd w:val="clear" w:color="auto" w:fill="FFFFFF"/>
        </w:rPr>
      </w:pPr>
    </w:p>
    <w:p w:rsidR="00AA03D3" w:rsidP="00485C9D" w:rsidRDefault="002F1452" w14:paraId="5D4D5BA4" w14:textId="37542111">
      <w:pPr>
        <w:tabs>
          <w:tab w:val="left" w:pos="1418"/>
        </w:tabs>
      </w:pPr>
      <w:r>
        <w:t>G</w:t>
      </w:r>
    </w:p>
    <w:p w:rsidR="00E961CD" w:rsidP="00485C9D" w:rsidRDefault="00E961CD" w14:paraId="146F4628" w14:textId="77777777">
      <w:pPr>
        <w:tabs>
          <w:tab w:val="left" w:pos="1418"/>
        </w:tabs>
      </w:pPr>
    </w:p>
    <w:p w:rsidR="00E961CD" w:rsidP="00485C9D" w:rsidRDefault="00E961CD" w14:paraId="2486306F" w14:textId="271EF6DA">
      <w:pPr>
        <w:tabs>
          <w:tab w:val="left" w:pos="1418"/>
        </w:tabs>
      </w:pPr>
      <w:r>
        <w:t>In artikel IX (nieuw) wordt “en III” vervangen door “, III, IV, V en VI”.</w:t>
      </w:r>
    </w:p>
    <w:p w:rsidR="00AA03D3" w:rsidP="00485C9D" w:rsidRDefault="00AA03D3" w14:paraId="4B0F3C93" w14:textId="77777777">
      <w:pPr>
        <w:tabs>
          <w:tab w:val="left" w:pos="1418"/>
        </w:tabs>
      </w:pPr>
    </w:p>
    <w:p w:rsidR="00485C9D" w:rsidP="00485C9D" w:rsidRDefault="00485C9D" w14:paraId="24ABFDAE" w14:textId="7C04639C">
      <w:pPr>
        <w:tabs>
          <w:tab w:val="left" w:pos="1418"/>
        </w:tabs>
      </w:pPr>
      <w:r>
        <w:rPr>
          <w:b/>
          <w:bCs/>
        </w:rPr>
        <w:t>Toelichting</w:t>
      </w:r>
    </w:p>
    <w:p w:rsidR="00485C9D" w:rsidP="00485C9D" w:rsidRDefault="00485C9D" w14:paraId="541D4180" w14:textId="77777777">
      <w:pPr>
        <w:tabs>
          <w:tab w:val="left" w:pos="1418"/>
        </w:tabs>
      </w:pPr>
    </w:p>
    <w:p w:rsidRPr="000D115B" w:rsidR="000D115B" w:rsidP="00485C9D" w:rsidRDefault="000D115B" w14:paraId="0C8F23ED" w14:textId="486AE333">
      <w:pPr>
        <w:tabs>
          <w:tab w:val="left" w:pos="1418"/>
        </w:tabs>
        <w:rPr>
          <w:b/>
          <w:bCs/>
        </w:rPr>
      </w:pPr>
      <w:r>
        <w:rPr>
          <w:b/>
          <w:bCs/>
        </w:rPr>
        <w:t>I. Algemeen</w:t>
      </w:r>
    </w:p>
    <w:p w:rsidR="000D115B" w:rsidP="00485C9D" w:rsidRDefault="000D115B" w14:paraId="49C5522D" w14:textId="77777777">
      <w:pPr>
        <w:tabs>
          <w:tab w:val="left" w:pos="1418"/>
        </w:tabs>
      </w:pPr>
    </w:p>
    <w:p w:rsidR="000D115B" w:rsidP="00485C9D" w:rsidRDefault="000D115B" w14:paraId="12E2FE61" w14:textId="10ED2C80">
      <w:pPr>
        <w:tabs>
          <w:tab w:val="left" w:pos="1418"/>
        </w:tabs>
      </w:pPr>
      <w:r>
        <w:t>Deze nota van wijziging heeft in hoofdzaak betrekking op het laten aansluiten van de berekening van de beslagvrije voet op de nieuwe berekening van de huurtoeslag. Daarnaast worden enkele wetstechnische misslagen hersteld.</w:t>
      </w:r>
    </w:p>
    <w:p w:rsidR="000D115B" w:rsidP="00485C9D" w:rsidRDefault="000D115B" w14:paraId="670926B3" w14:textId="77777777">
      <w:pPr>
        <w:tabs>
          <w:tab w:val="left" w:pos="1418"/>
        </w:tabs>
      </w:pPr>
    </w:p>
    <w:p w:rsidRPr="000D115B" w:rsidR="000D115B" w:rsidP="00485C9D" w:rsidRDefault="000D115B" w14:paraId="60DD3FF8" w14:textId="0FED810B">
      <w:pPr>
        <w:tabs>
          <w:tab w:val="left" w:pos="1418"/>
        </w:tabs>
        <w:rPr>
          <w:b/>
          <w:bCs/>
        </w:rPr>
      </w:pPr>
      <w:r w:rsidRPr="000D115B">
        <w:rPr>
          <w:b/>
          <w:bCs/>
          <w:i/>
          <w:iCs/>
        </w:rPr>
        <w:t>Wijzigingen met betrekking tot de beslagvrije voet</w:t>
      </w:r>
    </w:p>
    <w:p w:rsidR="000D115B" w:rsidP="00485C9D" w:rsidRDefault="000D115B" w14:paraId="2CD78860" w14:textId="77777777">
      <w:pPr>
        <w:tabs>
          <w:tab w:val="left" w:pos="1418"/>
        </w:tabs>
      </w:pPr>
    </w:p>
    <w:p w:rsidRPr="000D115B" w:rsidR="000D115B" w:rsidP="00485C9D" w:rsidRDefault="000D115B" w14:paraId="37497C47" w14:textId="6AB367A8">
      <w:pPr>
        <w:tabs>
          <w:tab w:val="left" w:pos="1418"/>
        </w:tabs>
        <w:rPr>
          <w:i/>
          <w:iCs/>
        </w:rPr>
      </w:pPr>
      <w:r>
        <w:rPr>
          <w:i/>
          <w:iCs/>
        </w:rPr>
        <w:t>1. Inleiding</w:t>
      </w:r>
    </w:p>
    <w:p w:rsidR="000D115B" w:rsidP="000D115B" w:rsidRDefault="000D115B" w14:paraId="40069E2E" w14:textId="77777777">
      <w:r>
        <w:t xml:space="preserve">Mensen moeten aan hun financiële verplichtingen voldoen, maar niet ten koste van alles. Zij moeten voldoende middelen overhouden om in de (basale) kosten van levensonderhoud te kunnen voorzien. Hiervoor dient de beslagvrije voet. Een </w:t>
      </w:r>
      <w:proofErr w:type="spellStart"/>
      <w:r>
        <w:t>beslagleggende</w:t>
      </w:r>
      <w:proofErr w:type="spellEnd"/>
      <w:r>
        <w:t xml:space="preserve"> partij moet de beslagvrije voet in acht nemen als hij beslag legt op bepaalde aan de schuldenaar toekomende vorderingen tot periodieke betalingen. </w:t>
      </w:r>
      <w:r w:rsidRPr="00932C76">
        <w:t>Het gaat daarbij in de meeste gevallen om beslag op het loon of op een uitkering. De deurwaarder legt hiervoor derdenbeslag onder een werkgever respectievelijk een uitkeringsinstantie. Het betreft veelal periodieke betalingen waarop de schuldenaar is aangewezen om in zijn levensonderhoud te voorzien.</w:t>
      </w:r>
      <w:r>
        <w:rPr>
          <w:rStyle w:val="Voetnootmarkering"/>
        </w:rPr>
        <w:footnoteReference w:id="1"/>
      </w:r>
    </w:p>
    <w:p w:rsidR="000D115B" w:rsidP="000D115B" w:rsidRDefault="000D115B" w14:paraId="58EF1B55" w14:textId="77777777"/>
    <w:p w:rsidR="000D115B" w:rsidP="000D115B" w:rsidRDefault="006D6B5C" w14:paraId="67F876CD" w14:textId="30F3A2D6">
      <w:pPr>
        <w:rPr>
          <w:color w:val="211D1F"/>
        </w:rPr>
      </w:pPr>
      <w:r>
        <w:t xml:space="preserve">Per 1 januari 2021 is de Wet vereenvoudiging beslagvrije voet van kracht geworden. Toen is besloten om bij de variabelen in de </w:t>
      </w:r>
      <w:r>
        <w:rPr>
          <w:color w:val="211D1F"/>
        </w:rPr>
        <w:t>formules voor de vaststelling van de beslagvrije voet aan te sluiten bij bedragen en formules in andere wetten, zoals de Wet op de huurtoeslag.</w:t>
      </w:r>
      <w:r>
        <w:rPr>
          <w:rStyle w:val="Voetnootmarkering"/>
          <w:color w:val="211D1F"/>
        </w:rPr>
        <w:footnoteReference w:id="2"/>
      </w:r>
      <w:r>
        <w:rPr>
          <w:color w:val="211D1F"/>
        </w:rPr>
        <w:t xml:space="preserve"> </w:t>
      </w:r>
      <w:r>
        <w:t xml:space="preserve">In de beslagvrije voet wordt gecompenseerd voor de niet ontvangen huurtoeslag over het deel van het inkomen waar beslag op ligt. </w:t>
      </w:r>
      <w:r>
        <w:rPr>
          <w:color w:val="211D1F"/>
        </w:rPr>
        <w:t>Sindsdien zijn wijzigingen in de Wet op de huurtoeslag steeds zo goed mogelijk gevolgd in de berekening van de beslagvrije voet.</w:t>
      </w:r>
    </w:p>
    <w:p w:rsidR="000D115B" w:rsidP="000D115B" w:rsidRDefault="000D115B" w14:paraId="41F27808" w14:textId="77777777">
      <w:pPr>
        <w:rPr>
          <w:color w:val="211D1F"/>
        </w:rPr>
      </w:pPr>
    </w:p>
    <w:p w:rsidR="000D115B" w:rsidP="000D115B" w:rsidRDefault="000D115B" w14:paraId="0DF3916B" w14:textId="77777777">
      <w:r>
        <w:rPr>
          <w:color w:val="211D1F"/>
        </w:rPr>
        <w:t xml:space="preserve">Het </w:t>
      </w:r>
      <w:r>
        <w:t>voorliggende wetsvoorstel tot wijziging van de Wet verlaging eigen bijdrage huurtoeslag, de Wet op de huurtoeslag en enkele andere wetten ter verbetering van de koopkracht en vereenvoudiging van de regeling</w:t>
      </w:r>
      <w:r>
        <w:rPr>
          <w:rStyle w:val="Voetnootmarkering"/>
        </w:rPr>
        <w:footnoteReference w:id="3"/>
      </w:r>
      <w:r>
        <w:t xml:space="preserve"> (hierna ook: het wetsvoorstel) laat het principe dat de berekening van de beslagvrije voet de systematiek van de huurtoeslag volgt, los. Deze nota van wijziging past dat aan.</w:t>
      </w:r>
    </w:p>
    <w:p w:rsidR="000D115B" w:rsidP="000D115B" w:rsidRDefault="000D115B" w14:paraId="541E666C" w14:textId="77777777"/>
    <w:p w:rsidR="006C766E" w:rsidP="000D115B" w:rsidRDefault="006C766E" w14:paraId="38AC7CBD" w14:textId="77777777"/>
    <w:p w:rsidR="006C766E" w:rsidP="000D115B" w:rsidRDefault="006C766E" w14:paraId="71796DF4" w14:textId="77777777"/>
    <w:p w:rsidRPr="000D115B" w:rsidR="000D115B" w:rsidP="000D115B" w:rsidRDefault="000D115B" w14:paraId="2D4C320D" w14:textId="72BD1101">
      <w:pPr>
        <w:rPr>
          <w:i/>
          <w:iCs/>
        </w:rPr>
      </w:pPr>
      <w:r>
        <w:rPr>
          <w:i/>
          <w:iCs/>
        </w:rPr>
        <w:lastRenderedPageBreak/>
        <w:t xml:space="preserve">2. </w:t>
      </w:r>
      <w:r w:rsidRPr="000D115B">
        <w:rPr>
          <w:i/>
          <w:iCs/>
        </w:rPr>
        <w:t>Inhoud nota van wijziging</w:t>
      </w:r>
    </w:p>
    <w:p w:rsidR="000D115B" w:rsidP="000D115B" w:rsidRDefault="000D115B" w14:paraId="5F28D704" w14:textId="77777777">
      <w:r>
        <w:t>Het wetsvoorstel regelt via het voorgestelde artikel 51, onderdeel d, dat de beslagvrije voet wordt berekend op basis van de oude systematiek van de huurtoeslag, zoals die tot inwerkingtreding van het voorliggende wetsvoorstel werd berekend. Dat is echter onwenselijk. Bij het berekenen van de beslagvrije voet wordt namelijk zoveel mogelijk gelijke tred gehouden met de afbouw van het recht op toeslagen naarmate het inkomen van de schuldenaar stijgt. Door de systematiek van berekening los te knippen komt de compensatie voor woonkosten in de beslagvrije voet niet meer overeen met waar de beslagene werkelijk aan huurtoeslag recht op zou hebben. Door dit aan te passen via deze nota van wijziging en de systematiek van de huurtoeslag te blijven volgen, wordt er met de beslagvrije voet zo min mogelijk onder- of overgecompenseerd bij wijzigingen in de huurtoeslag.</w:t>
      </w:r>
    </w:p>
    <w:p w:rsidR="000D115B" w:rsidP="000D115B" w:rsidRDefault="000D115B" w14:paraId="3CCD9A6E" w14:textId="77777777"/>
    <w:p w:rsidRPr="00147BD6" w:rsidR="000D115B" w:rsidP="000D115B" w:rsidRDefault="000D115B" w14:paraId="36AA4FF8" w14:textId="77777777">
      <w:r w:rsidRPr="001B673C">
        <w:rPr>
          <w:i/>
          <w:iCs/>
        </w:rPr>
        <w:t>Lineaire inkomensafhankelijke afbouw huurtoeslag</w:t>
      </w:r>
    </w:p>
    <w:p w:rsidR="000D115B" w:rsidP="000D115B" w:rsidRDefault="000D115B" w14:paraId="3ECAA70C" w14:textId="77777777">
      <w:r>
        <w:t xml:space="preserve">De berekening van de beslagvrije voet wordt eenvoudiger. De berekening waarmee de huurtoeslag wordt afgebouwd naarmate het inkomen stijgt wordt in het wetsvoorstel namelijk aangepast. De huidige kwadratische formule wordt een lineaire formule. </w:t>
      </w:r>
      <w:r w:rsidRPr="00D86C97">
        <w:t xml:space="preserve">Gebruik van een lineaire formule zorgt ervoor dat er gelijkmatig wordt afgebouwd </w:t>
      </w:r>
      <w:r>
        <w:t>en</w:t>
      </w:r>
      <w:r w:rsidRPr="00D86C97">
        <w:t xml:space="preserve"> gecompenseerd.</w:t>
      </w:r>
    </w:p>
    <w:p w:rsidR="000D115B" w:rsidP="000D115B" w:rsidRDefault="000D115B" w14:paraId="7F775BE9" w14:textId="77777777"/>
    <w:p w:rsidR="000D115B" w:rsidP="000D115B" w:rsidRDefault="000D115B" w14:paraId="210DF0B5" w14:textId="56014B24">
      <w:r>
        <w:t xml:space="preserve">Bij inwerkingtreding van de Wet vereenvoudiging beslagvrije voet is, in het licht van ontwikkelingen op de woningmarkt, besloten de compensatie voor woonkosten te laten doorlopen tot de normhuur die hoort bij de maximale rekenhuur voor huurtoeslag, langer dan dat er daadwerkelijk recht op huurtoeslag bestaat. </w:t>
      </w:r>
      <w:r w:rsidR="006D6B5C">
        <w:t xml:space="preserve">De normhuur </w:t>
      </w:r>
      <w:r w:rsidRPr="004149B5" w:rsidR="006D6B5C">
        <w:t>is het inkomensafhankelijk</w:t>
      </w:r>
      <w:r w:rsidR="006D6B5C">
        <w:t>e</w:t>
      </w:r>
      <w:r w:rsidRPr="004149B5" w:rsidR="006D6B5C">
        <w:t xml:space="preserve"> deel van de eigen bijdrage</w:t>
      </w:r>
      <w:r>
        <w:t>. Dit betekent dat ook bij inkomens die niet meer voor huurtoeslag in aanmerking komen (de huurtoeslag is volledig afgebouwd) nog compensatie voor woonkosten wordt gegeven. Ook voor dit deel van de compensatie wijzigt de opbouw van kwadratisch naar lineair. De opbouw wordt daardoor gelijkmatiger, maar stijgt minder snel. De maximale opbouw wordt bereikt bij een hoger inkomen.</w:t>
      </w:r>
    </w:p>
    <w:p w:rsidR="000D115B" w:rsidP="000D115B" w:rsidRDefault="000D115B" w14:paraId="2ED81B5C" w14:textId="77777777"/>
    <w:p w:rsidR="000D115B" w:rsidP="000D115B" w:rsidRDefault="000D115B" w14:paraId="339E5677" w14:textId="41F3F542">
      <w:r>
        <w:t>In de beslagvrije voet zijn rekenregels opgenomen om de maximale beslagvrije voet te bepalen. Voor de maximale compensatie voor woonkosten en kindgebonden budget binnen de beslagvrije voet gaan deze rekenregels uit van een inkomensgrens. Deze inkomensgrens is het inkomen dat hoort bij de maximale huur waarbij nog recht bestaat op huurtoeslag (€ 879,66 in 2024). Het gevolg van aansluiting bij de systematiek van de huurtoeslag, en daarmee het gebruik van de lineaire formule in de opbouw van de woonkostencompensatie, is dat het inkomen dat hoort bij die maximale huur hoger is. De inkomensgrens komt daardoor hoger te liggen, waardoor ook de maximale compensatie voor kindgebonden budget hoger wordt.</w:t>
      </w:r>
    </w:p>
    <w:p w:rsidR="000D115B" w:rsidP="000D115B" w:rsidRDefault="000D115B" w14:paraId="5C67D5FD" w14:textId="77777777"/>
    <w:p w:rsidRPr="001B673C" w:rsidR="000D115B" w:rsidP="000D115B" w:rsidRDefault="000D115B" w14:paraId="1689450C" w14:textId="77777777">
      <w:pPr>
        <w:rPr>
          <w:i/>
          <w:iCs/>
        </w:rPr>
      </w:pPr>
      <w:r w:rsidRPr="001B673C">
        <w:rPr>
          <w:i/>
          <w:iCs/>
        </w:rPr>
        <w:t>Basishuur als basis voor berekening</w:t>
      </w:r>
    </w:p>
    <w:p w:rsidR="000D115B" w:rsidP="000D115B" w:rsidRDefault="000D115B" w14:paraId="2B2A93AF" w14:textId="77777777">
      <w:r>
        <w:t>Bij de huurtoeslag wordt uitgegaan van de basishuur, dat is het deel van de huur die een burger betaalt dat voor rekening van die burger zelf blijft. Bij de beslagvrije voet is er in de Wet vereenvoudiging beslagvrije voet voor gekozen te blijven compenseren voor niet ontvangen huurtoeslag vanaf de normhuur. Die was toen lager dan de basishuur, maar inmiddels is deze gestegen tot daarboven.</w:t>
      </w:r>
    </w:p>
    <w:p w:rsidR="000D115B" w:rsidP="000D115B" w:rsidRDefault="000D115B" w14:paraId="1B706E81" w14:textId="77777777"/>
    <w:p w:rsidR="000D115B" w:rsidP="000D115B" w:rsidRDefault="000D115B" w14:paraId="434BFABE" w14:textId="77777777">
      <w:r>
        <w:t>Door eerdere wijzigingen in de Wet op de huurtoeslag is het gat tussen de basis- en normhuur groter geworden en met het wetsvoorstel wordt deze opnieuw groter. De beslagvrije voet compenseert daarmee de huurtoeslag niet volledig. De beslagvrije voet wordt dus krapper: de beslagene moet vanuit</w:t>
      </w:r>
      <w:r w:rsidRPr="00BA72CE">
        <w:t xml:space="preserve"> de </w:t>
      </w:r>
      <w:r>
        <w:t>beslagvrije voet</w:t>
      </w:r>
      <w:r w:rsidRPr="00BA72CE">
        <w:t xml:space="preserve"> het verschil tussen de norm</w:t>
      </w:r>
      <w:r>
        <w:t>-</w:t>
      </w:r>
      <w:r w:rsidRPr="00BA72CE">
        <w:t xml:space="preserve"> en basishuur</w:t>
      </w:r>
      <w:r>
        <w:t xml:space="preserve"> zelf</w:t>
      </w:r>
      <w:r w:rsidRPr="00BA72CE">
        <w:t xml:space="preserve"> bekostigen.</w:t>
      </w:r>
    </w:p>
    <w:p w:rsidR="000D115B" w:rsidP="000D115B" w:rsidRDefault="000D115B" w14:paraId="54DF277C" w14:textId="77777777"/>
    <w:p w:rsidR="000D115B" w:rsidP="000D115B" w:rsidRDefault="006D6B5C" w14:paraId="0FFA9F6F" w14:textId="518F7126">
      <w:bookmarkStart w:name="_Hlk178071129" w:id="0"/>
      <w:r>
        <w:t>Vanuit de wens bij de berekening van de beslagvrije voet de Wet op de huurtoeslag zo goed mogelijk te volgen, wordt met deze nota van wijziging voorgesteld om over te stappen op de basishuur voor de berekening van de beslagvrije voet. Zo compenseert de woonkostencompensatie in de beslagvrije voet volledig voor</w:t>
      </w:r>
      <w:r w:rsidRPr="000C7425">
        <w:t xml:space="preserve"> </w:t>
      </w:r>
      <w:r>
        <w:t>h</w:t>
      </w:r>
      <w:r w:rsidRPr="000C7425">
        <w:t>et bedrag dat de huurtoeslagontvanger gezien zijn inkomen geacht wordt zelf te kunnen betalen (</w:t>
      </w:r>
      <w:r>
        <w:t xml:space="preserve">de </w:t>
      </w:r>
      <w:r w:rsidRPr="000C7425">
        <w:t>eigen bijdrage)</w:t>
      </w:r>
      <w:r>
        <w:t xml:space="preserve">. Met name bij hogere inkomens, waarbij compensatie volgt uit de langere doorloop van woonkostencompensatie, is de beslagvrije voet hoger indien wordt uitgegaan van de basishuur, </w:t>
      </w:r>
      <w:r>
        <w:lastRenderedPageBreak/>
        <w:t>dan wanneer wordt vastgehouden aan de systematiek van de normhuur.</w:t>
      </w:r>
      <w:r>
        <w:rPr>
          <w:rStyle w:val="Voetnootmarkering"/>
        </w:rPr>
        <w:footnoteReference w:id="4"/>
      </w:r>
      <w:r>
        <w:t xml:space="preserve"> In die laatste situatie wordt namelijk niet volledig gecompenseerd voor niet-ontvangen huurtoeslag.</w:t>
      </w:r>
    </w:p>
    <w:p w:rsidR="000D115B" w:rsidP="000D115B" w:rsidRDefault="000D115B" w14:paraId="1CC32192" w14:textId="77777777"/>
    <w:bookmarkEnd w:id="0"/>
    <w:p w:rsidRPr="000D115B" w:rsidR="000D115B" w:rsidP="000D115B" w:rsidRDefault="000D115B" w14:paraId="04EB9304" w14:textId="79553D72">
      <w:pPr>
        <w:rPr>
          <w:i/>
          <w:iCs/>
        </w:rPr>
      </w:pPr>
      <w:r>
        <w:rPr>
          <w:i/>
          <w:iCs/>
        </w:rPr>
        <w:t xml:space="preserve">3. </w:t>
      </w:r>
      <w:r w:rsidRPr="000D115B">
        <w:rPr>
          <w:i/>
          <w:iCs/>
        </w:rPr>
        <w:t>Gevolgen voor beslagenen</w:t>
      </w:r>
    </w:p>
    <w:p w:rsidR="006D6B5C" w:rsidP="006D6B5C" w:rsidRDefault="006D6B5C" w14:paraId="463D4DD4" w14:textId="77777777">
      <w:r>
        <w:t xml:space="preserve">Als gevolg van deze nota van wijziging zal in 2026, bij herberekening van de beslagvrije voet, de hoogte van de beslagvrije voet voor nieuwe beslagen en bij herberekeningen wijzigen. In welke mate het effect positief of negatief is op het besteedbaar inkomen van de beslagene hangt af van de mate waarin het effect op langer doorlopen van de compensatie voor woonkosten, de maximale compensatie kindgebonden budget en de wijziging van normhuur naar basishuur speelt in de individuele situatie. Tevens is het afhankelijk van de normwaarden die gelden per 1 januari 2026. Zie voor de gevolgen van de inwerkingtreding van de wet harmonisatie huurtoeslag en nota van wijziging in onderstaande tabel 1 en 2. </w:t>
      </w:r>
    </w:p>
    <w:p w:rsidR="006D6B5C" w:rsidP="006D6B5C" w:rsidRDefault="006D6B5C" w14:paraId="38DFA45E" w14:textId="77777777"/>
    <w:p w:rsidRPr="005175CB" w:rsidR="006D6B5C" w:rsidP="006D6B5C" w:rsidRDefault="006D6B5C" w14:paraId="76B188A1" w14:textId="77777777">
      <w:pPr>
        <w:rPr>
          <w:b/>
          <w:bCs/>
          <w:color w:val="auto"/>
          <w:sz w:val="14"/>
          <w:szCs w:val="14"/>
        </w:rPr>
      </w:pPr>
      <w:r w:rsidRPr="005175CB">
        <w:rPr>
          <w:b/>
          <w:bCs/>
          <w:color w:val="auto"/>
          <w:sz w:val="14"/>
          <w:szCs w:val="14"/>
        </w:rPr>
        <w:t xml:space="preserve">Tabel </w:t>
      </w:r>
      <w:r w:rsidRPr="005175CB">
        <w:rPr>
          <w:b/>
          <w:bCs/>
          <w:sz w:val="14"/>
          <w:szCs w:val="14"/>
        </w:rPr>
        <w:t>1</w:t>
      </w:r>
      <w:r w:rsidRPr="005175CB">
        <w:rPr>
          <w:b/>
          <w:bCs/>
          <w:color w:val="auto"/>
          <w:sz w:val="14"/>
          <w:szCs w:val="14"/>
        </w:rPr>
        <w:t xml:space="preserve">: Rekenvoorbeelden </w:t>
      </w:r>
      <w:r w:rsidRPr="005175CB">
        <w:rPr>
          <w:b/>
          <w:bCs/>
          <w:sz w:val="14"/>
          <w:szCs w:val="14"/>
        </w:rPr>
        <w:t>eenpersoonshuishoudens</w:t>
      </w:r>
      <w:r w:rsidRPr="005175CB">
        <w:rPr>
          <w:b/>
          <w:bCs/>
          <w:color w:val="auto"/>
          <w:sz w:val="14"/>
          <w:szCs w:val="14"/>
        </w:rPr>
        <w:t xml:space="preserve">; vergelijking huidige situatie </w:t>
      </w:r>
      <w:proofErr w:type="spellStart"/>
      <w:r w:rsidRPr="005175CB">
        <w:rPr>
          <w:b/>
          <w:bCs/>
          <w:color w:val="auto"/>
          <w:sz w:val="14"/>
          <w:szCs w:val="14"/>
        </w:rPr>
        <w:t>tov</w:t>
      </w:r>
      <w:proofErr w:type="spellEnd"/>
      <w:r w:rsidRPr="005175CB">
        <w:rPr>
          <w:b/>
          <w:bCs/>
          <w:color w:val="auto"/>
          <w:sz w:val="14"/>
          <w:szCs w:val="14"/>
        </w:rPr>
        <w:t xml:space="preserve"> </w:t>
      </w:r>
      <w:r w:rsidRPr="005175CB">
        <w:rPr>
          <w:b/>
          <w:bCs/>
          <w:sz w:val="14"/>
          <w:szCs w:val="14"/>
        </w:rPr>
        <w:t xml:space="preserve">invoering wet harmonisatie huurtoeslag 2026 met aansluiting </w:t>
      </w:r>
      <w:proofErr w:type="spellStart"/>
      <w:r w:rsidRPr="005175CB">
        <w:rPr>
          <w:b/>
          <w:bCs/>
          <w:sz w:val="14"/>
          <w:szCs w:val="14"/>
        </w:rPr>
        <w:t>bvv</w:t>
      </w:r>
      <w:proofErr w:type="spellEnd"/>
      <w:r w:rsidRPr="005175CB">
        <w:rPr>
          <w:b/>
          <w:bCs/>
          <w:sz w:val="14"/>
          <w:szCs w:val="14"/>
        </w:rPr>
        <w:t xml:space="preserve"> </w:t>
      </w:r>
      <w:r>
        <w:rPr>
          <w:b/>
          <w:bCs/>
          <w:sz w:val="14"/>
          <w:szCs w:val="14"/>
        </w:rPr>
        <w:t>in 2026</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402"/>
        <w:gridCol w:w="661"/>
        <w:gridCol w:w="647"/>
        <w:gridCol w:w="18"/>
        <w:gridCol w:w="791"/>
        <w:gridCol w:w="774"/>
        <w:gridCol w:w="21"/>
        <w:gridCol w:w="598"/>
        <w:gridCol w:w="585"/>
        <w:gridCol w:w="16"/>
        <w:gridCol w:w="750"/>
        <w:gridCol w:w="733"/>
        <w:gridCol w:w="20"/>
      </w:tblGrid>
      <w:tr w:rsidRPr="0069502F" w:rsidR="006D6B5C" w:rsidTr="005175CB" w14:paraId="1FEFF6C5" w14:textId="77777777">
        <w:tc>
          <w:tcPr>
            <w:tcW w:w="0" w:type="auto"/>
            <w:tcMar>
              <w:top w:w="0" w:type="dxa"/>
              <w:left w:w="108" w:type="dxa"/>
              <w:bottom w:w="0" w:type="dxa"/>
              <w:right w:w="108" w:type="dxa"/>
            </w:tcMar>
          </w:tcPr>
          <w:p w:rsidRPr="0069502F" w:rsidR="006D6B5C" w:rsidP="005175CB" w:rsidRDefault="006D6B5C" w14:paraId="13D38A91" w14:textId="77777777">
            <w:pPr>
              <w:rPr>
                <w:color w:val="auto"/>
                <w:sz w:val="14"/>
                <w:szCs w:val="14"/>
              </w:rPr>
            </w:pPr>
          </w:p>
        </w:tc>
        <w:tc>
          <w:tcPr>
            <w:tcW w:w="0" w:type="auto"/>
            <w:gridSpan w:val="3"/>
            <w:tcMar>
              <w:top w:w="0" w:type="dxa"/>
              <w:left w:w="108" w:type="dxa"/>
              <w:bottom w:w="0" w:type="dxa"/>
              <w:right w:w="108" w:type="dxa"/>
            </w:tcMar>
            <w:hideMark/>
          </w:tcPr>
          <w:p w:rsidRPr="00564BB0" w:rsidR="006D6B5C" w:rsidP="005175CB" w:rsidRDefault="006D6B5C" w14:paraId="35779CBE" w14:textId="77777777">
            <w:pPr>
              <w:jc w:val="center"/>
              <w:rPr>
                <w:color w:val="auto"/>
                <w:sz w:val="14"/>
                <w:szCs w:val="14"/>
              </w:rPr>
            </w:pPr>
            <w:r w:rsidRPr="00564BB0">
              <w:rPr>
                <w:color w:val="auto"/>
                <w:sz w:val="14"/>
                <w:szCs w:val="14"/>
              </w:rPr>
              <w:t>Bijstandsniveau</w:t>
            </w:r>
          </w:p>
          <w:p w:rsidRPr="0069502F" w:rsidR="006D6B5C" w:rsidP="005175CB" w:rsidRDefault="006D6B5C" w14:paraId="48C4E41D" w14:textId="77777777">
            <w:pPr>
              <w:jc w:val="center"/>
              <w:rPr>
                <w:sz w:val="14"/>
                <w:szCs w:val="14"/>
              </w:rPr>
            </w:pPr>
            <w:r w:rsidRPr="00564BB0">
              <w:rPr>
                <w:color w:val="auto"/>
                <w:sz w:val="14"/>
                <w:szCs w:val="14"/>
              </w:rPr>
              <w:t>€ 15.702</w:t>
            </w:r>
          </w:p>
        </w:tc>
        <w:tc>
          <w:tcPr>
            <w:tcW w:w="0" w:type="auto"/>
            <w:gridSpan w:val="3"/>
            <w:tcMar>
              <w:top w:w="0" w:type="dxa"/>
              <w:left w:w="108" w:type="dxa"/>
              <w:bottom w:w="0" w:type="dxa"/>
              <w:right w:w="108" w:type="dxa"/>
            </w:tcMar>
          </w:tcPr>
          <w:p w:rsidRPr="00564BB0" w:rsidR="006D6B5C" w:rsidP="005175CB" w:rsidRDefault="006D6B5C" w14:paraId="44700420" w14:textId="77777777">
            <w:pPr>
              <w:jc w:val="center"/>
              <w:rPr>
                <w:color w:val="auto"/>
                <w:sz w:val="14"/>
                <w:szCs w:val="14"/>
              </w:rPr>
            </w:pPr>
            <w:r w:rsidRPr="00564BB0">
              <w:rPr>
                <w:color w:val="auto"/>
                <w:sz w:val="14"/>
                <w:szCs w:val="14"/>
              </w:rPr>
              <w:t>Laag- Midden inkomen</w:t>
            </w:r>
          </w:p>
          <w:p w:rsidRPr="0069502F" w:rsidR="006D6B5C" w:rsidP="005175CB" w:rsidRDefault="006D6B5C" w14:paraId="185B266E" w14:textId="77777777">
            <w:pPr>
              <w:jc w:val="center"/>
              <w:rPr>
                <w:sz w:val="14"/>
                <w:szCs w:val="14"/>
                <w:lang w:val="de-DE"/>
              </w:rPr>
            </w:pPr>
            <w:r w:rsidRPr="00564BB0">
              <w:rPr>
                <w:color w:val="auto"/>
                <w:sz w:val="14"/>
                <w:szCs w:val="14"/>
              </w:rPr>
              <w:t>€ 23.000</w:t>
            </w:r>
          </w:p>
        </w:tc>
        <w:tc>
          <w:tcPr>
            <w:tcW w:w="0" w:type="auto"/>
            <w:gridSpan w:val="3"/>
          </w:tcPr>
          <w:p w:rsidRPr="00564BB0" w:rsidR="006D6B5C" w:rsidP="005175CB" w:rsidRDefault="006D6B5C" w14:paraId="7BDE0587" w14:textId="77777777">
            <w:pPr>
              <w:jc w:val="center"/>
              <w:rPr>
                <w:color w:val="auto"/>
                <w:sz w:val="14"/>
                <w:szCs w:val="14"/>
              </w:rPr>
            </w:pPr>
            <w:r w:rsidRPr="00564BB0">
              <w:rPr>
                <w:color w:val="auto"/>
                <w:sz w:val="14"/>
                <w:szCs w:val="14"/>
              </w:rPr>
              <w:t>Modaal</w:t>
            </w:r>
          </w:p>
          <w:p w:rsidRPr="0069502F" w:rsidR="006D6B5C" w:rsidP="005175CB" w:rsidRDefault="006D6B5C" w14:paraId="0F86F565" w14:textId="77777777">
            <w:pPr>
              <w:jc w:val="center"/>
              <w:rPr>
                <w:sz w:val="14"/>
                <w:szCs w:val="14"/>
              </w:rPr>
            </w:pPr>
            <w:r w:rsidRPr="00564BB0">
              <w:rPr>
                <w:color w:val="auto"/>
                <w:sz w:val="14"/>
                <w:szCs w:val="14"/>
              </w:rPr>
              <w:t>€ 44.500</w:t>
            </w:r>
          </w:p>
        </w:tc>
        <w:tc>
          <w:tcPr>
            <w:tcW w:w="0" w:type="auto"/>
            <w:gridSpan w:val="3"/>
            <w:tcMar>
              <w:top w:w="0" w:type="dxa"/>
              <w:left w:w="108" w:type="dxa"/>
              <w:bottom w:w="0" w:type="dxa"/>
              <w:right w:w="108" w:type="dxa"/>
            </w:tcMar>
            <w:hideMark/>
          </w:tcPr>
          <w:p w:rsidRPr="00564BB0" w:rsidR="006D6B5C" w:rsidP="005175CB" w:rsidRDefault="006D6B5C" w14:paraId="4780E627" w14:textId="77777777">
            <w:pPr>
              <w:jc w:val="center"/>
              <w:rPr>
                <w:color w:val="auto"/>
                <w:sz w:val="14"/>
                <w:szCs w:val="14"/>
                <w:lang w:val="de-DE"/>
              </w:rPr>
            </w:pPr>
            <w:r w:rsidRPr="00564BB0">
              <w:rPr>
                <w:color w:val="auto"/>
                <w:sz w:val="14"/>
                <w:szCs w:val="14"/>
                <w:lang w:val="de-DE"/>
              </w:rPr>
              <w:t xml:space="preserve">Grens maximum </w:t>
            </w:r>
            <w:proofErr w:type="spellStart"/>
            <w:r w:rsidRPr="00564BB0">
              <w:rPr>
                <w:color w:val="auto"/>
                <w:sz w:val="14"/>
                <w:szCs w:val="14"/>
                <w:lang w:val="de-DE"/>
              </w:rPr>
              <w:t>bvv</w:t>
            </w:r>
            <w:proofErr w:type="spellEnd"/>
            <w:r w:rsidRPr="00564BB0">
              <w:rPr>
                <w:color w:val="auto"/>
                <w:sz w:val="14"/>
                <w:szCs w:val="14"/>
                <w:lang w:val="de-DE"/>
              </w:rPr>
              <w:t xml:space="preserve"> </w:t>
            </w:r>
          </w:p>
          <w:p w:rsidRPr="0069502F" w:rsidR="006D6B5C" w:rsidP="005175CB" w:rsidRDefault="006D6B5C" w14:paraId="370A446E" w14:textId="77777777">
            <w:pPr>
              <w:jc w:val="center"/>
              <w:rPr>
                <w:sz w:val="14"/>
                <w:szCs w:val="14"/>
              </w:rPr>
            </w:pPr>
            <w:r w:rsidRPr="00564BB0">
              <w:rPr>
                <w:color w:val="auto"/>
                <w:sz w:val="14"/>
                <w:szCs w:val="14"/>
                <w:lang w:val="de-DE"/>
              </w:rPr>
              <w:t>€ 56.400</w:t>
            </w:r>
          </w:p>
        </w:tc>
      </w:tr>
      <w:tr w:rsidRPr="0069502F" w:rsidR="006D6B5C" w:rsidTr="005175CB" w14:paraId="23B1259F" w14:textId="77777777">
        <w:trPr>
          <w:trHeight w:val="268"/>
        </w:trPr>
        <w:tc>
          <w:tcPr>
            <w:tcW w:w="0" w:type="auto"/>
            <w:tcMar>
              <w:top w:w="0" w:type="dxa"/>
              <w:left w:w="108" w:type="dxa"/>
              <w:bottom w:w="0" w:type="dxa"/>
              <w:right w:w="108" w:type="dxa"/>
            </w:tcMar>
          </w:tcPr>
          <w:p w:rsidRPr="0069502F" w:rsidR="006D6B5C" w:rsidP="005175CB" w:rsidRDefault="006D6B5C" w14:paraId="53DAAFFE" w14:textId="77777777">
            <w:pPr>
              <w:rPr>
                <w:sz w:val="14"/>
                <w:szCs w:val="14"/>
              </w:rPr>
            </w:pPr>
          </w:p>
        </w:tc>
        <w:tc>
          <w:tcPr>
            <w:tcW w:w="0" w:type="auto"/>
            <w:tcMar>
              <w:top w:w="0" w:type="dxa"/>
              <w:left w:w="108" w:type="dxa"/>
              <w:bottom w:w="0" w:type="dxa"/>
              <w:right w:w="108" w:type="dxa"/>
            </w:tcMar>
          </w:tcPr>
          <w:p w:rsidRPr="00F552A1" w:rsidR="006D6B5C" w:rsidP="005175CB" w:rsidRDefault="006D6B5C" w14:paraId="079E879B" w14:textId="77777777">
            <w:pPr>
              <w:rPr>
                <w:sz w:val="12"/>
                <w:szCs w:val="12"/>
              </w:rPr>
            </w:pPr>
            <w:r w:rsidRPr="00F552A1">
              <w:rPr>
                <w:sz w:val="12"/>
                <w:szCs w:val="12"/>
              </w:rPr>
              <w:t>Huidig</w:t>
            </w:r>
          </w:p>
        </w:tc>
        <w:tc>
          <w:tcPr>
            <w:tcW w:w="0" w:type="auto"/>
            <w:tcMar>
              <w:top w:w="0" w:type="dxa"/>
              <w:left w:w="108" w:type="dxa"/>
              <w:bottom w:w="0" w:type="dxa"/>
              <w:right w:w="108" w:type="dxa"/>
            </w:tcMar>
          </w:tcPr>
          <w:p w:rsidRPr="00F552A1" w:rsidR="006D6B5C" w:rsidP="005175CB" w:rsidRDefault="006D6B5C" w14:paraId="67C50119" w14:textId="77777777">
            <w:pPr>
              <w:rPr>
                <w:sz w:val="12"/>
                <w:szCs w:val="12"/>
              </w:rPr>
            </w:pPr>
            <w:r>
              <w:rPr>
                <w:sz w:val="12"/>
                <w:szCs w:val="12"/>
              </w:rPr>
              <w:t>Nieuw</w:t>
            </w:r>
          </w:p>
        </w:tc>
        <w:tc>
          <w:tcPr>
            <w:tcW w:w="0" w:type="auto"/>
          </w:tcPr>
          <w:p w:rsidRPr="00F552A1" w:rsidR="006D6B5C" w:rsidP="005175CB" w:rsidRDefault="006D6B5C" w14:paraId="0BC81A57" w14:textId="77777777">
            <w:pPr>
              <w:rPr>
                <w:sz w:val="12"/>
                <w:szCs w:val="12"/>
              </w:rPr>
            </w:pPr>
          </w:p>
        </w:tc>
        <w:tc>
          <w:tcPr>
            <w:tcW w:w="0" w:type="auto"/>
            <w:tcMar>
              <w:top w:w="0" w:type="dxa"/>
              <w:left w:w="108" w:type="dxa"/>
              <w:bottom w:w="0" w:type="dxa"/>
              <w:right w:w="108" w:type="dxa"/>
            </w:tcMar>
          </w:tcPr>
          <w:p w:rsidRPr="00F552A1" w:rsidR="006D6B5C" w:rsidP="005175CB" w:rsidRDefault="006D6B5C" w14:paraId="16A7318F" w14:textId="77777777">
            <w:pPr>
              <w:rPr>
                <w:sz w:val="12"/>
                <w:szCs w:val="12"/>
              </w:rPr>
            </w:pPr>
            <w:r w:rsidRPr="00F552A1">
              <w:rPr>
                <w:sz w:val="12"/>
                <w:szCs w:val="12"/>
              </w:rPr>
              <w:t>Huidig</w:t>
            </w:r>
          </w:p>
        </w:tc>
        <w:tc>
          <w:tcPr>
            <w:tcW w:w="0" w:type="auto"/>
            <w:tcMar>
              <w:top w:w="0" w:type="dxa"/>
              <w:left w:w="108" w:type="dxa"/>
              <w:bottom w:w="0" w:type="dxa"/>
              <w:right w:w="108" w:type="dxa"/>
            </w:tcMar>
          </w:tcPr>
          <w:p w:rsidRPr="00F552A1" w:rsidR="006D6B5C" w:rsidP="005175CB" w:rsidRDefault="006D6B5C" w14:paraId="2724E609" w14:textId="77777777">
            <w:pPr>
              <w:rPr>
                <w:sz w:val="12"/>
                <w:szCs w:val="12"/>
              </w:rPr>
            </w:pPr>
            <w:r>
              <w:rPr>
                <w:sz w:val="12"/>
                <w:szCs w:val="12"/>
              </w:rPr>
              <w:t>Nieuw</w:t>
            </w:r>
          </w:p>
        </w:tc>
        <w:tc>
          <w:tcPr>
            <w:tcW w:w="0" w:type="auto"/>
          </w:tcPr>
          <w:p w:rsidRPr="00F552A1" w:rsidR="006D6B5C" w:rsidP="005175CB" w:rsidRDefault="006D6B5C" w14:paraId="4D99ABC1" w14:textId="77777777">
            <w:pPr>
              <w:rPr>
                <w:sz w:val="12"/>
                <w:szCs w:val="12"/>
              </w:rPr>
            </w:pPr>
          </w:p>
        </w:tc>
        <w:tc>
          <w:tcPr>
            <w:tcW w:w="0" w:type="auto"/>
            <w:tcMar>
              <w:top w:w="0" w:type="dxa"/>
              <w:left w:w="108" w:type="dxa"/>
              <w:bottom w:w="0" w:type="dxa"/>
              <w:right w:w="108" w:type="dxa"/>
            </w:tcMar>
          </w:tcPr>
          <w:p w:rsidRPr="00F552A1" w:rsidR="006D6B5C" w:rsidP="005175CB" w:rsidRDefault="006D6B5C" w14:paraId="1B5EE5B4" w14:textId="77777777">
            <w:pPr>
              <w:rPr>
                <w:sz w:val="12"/>
                <w:szCs w:val="12"/>
              </w:rPr>
            </w:pPr>
            <w:r w:rsidRPr="00F552A1">
              <w:rPr>
                <w:sz w:val="12"/>
                <w:szCs w:val="12"/>
              </w:rPr>
              <w:t>Huidig</w:t>
            </w:r>
          </w:p>
        </w:tc>
        <w:tc>
          <w:tcPr>
            <w:tcW w:w="0" w:type="auto"/>
            <w:tcMar>
              <w:top w:w="0" w:type="dxa"/>
              <w:left w:w="108" w:type="dxa"/>
              <w:bottom w:w="0" w:type="dxa"/>
              <w:right w:w="108" w:type="dxa"/>
            </w:tcMar>
          </w:tcPr>
          <w:p w:rsidRPr="00F552A1" w:rsidR="006D6B5C" w:rsidP="005175CB" w:rsidRDefault="006D6B5C" w14:paraId="229EF505" w14:textId="77777777">
            <w:pPr>
              <w:rPr>
                <w:sz w:val="12"/>
                <w:szCs w:val="12"/>
              </w:rPr>
            </w:pPr>
            <w:r>
              <w:rPr>
                <w:sz w:val="12"/>
                <w:szCs w:val="12"/>
              </w:rPr>
              <w:t>Nieuw</w:t>
            </w:r>
          </w:p>
        </w:tc>
        <w:tc>
          <w:tcPr>
            <w:tcW w:w="0" w:type="auto"/>
          </w:tcPr>
          <w:p w:rsidRPr="00F552A1" w:rsidR="006D6B5C" w:rsidP="005175CB" w:rsidRDefault="006D6B5C" w14:paraId="472A975C" w14:textId="77777777">
            <w:pPr>
              <w:rPr>
                <w:sz w:val="12"/>
                <w:szCs w:val="12"/>
              </w:rPr>
            </w:pPr>
          </w:p>
        </w:tc>
        <w:tc>
          <w:tcPr>
            <w:tcW w:w="0" w:type="auto"/>
            <w:tcMar>
              <w:top w:w="0" w:type="dxa"/>
              <w:left w:w="108" w:type="dxa"/>
              <w:bottom w:w="0" w:type="dxa"/>
              <w:right w:w="108" w:type="dxa"/>
            </w:tcMar>
          </w:tcPr>
          <w:p w:rsidRPr="00F552A1" w:rsidR="006D6B5C" w:rsidP="005175CB" w:rsidRDefault="006D6B5C" w14:paraId="47FD7665" w14:textId="77777777">
            <w:pPr>
              <w:rPr>
                <w:sz w:val="12"/>
                <w:szCs w:val="12"/>
              </w:rPr>
            </w:pPr>
            <w:r w:rsidRPr="00F552A1">
              <w:rPr>
                <w:sz w:val="12"/>
                <w:szCs w:val="12"/>
              </w:rPr>
              <w:t>Huidig</w:t>
            </w:r>
          </w:p>
        </w:tc>
        <w:tc>
          <w:tcPr>
            <w:tcW w:w="0" w:type="auto"/>
            <w:tcMar>
              <w:top w:w="0" w:type="dxa"/>
              <w:left w:w="108" w:type="dxa"/>
              <w:bottom w:w="0" w:type="dxa"/>
              <w:right w:w="108" w:type="dxa"/>
            </w:tcMar>
          </w:tcPr>
          <w:p w:rsidRPr="00F552A1" w:rsidR="006D6B5C" w:rsidP="005175CB" w:rsidRDefault="006D6B5C" w14:paraId="61B3CF97" w14:textId="77777777">
            <w:pPr>
              <w:rPr>
                <w:sz w:val="12"/>
                <w:szCs w:val="12"/>
              </w:rPr>
            </w:pPr>
            <w:r>
              <w:rPr>
                <w:sz w:val="12"/>
                <w:szCs w:val="12"/>
              </w:rPr>
              <w:t>Nieuw</w:t>
            </w:r>
          </w:p>
        </w:tc>
        <w:tc>
          <w:tcPr>
            <w:tcW w:w="0" w:type="auto"/>
          </w:tcPr>
          <w:p w:rsidRPr="00F552A1" w:rsidR="006D6B5C" w:rsidP="005175CB" w:rsidRDefault="006D6B5C" w14:paraId="4A2FB7F6" w14:textId="77777777">
            <w:pPr>
              <w:rPr>
                <w:sz w:val="12"/>
                <w:szCs w:val="12"/>
              </w:rPr>
            </w:pPr>
          </w:p>
        </w:tc>
      </w:tr>
      <w:tr w:rsidRPr="0069502F" w:rsidR="006D6B5C" w:rsidTr="005175CB" w14:paraId="70A1AC4A" w14:textId="77777777">
        <w:trPr>
          <w:trHeight w:val="268"/>
        </w:trPr>
        <w:tc>
          <w:tcPr>
            <w:tcW w:w="0" w:type="auto"/>
            <w:tcMar>
              <w:top w:w="0" w:type="dxa"/>
              <w:left w:w="108" w:type="dxa"/>
              <w:bottom w:w="0" w:type="dxa"/>
              <w:right w:w="108" w:type="dxa"/>
            </w:tcMar>
            <w:hideMark/>
          </w:tcPr>
          <w:p w:rsidRPr="0069502F" w:rsidR="006D6B5C" w:rsidP="005175CB" w:rsidRDefault="006D6B5C" w14:paraId="5DFD02A7" w14:textId="77777777">
            <w:pPr>
              <w:rPr>
                <w:color w:val="auto"/>
                <w:sz w:val="14"/>
                <w:szCs w:val="14"/>
              </w:rPr>
            </w:pPr>
            <w:r w:rsidRPr="0069502F">
              <w:rPr>
                <w:color w:val="auto"/>
                <w:sz w:val="14"/>
                <w:szCs w:val="14"/>
              </w:rPr>
              <w:t>Huurtoeslag</w:t>
            </w:r>
          </w:p>
        </w:tc>
        <w:tc>
          <w:tcPr>
            <w:tcW w:w="0" w:type="auto"/>
            <w:tcMar>
              <w:top w:w="0" w:type="dxa"/>
              <w:left w:w="108" w:type="dxa"/>
              <w:bottom w:w="0" w:type="dxa"/>
              <w:right w:w="108" w:type="dxa"/>
            </w:tcMar>
          </w:tcPr>
          <w:p w:rsidRPr="0069502F" w:rsidR="006D6B5C" w:rsidP="005175CB" w:rsidRDefault="006D6B5C" w14:paraId="4E5B9BDB" w14:textId="77777777">
            <w:pPr>
              <w:rPr>
                <w:color w:val="auto"/>
                <w:sz w:val="14"/>
                <w:szCs w:val="14"/>
              </w:rPr>
            </w:pPr>
            <w:r w:rsidRPr="0069502F">
              <w:rPr>
                <w:color w:val="auto"/>
                <w:sz w:val="14"/>
                <w:szCs w:val="14"/>
              </w:rPr>
              <w:t>€360</w:t>
            </w:r>
          </w:p>
        </w:tc>
        <w:tc>
          <w:tcPr>
            <w:tcW w:w="0" w:type="auto"/>
            <w:tcMar>
              <w:top w:w="0" w:type="dxa"/>
              <w:left w:w="108" w:type="dxa"/>
              <w:bottom w:w="0" w:type="dxa"/>
              <w:right w:w="108" w:type="dxa"/>
            </w:tcMar>
          </w:tcPr>
          <w:p w:rsidRPr="0069502F" w:rsidR="006D6B5C" w:rsidP="005175CB" w:rsidRDefault="006D6B5C" w14:paraId="2B76FC92" w14:textId="77777777">
            <w:pPr>
              <w:rPr>
                <w:color w:val="auto"/>
                <w:sz w:val="14"/>
                <w:szCs w:val="14"/>
              </w:rPr>
            </w:pPr>
            <w:r w:rsidRPr="0069502F">
              <w:rPr>
                <w:color w:val="auto"/>
                <w:sz w:val="14"/>
                <w:szCs w:val="14"/>
              </w:rPr>
              <w:t>€374</w:t>
            </w:r>
          </w:p>
        </w:tc>
        <w:tc>
          <w:tcPr>
            <w:tcW w:w="0" w:type="auto"/>
          </w:tcPr>
          <w:p w:rsidRPr="0069502F" w:rsidR="006D6B5C" w:rsidP="005175CB" w:rsidRDefault="006D6B5C" w14:paraId="0EC448FB" w14:textId="77777777">
            <w:pPr>
              <w:rPr>
                <w:sz w:val="14"/>
                <w:szCs w:val="14"/>
              </w:rPr>
            </w:pPr>
          </w:p>
        </w:tc>
        <w:tc>
          <w:tcPr>
            <w:tcW w:w="0" w:type="auto"/>
            <w:tcMar>
              <w:top w:w="0" w:type="dxa"/>
              <w:left w:w="108" w:type="dxa"/>
              <w:bottom w:w="0" w:type="dxa"/>
              <w:right w:w="108" w:type="dxa"/>
            </w:tcMar>
          </w:tcPr>
          <w:p w:rsidRPr="0069502F" w:rsidR="006D6B5C" w:rsidP="005175CB" w:rsidRDefault="006D6B5C" w14:paraId="1B3073CB" w14:textId="77777777">
            <w:pPr>
              <w:rPr>
                <w:color w:val="auto"/>
                <w:sz w:val="14"/>
                <w:szCs w:val="14"/>
              </w:rPr>
            </w:pPr>
            <w:r w:rsidRPr="00564BB0">
              <w:rPr>
                <w:color w:val="auto"/>
                <w:sz w:val="14"/>
                <w:szCs w:val="14"/>
              </w:rPr>
              <w:t>€313</w:t>
            </w:r>
          </w:p>
        </w:tc>
        <w:tc>
          <w:tcPr>
            <w:tcW w:w="0" w:type="auto"/>
            <w:tcMar>
              <w:top w:w="0" w:type="dxa"/>
              <w:left w:w="108" w:type="dxa"/>
              <w:bottom w:w="0" w:type="dxa"/>
              <w:right w:w="108" w:type="dxa"/>
            </w:tcMar>
          </w:tcPr>
          <w:p w:rsidRPr="0069502F" w:rsidR="006D6B5C" w:rsidP="005175CB" w:rsidRDefault="006D6B5C" w14:paraId="2CD6E579" w14:textId="77777777">
            <w:pPr>
              <w:rPr>
                <w:color w:val="auto"/>
                <w:sz w:val="14"/>
                <w:szCs w:val="14"/>
              </w:rPr>
            </w:pPr>
            <w:r w:rsidRPr="00564BB0">
              <w:rPr>
                <w:color w:val="auto"/>
                <w:sz w:val="14"/>
                <w:szCs w:val="14"/>
              </w:rPr>
              <w:t>€352</w:t>
            </w:r>
          </w:p>
        </w:tc>
        <w:tc>
          <w:tcPr>
            <w:tcW w:w="0" w:type="auto"/>
          </w:tcPr>
          <w:p w:rsidRPr="0069502F" w:rsidR="006D6B5C" w:rsidP="005175CB" w:rsidRDefault="006D6B5C" w14:paraId="4B2E2BAC" w14:textId="77777777">
            <w:pPr>
              <w:rPr>
                <w:sz w:val="14"/>
                <w:szCs w:val="14"/>
              </w:rPr>
            </w:pPr>
          </w:p>
        </w:tc>
        <w:tc>
          <w:tcPr>
            <w:tcW w:w="0" w:type="auto"/>
            <w:tcMar>
              <w:top w:w="0" w:type="dxa"/>
              <w:left w:w="108" w:type="dxa"/>
              <w:bottom w:w="0" w:type="dxa"/>
              <w:right w:w="108" w:type="dxa"/>
            </w:tcMar>
          </w:tcPr>
          <w:p w:rsidRPr="0069502F" w:rsidR="006D6B5C" w:rsidP="005175CB" w:rsidRDefault="006D6B5C" w14:paraId="454E41B9" w14:textId="77777777">
            <w:pPr>
              <w:rPr>
                <w:color w:val="auto"/>
                <w:sz w:val="14"/>
                <w:szCs w:val="14"/>
              </w:rPr>
            </w:pPr>
            <w:r w:rsidRPr="00564BB0">
              <w:rPr>
                <w:color w:val="auto"/>
                <w:sz w:val="14"/>
                <w:szCs w:val="14"/>
              </w:rPr>
              <w:t>€0</w:t>
            </w:r>
          </w:p>
        </w:tc>
        <w:tc>
          <w:tcPr>
            <w:tcW w:w="0" w:type="auto"/>
            <w:tcMar>
              <w:top w:w="0" w:type="dxa"/>
              <w:left w:w="108" w:type="dxa"/>
              <w:bottom w:w="0" w:type="dxa"/>
              <w:right w:w="108" w:type="dxa"/>
            </w:tcMar>
          </w:tcPr>
          <w:p w:rsidRPr="0069502F" w:rsidR="006D6B5C" w:rsidP="005175CB" w:rsidRDefault="006D6B5C" w14:paraId="663C20AF" w14:textId="77777777">
            <w:pPr>
              <w:rPr>
                <w:color w:val="auto"/>
                <w:sz w:val="14"/>
                <w:szCs w:val="14"/>
              </w:rPr>
            </w:pPr>
            <w:r w:rsidRPr="00564BB0">
              <w:rPr>
                <w:color w:val="auto"/>
                <w:sz w:val="14"/>
                <w:szCs w:val="14"/>
              </w:rPr>
              <w:t>€0</w:t>
            </w:r>
          </w:p>
        </w:tc>
        <w:tc>
          <w:tcPr>
            <w:tcW w:w="0" w:type="auto"/>
          </w:tcPr>
          <w:p w:rsidRPr="0069502F" w:rsidR="006D6B5C" w:rsidP="005175CB" w:rsidRDefault="006D6B5C" w14:paraId="2BBEC88B" w14:textId="77777777">
            <w:pPr>
              <w:rPr>
                <w:sz w:val="14"/>
                <w:szCs w:val="14"/>
              </w:rPr>
            </w:pPr>
          </w:p>
        </w:tc>
        <w:tc>
          <w:tcPr>
            <w:tcW w:w="0" w:type="auto"/>
            <w:tcMar>
              <w:top w:w="0" w:type="dxa"/>
              <w:left w:w="108" w:type="dxa"/>
              <w:bottom w:w="0" w:type="dxa"/>
              <w:right w:w="108" w:type="dxa"/>
            </w:tcMar>
          </w:tcPr>
          <w:p w:rsidRPr="0069502F" w:rsidR="006D6B5C" w:rsidP="005175CB" w:rsidRDefault="006D6B5C" w14:paraId="512056B6" w14:textId="77777777">
            <w:pPr>
              <w:rPr>
                <w:color w:val="auto"/>
                <w:sz w:val="14"/>
                <w:szCs w:val="14"/>
              </w:rPr>
            </w:pPr>
            <w:r w:rsidRPr="00564BB0">
              <w:rPr>
                <w:color w:val="auto"/>
                <w:sz w:val="14"/>
                <w:szCs w:val="14"/>
              </w:rPr>
              <w:t>€0</w:t>
            </w:r>
          </w:p>
        </w:tc>
        <w:tc>
          <w:tcPr>
            <w:tcW w:w="0" w:type="auto"/>
            <w:tcMar>
              <w:top w:w="0" w:type="dxa"/>
              <w:left w:w="108" w:type="dxa"/>
              <w:bottom w:w="0" w:type="dxa"/>
              <w:right w:w="108" w:type="dxa"/>
            </w:tcMar>
          </w:tcPr>
          <w:p w:rsidRPr="0069502F" w:rsidR="006D6B5C" w:rsidP="005175CB" w:rsidRDefault="006D6B5C" w14:paraId="60AB5244" w14:textId="77777777">
            <w:pPr>
              <w:rPr>
                <w:color w:val="auto"/>
                <w:sz w:val="14"/>
                <w:szCs w:val="14"/>
              </w:rPr>
            </w:pPr>
            <w:r w:rsidRPr="00564BB0">
              <w:rPr>
                <w:color w:val="auto"/>
                <w:sz w:val="14"/>
                <w:szCs w:val="14"/>
              </w:rPr>
              <w:t>€0</w:t>
            </w:r>
          </w:p>
        </w:tc>
        <w:tc>
          <w:tcPr>
            <w:tcW w:w="0" w:type="auto"/>
          </w:tcPr>
          <w:p w:rsidRPr="0069502F" w:rsidR="006D6B5C" w:rsidP="005175CB" w:rsidRDefault="006D6B5C" w14:paraId="277FE5DA" w14:textId="77777777">
            <w:pPr>
              <w:rPr>
                <w:sz w:val="14"/>
                <w:szCs w:val="14"/>
              </w:rPr>
            </w:pPr>
          </w:p>
        </w:tc>
      </w:tr>
      <w:tr w:rsidRPr="0069502F" w:rsidR="006D6B5C" w:rsidTr="005175CB" w14:paraId="11732D20" w14:textId="77777777">
        <w:tc>
          <w:tcPr>
            <w:tcW w:w="0" w:type="auto"/>
            <w:tcMar>
              <w:top w:w="0" w:type="dxa"/>
              <w:left w:w="108" w:type="dxa"/>
              <w:bottom w:w="0" w:type="dxa"/>
              <w:right w:w="108" w:type="dxa"/>
            </w:tcMar>
            <w:hideMark/>
          </w:tcPr>
          <w:p w:rsidRPr="0069502F" w:rsidR="006D6B5C" w:rsidP="005175CB" w:rsidRDefault="006D6B5C" w14:paraId="055B99C2" w14:textId="77777777">
            <w:pPr>
              <w:rPr>
                <w:color w:val="auto"/>
                <w:sz w:val="14"/>
                <w:szCs w:val="14"/>
              </w:rPr>
            </w:pPr>
            <w:r w:rsidRPr="0069502F">
              <w:rPr>
                <w:color w:val="auto"/>
                <w:sz w:val="14"/>
                <w:szCs w:val="14"/>
              </w:rPr>
              <w:t xml:space="preserve">Compensatie niet ontvangen huurtoeslag in de berekening </w:t>
            </w:r>
            <w:proofErr w:type="spellStart"/>
            <w:r w:rsidRPr="0069502F">
              <w:rPr>
                <w:color w:val="auto"/>
                <w:sz w:val="14"/>
                <w:szCs w:val="14"/>
              </w:rPr>
              <w:t>bvv</w:t>
            </w:r>
            <w:proofErr w:type="spellEnd"/>
          </w:p>
        </w:tc>
        <w:tc>
          <w:tcPr>
            <w:tcW w:w="0" w:type="auto"/>
            <w:tcMar>
              <w:top w:w="0" w:type="dxa"/>
              <w:left w:w="108" w:type="dxa"/>
              <w:bottom w:w="0" w:type="dxa"/>
              <w:right w:w="108" w:type="dxa"/>
            </w:tcMar>
          </w:tcPr>
          <w:p w:rsidRPr="0069502F" w:rsidR="006D6B5C" w:rsidP="005175CB" w:rsidRDefault="006D6B5C" w14:paraId="26265928" w14:textId="77777777">
            <w:pPr>
              <w:rPr>
                <w:color w:val="auto"/>
                <w:sz w:val="14"/>
                <w:szCs w:val="14"/>
              </w:rPr>
            </w:pPr>
            <w:r w:rsidRPr="0069502F">
              <w:rPr>
                <w:color w:val="auto"/>
                <w:sz w:val="14"/>
                <w:szCs w:val="14"/>
              </w:rPr>
              <w:t>€0</w:t>
            </w:r>
          </w:p>
        </w:tc>
        <w:tc>
          <w:tcPr>
            <w:tcW w:w="0" w:type="auto"/>
            <w:tcMar>
              <w:top w:w="0" w:type="dxa"/>
              <w:left w:w="108" w:type="dxa"/>
              <w:bottom w:w="0" w:type="dxa"/>
              <w:right w:w="108" w:type="dxa"/>
            </w:tcMar>
          </w:tcPr>
          <w:p w:rsidRPr="0069502F" w:rsidR="006D6B5C" w:rsidP="005175CB" w:rsidRDefault="006D6B5C" w14:paraId="2837176B" w14:textId="77777777">
            <w:pPr>
              <w:rPr>
                <w:color w:val="auto"/>
                <w:sz w:val="14"/>
                <w:szCs w:val="14"/>
              </w:rPr>
            </w:pPr>
            <w:r w:rsidRPr="0069502F">
              <w:rPr>
                <w:color w:val="auto"/>
                <w:sz w:val="14"/>
                <w:szCs w:val="14"/>
              </w:rPr>
              <w:t>€0</w:t>
            </w:r>
          </w:p>
        </w:tc>
        <w:tc>
          <w:tcPr>
            <w:tcW w:w="0" w:type="auto"/>
          </w:tcPr>
          <w:p w:rsidRPr="0069502F" w:rsidR="006D6B5C" w:rsidP="005175CB" w:rsidRDefault="006D6B5C" w14:paraId="648A2D13" w14:textId="77777777">
            <w:pPr>
              <w:rPr>
                <w:sz w:val="14"/>
                <w:szCs w:val="14"/>
              </w:rPr>
            </w:pPr>
          </w:p>
        </w:tc>
        <w:tc>
          <w:tcPr>
            <w:tcW w:w="0" w:type="auto"/>
            <w:tcMar>
              <w:top w:w="0" w:type="dxa"/>
              <w:left w:w="108" w:type="dxa"/>
              <w:bottom w:w="0" w:type="dxa"/>
              <w:right w:w="108" w:type="dxa"/>
            </w:tcMar>
          </w:tcPr>
          <w:p w:rsidRPr="0069502F" w:rsidR="006D6B5C" w:rsidP="005175CB" w:rsidRDefault="006D6B5C" w14:paraId="23F01D80" w14:textId="77777777">
            <w:pPr>
              <w:rPr>
                <w:color w:val="auto"/>
                <w:sz w:val="14"/>
                <w:szCs w:val="14"/>
              </w:rPr>
            </w:pPr>
            <w:r w:rsidRPr="00564BB0">
              <w:rPr>
                <w:color w:val="auto"/>
                <w:sz w:val="14"/>
                <w:szCs w:val="14"/>
              </w:rPr>
              <w:t>€47</w:t>
            </w:r>
          </w:p>
        </w:tc>
        <w:tc>
          <w:tcPr>
            <w:tcW w:w="0" w:type="auto"/>
            <w:tcMar>
              <w:top w:w="0" w:type="dxa"/>
              <w:left w:w="108" w:type="dxa"/>
              <w:bottom w:w="0" w:type="dxa"/>
              <w:right w:w="108" w:type="dxa"/>
            </w:tcMar>
          </w:tcPr>
          <w:p w:rsidRPr="0069502F" w:rsidR="006D6B5C" w:rsidP="005175CB" w:rsidRDefault="006D6B5C" w14:paraId="4DA88B0B" w14:textId="77777777">
            <w:pPr>
              <w:rPr>
                <w:color w:val="auto"/>
                <w:sz w:val="14"/>
                <w:szCs w:val="14"/>
              </w:rPr>
            </w:pPr>
            <w:r w:rsidRPr="00564BB0">
              <w:rPr>
                <w:color w:val="auto"/>
                <w:sz w:val="14"/>
                <w:szCs w:val="14"/>
              </w:rPr>
              <w:t>€22</w:t>
            </w:r>
          </w:p>
        </w:tc>
        <w:tc>
          <w:tcPr>
            <w:tcW w:w="0" w:type="auto"/>
          </w:tcPr>
          <w:p w:rsidRPr="0069502F" w:rsidR="006D6B5C" w:rsidP="005175CB" w:rsidRDefault="006D6B5C" w14:paraId="55EB1324" w14:textId="77777777">
            <w:pPr>
              <w:rPr>
                <w:sz w:val="14"/>
                <w:szCs w:val="14"/>
              </w:rPr>
            </w:pPr>
          </w:p>
        </w:tc>
        <w:tc>
          <w:tcPr>
            <w:tcW w:w="0" w:type="auto"/>
            <w:tcMar>
              <w:top w:w="0" w:type="dxa"/>
              <w:left w:w="108" w:type="dxa"/>
              <w:bottom w:w="0" w:type="dxa"/>
              <w:right w:w="108" w:type="dxa"/>
            </w:tcMar>
          </w:tcPr>
          <w:p w:rsidRPr="0069502F" w:rsidR="006D6B5C" w:rsidP="005175CB" w:rsidRDefault="006D6B5C" w14:paraId="364A265E" w14:textId="77777777">
            <w:pPr>
              <w:rPr>
                <w:color w:val="auto"/>
                <w:sz w:val="14"/>
                <w:szCs w:val="14"/>
              </w:rPr>
            </w:pPr>
            <w:r w:rsidRPr="00564BB0">
              <w:rPr>
                <w:color w:val="auto"/>
                <w:sz w:val="14"/>
                <w:szCs w:val="14"/>
              </w:rPr>
              <w:t>€653</w:t>
            </w:r>
          </w:p>
        </w:tc>
        <w:tc>
          <w:tcPr>
            <w:tcW w:w="0" w:type="auto"/>
            <w:tcMar>
              <w:top w:w="0" w:type="dxa"/>
              <w:left w:w="108" w:type="dxa"/>
              <w:bottom w:w="0" w:type="dxa"/>
              <w:right w:w="108" w:type="dxa"/>
            </w:tcMar>
          </w:tcPr>
          <w:p w:rsidRPr="0069502F" w:rsidR="006D6B5C" w:rsidP="005175CB" w:rsidRDefault="006D6B5C" w14:paraId="55AEB944" w14:textId="77777777">
            <w:pPr>
              <w:rPr>
                <w:color w:val="auto"/>
                <w:sz w:val="14"/>
                <w:szCs w:val="14"/>
              </w:rPr>
            </w:pPr>
            <w:r w:rsidRPr="00564BB0">
              <w:rPr>
                <w:sz w:val="14"/>
                <w:szCs w:val="14"/>
              </w:rPr>
              <w:t>€506</w:t>
            </w:r>
          </w:p>
        </w:tc>
        <w:tc>
          <w:tcPr>
            <w:tcW w:w="0" w:type="auto"/>
          </w:tcPr>
          <w:p w:rsidRPr="0069502F" w:rsidR="006D6B5C" w:rsidP="005175CB" w:rsidRDefault="006D6B5C" w14:paraId="2B064CBB" w14:textId="77777777">
            <w:pPr>
              <w:rPr>
                <w:sz w:val="14"/>
                <w:szCs w:val="14"/>
              </w:rPr>
            </w:pPr>
          </w:p>
        </w:tc>
        <w:tc>
          <w:tcPr>
            <w:tcW w:w="0" w:type="auto"/>
            <w:tcMar>
              <w:top w:w="0" w:type="dxa"/>
              <w:left w:w="108" w:type="dxa"/>
              <w:bottom w:w="0" w:type="dxa"/>
              <w:right w:w="108" w:type="dxa"/>
            </w:tcMar>
          </w:tcPr>
          <w:p w:rsidRPr="0069502F" w:rsidR="006D6B5C" w:rsidP="005175CB" w:rsidRDefault="006D6B5C" w14:paraId="2BBA7268" w14:textId="77777777">
            <w:pPr>
              <w:rPr>
                <w:color w:val="auto"/>
                <w:sz w:val="14"/>
                <w:szCs w:val="14"/>
              </w:rPr>
            </w:pPr>
            <w:r w:rsidRPr="00564BB0">
              <w:rPr>
                <w:color w:val="auto"/>
                <w:sz w:val="14"/>
                <w:szCs w:val="14"/>
              </w:rPr>
              <w:t>€653</w:t>
            </w:r>
          </w:p>
        </w:tc>
        <w:tc>
          <w:tcPr>
            <w:tcW w:w="0" w:type="auto"/>
            <w:tcMar>
              <w:top w:w="0" w:type="dxa"/>
              <w:left w:w="108" w:type="dxa"/>
              <w:bottom w:w="0" w:type="dxa"/>
              <w:right w:w="108" w:type="dxa"/>
            </w:tcMar>
          </w:tcPr>
          <w:p w:rsidRPr="0069502F" w:rsidR="006D6B5C" w:rsidP="005175CB" w:rsidRDefault="006D6B5C" w14:paraId="2AC3DCC5" w14:textId="77777777">
            <w:pPr>
              <w:rPr>
                <w:color w:val="auto"/>
                <w:sz w:val="14"/>
                <w:szCs w:val="14"/>
              </w:rPr>
            </w:pPr>
            <w:r w:rsidRPr="00564BB0">
              <w:rPr>
                <w:color w:val="auto"/>
                <w:sz w:val="14"/>
                <w:szCs w:val="14"/>
              </w:rPr>
              <w:t>€704</w:t>
            </w:r>
          </w:p>
        </w:tc>
        <w:tc>
          <w:tcPr>
            <w:tcW w:w="0" w:type="auto"/>
          </w:tcPr>
          <w:p w:rsidRPr="0069502F" w:rsidR="006D6B5C" w:rsidP="005175CB" w:rsidRDefault="006D6B5C" w14:paraId="36F93501" w14:textId="77777777">
            <w:pPr>
              <w:rPr>
                <w:sz w:val="14"/>
                <w:szCs w:val="14"/>
              </w:rPr>
            </w:pPr>
          </w:p>
        </w:tc>
      </w:tr>
      <w:tr w:rsidRPr="0069502F" w:rsidR="006D6B5C" w:rsidTr="005175CB" w14:paraId="46709754" w14:textId="77777777">
        <w:tc>
          <w:tcPr>
            <w:tcW w:w="0" w:type="auto"/>
            <w:tcMar>
              <w:top w:w="0" w:type="dxa"/>
              <w:left w:w="108" w:type="dxa"/>
              <w:bottom w:w="0" w:type="dxa"/>
              <w:right w:w="108" w:type="dxa"/>
            </w:tcMar>
            <w:hideMark/>
          </w:tcPr>
          <w:p w:rsidRPr="0069502F" w:rsidR="006D6B5C" w:rsidP="005175CB" w:rsidRDefault="006D6B5C" w14:paraId="0A96DC3A" w14:textId="77777777">
            <w:pPr>
              <w:rPr>
                <w:b/>
                <w:bCs/>
                <w:color w:val="auto"/>
                <w:sz w:val="14"/>
                <w:szCs w:val="14"/>
              </w:rPr>
            </w:pPr>
            <w:r w:rsidRPr="0069502F">
              <w:rPr>
                <w:b/>
                <w:bCs/>
                <w:color w:val="auto"/>
                <w:sz w:val="14"/>
                <w:szCs w:val="14"/>
              </w:rPr>
              <w:t>Som</w:t>
            </w:r>
          </w:p>
        </w:tc>
        <w:tc>
          <w:tcPr>
            <w:tcW w:w="0" w:type="auto"/>
            <w:tcMar>
              <w:top w:w="0" w:type="dxa"/>
              <w:left w:w="108" w:type="dxa"/>
              <w:bottom w:w="0" w:type="dxa"/>
              <w:right w:w="108" w:type="dxa"/>
            </w:tcMar>
          </w:tcPr>
          <w:p w:rsidRPr="0069502F" w:rsidR="006D6B5C" w:rsidP="005175CB" w:rsidRDefault="006D6B5C" w14:paraId="588B4801" w14:textId="77777777">
            <w:pPr>
              <w:rPr>
                <w:color w:val="auto"/>
                <w:sz w:val="14"/>
                <w:szCs w:val="14"/>
              </w:rPr>
            </w:pPr>
            <w:r w:rsidRPr="0069502F">
              <w:rPr>
                <w:color w:val="auto"/>
                <w:sz w:val="14"/>
                <w:szCs w:val="14"/>
              </w:rPr>
              <w:t>€360</w:t>
            </w:r>
          </w:p>
        </w:tc>
        <w:tc>
          <w:tcPr>
            <w:tcW w:w="0" w:type="auto"/>
            <w:tcMar>
              <w:top w:w="0" w:type="dxa"/>
              <w:left w:w="108" w:type="dxa"/>
              <w:bottom w:w="0" w:type="dxa"/>
              <w:right w:w="108" w:type="dxa"/>
            </w:tcMar>
          </w:tcPr>
          <w:p w:rsidRPr="0069502F" w:rsidR="006D6B5C" w:rsidP="005175CB" w:rsidRDefault="006D6B5C" w14:paraId="72562B46" w14:textId="77777777">
            <w:pPr>
              <w:rPr>
                <w:color w:val="auto"/>
                <w:sz w:val="14"/>
                <w:szCs w:val="14"/>
              </w:rPr>
            </w:pPr>
            <w:r w:rsidRPr="0069502F">
              <w:rPr>
                <w:color w:val="auto"/>
                <w:sz w:val="14"/>
                <w:szCs w:val="14"/>
              </w:rPr>
              <w:t>€374</w:t>
            </w:r>
          </w:p>
        </w:tc>
        <w:tc>
          <w:tcPr>
            <w:tcW w:w="0" w:type="auto"/>
          </w:tcPr>
          <w:p w:rsidRPr="0069502F" w:rsidR="006D6B5C" w:rsidP="005175CB" w:rsidRDefault="006D6B5C" w14:paraId="6EC6FF42" w14:textId="77777777">
            <w:pPr>
              <w:rPr>
                <w:sz w:val="14"/>
                <w:szCs w:val="14"/>
              </w:rPr>
            </w:pPr>
          </w:p>
        </w:tc>
        <w:tc>
          <w:tcPr>
            <w:tcW w:w="0" w:type="auto"/>
            <w:tcMar>
              <w:top w:w="0" w:type="dxa"/>
              <w:left w:w="108" w:type="dxa"/>
              <w:bottom w:w="0" w:type="dxa"/>
              <w:right w:w="108" w:type="dxa"/>
            </w:tcMar>
          </w:tcPr>
          <w:p w:rsidRPr="0069502F" w:rsidR="006D6B5C" w:rsidP="005175CB" w:rsidRDefault="006D6B5C" w14:paraId="633B774B" w14:textId="77777777">
            <w:pPr>
              <w:rPr>
                <w:color w:val="auto"/>
                <w:sz w:val="14"/>
                <w:szCs w:val="14"/>
              </w:rPr>
            </w:pPr>
            <w:r w:rsidRPr="00564BB0">
              <w:rPr>
                <w:color w:val="auto"/>
                <w:sz w:val="14"/>
                <w:szCs w:val="14"/>
              </w:rPr>
              <w:t>€360</w:t>
            </w:r>
          </w:p>
        </w:tc>
        <w:tc>
          <w:tcPr>
            <w:tcW w:w="0" w:type="auto"/>
            <w:tcMar>
              <w:top w:w="0" w:type="dxa"/>
              <w:left w:w="108" w:type="dxa"/>
              <w:bottom w:w="0" w:type="dxa"/>
              <w:right w:w="108" w:type="dxa"/>
            </w:tcMar>
          </w:tcPr>
          <w:p w:rsidRPr="0069502F" w:rsidR="006D6B5C" w:rsidP="005175CB" w:rsidRDefault="006D6B5C" w14:paraId="7B5C5CDF" w14:textId="77777777">
            <w:pPr>
              <w:rPr>
                <w:color w:val="auto"/>
                <w:sz w:val="14"/>
                <w:szCs w:val="14"/>
              </w:rPr>
            </w:pPr>
            <w:r w:rsidRPr="00564BB0">
              <w:rPr>
                <w:color w:val="auto"/>
                <w:sz w:val="14"/>
                <w:szCs w:val="14"/>
              </w:rPr>
              <w:t>€374</w:t>
            </w:r>
          </w:p>
        </w:tc>
        <w:tc>
          <w:tcPr>
            <w:tcW w:w="0" w:type="auto"/>
          </w:tcPr>
          <w:p w:rsidRPr="0069502F" w:rsidR="006D6B5C" w:rsidP="005175CB" w:rsidRDefault="006D6B5C" w14:paraId="2163D50B" w14:textId="77777777">
            <w:pPr>
              <w:rPr>
                <w:sz w:val="14"/>
                <w:szCs w:val="14"/>
              </w:rPr>
            </w:pPr>
          </w:p>
        </w:tc>
        <w:tc>
          <w:tcPr>
            <w:tcW w:w="0" w:type="auto"/>
            <w:tcMar>
              <w:top w:w="0" w:type="dxa"/>
              <w:left w:w="108" w:type="dxa"/>
              <w:bottom w:w="0" w:type="dxa"/>
              <w:right w:w="108" w:type="dxa"/>
            </w:tcMar>
          </w:tcPr>
          <w:p w:rsidRPr="0069502F" w:rsidR="006D6B5C" w:rsidP="005175CB" w:rsidRDefault="006D6B5C" w14:paraId="0DF0CE8E" w14:textId="77777777">
            <w:pPr>
              <w:rPr>
                <w:color w:val="auto"/>
                <w:sz w:val="14"/>
                <w:szCs w:val="14"/>
              </w:rPr>
            </w:pPr>
            <w:r w:rsidRPr="00564BB0">
              <w:rPr>
                <w:color w:val="auto"/>
                <w:sz w:val="14"/>
                <w:szCs w:val="14"/>
              </w:rPr>
              <w:t>€653</w:t>
            </w:r>
          </w:p>
        </w:tc>
        <w:tc>
          <w:tcPr>
            <w:tcW w:w="0" w:type="auto"/>
            <w:tcMar>
              <w:top w:w="0" w:type="dxa"/>
              <w:left w:w="108" w:type="dxa"/>
              <w:bottom w:w="0" w:type="dxa"/>
              <w:right w:w="108" w:type="dxa"/>
            </w:tcMar>
          </w:tcPr>
          <w:p w:rsidRPr="0069502F" w:rsidR="006D6B5C" w:rsidP="005175CB" w:rsidRDefault="006D6B5C" w14:paraId="6A30E2F8" w14:textId="77777777">
            <w:pPr>
              <w:rPr>
                <w:color w:val="auto"/>
                <w:sz w:val="14"/>
                <w:szCs w:val="14"/>
              </w:rPr>
            </w:pPr>
            <w:r w:rsidRPr="00564BB0">
              <w:rPr>
                <w:sz w:val="14"/>
                <w:szCs w:val="14"/>
              </w:rPr>
              <w:t>€506</w:t>
            </w:r>
          </w:p>
        </w:tc>
        <w:tc>
          <w:tcPr>
            <w:tcW w:w="0" w:type="auto"/>
          </w:tcPr>
          <w:p w:rsidRPr="0069502F" w:rsidR="006D6B5C" w:rsidP="005175CB" w:rsidRDefault="006D6B5C" w14:paraId="70802593" w14:textId="77777777">
            <w:pPr>
              <w:rPr>
                <w:sz w:val="14"/>
                <w:szCs w:val="14"/>
              </w:rPr>
            </w:pPr>
          </w:p>
        </w:tc>
        <w:tc>
          <w:tcPr>
            <w:tcW w:w="0" w:type="auto"/>
            <w:tcMar>
              <w:top w:w="0" w:type="dxa"/>
              <w:left w:w="108" w:type="dxa"/>
              <w:bottom w:w="0" w:type="dxa"/>
              <w:right w:w="108" w:type="dxa"/>
            </w:tcMar>
          </w:tcPr>
          <w:p w:rsidRPr="0069502F" w:rsidR="006D6B5C" w:rsidP="005175CB" w:rsidRDefault="006D6B5C" w14:paraId="7F2E5E4D" w14:textId="77777777">
            <w:pPr>
              <w:rPr>
                <w:color w:val="auto"/>
                <w:sz w:val="14"/>
                <w:szCs w:val="14"/>
              </w:rPr>
            </w:pPr>
            <w:r w:rsidRPr="00564BB0">
              <w:rPr>
                <w:color w:val="auto"/>
                <w:sz w:val="14"/>
                <w:szCs w:val="14"/>
              </w:rPr>
              <w:t>€653</w:t>
            </w:r>
          </w:p>
        </w:tc>
        <w:tc>
          <w:tcPr>
            <w:tcW w:w="0" w:type="auto"/>
            <w:tcMar>
              <w:top w:w="0" w:type="dxa"/>
              <w:left w:w="108" w:type="dxa"/>
              <w:bottom w:w="0" w:type="dxa"/>
              <w:right w:w="108" w:type="dxa"/>
            </w:tcMar>
          </w:tcPr>
          <w:p w:rsidRPr="0069502F" w:rsidR="006D6B5C" w:rsidP="005175CB" w:rsidRDefault="006D6B5C" w14:paraId="30E4B160" w14:textId="77777777">
            <w:pPr>
              <w:rPr>
                <w:color w:val="auto"/>
                <w:sz w:val="14"/>
                <w:szCs w:val="14"/>
              </w:rPr>
            </w:pPr>
            <w:r w:rsidRPr="00564BB0">
              <w:rPr>
                <w:color w:val="auto"/>
                <w:sz w:val="14"/>
                <w:szCs w:val="14"/>
              </w:rPr>
              <w:t>€704</w:t>
            </w:r>
          </w:p>
        </w:tc>
        <w:tc>
          <w:tcPr>
            <w:tcW w:w="0" w:type="auto"/>
          </w:tcPr>
          <w:p w:rsidRPr="0069502F" w:rsidR="006D6B5C" w:rsidP="005175CB" w:rsidRDefault="006D6B5C" w14:paraId="50757E06" w14:textId="77777777">
            <w:pPr>
              <w:rPr>
                <w:sz w:val="14"/>
                <w:szCs w:val="14"/>
              </w:rPr>
            </w:pPr>
          </w:p>
        </w:tc>
      </w:tr>
      <w:tr w:rsidRPr="0069502F" w:rsidR="006D6B5C" w:rsidTr="005175CB" w14:paraId="751DEBE8" w14:textId="77777777">
        <w:tc>
          <w:tcPr>
            <w:tcW w:w="0" w:type="auto"/>
            <w:tcMar>
              <w:top w:w="0" w:type="dxa"/>
              <w:left w:w="108" w:type="dxa"/>
              <w:bottom w:w="0" w:type="dxa"/>
              <w:right w:w="108" w:type="dxa"/>
            </w:tcMar>
          </w:tcPr>
          <w:p w:rsidRPr="0069502F" w:rsidR="006D6B5C" w:rsidP="005175CB" w:rsidRDefault="006D6B5C" w14:paraId="686A419D" w14:textId="77777777">
            <w:pPr>
              <w:rPr>
                <w:color w:val="auto"/>
                <w:sz w:val="14"/>
                <w:szCs w:val="14"/>
              </w:rPr>
            </w:pPr>
          </w:p>
        </w:tc>
        <w:tc>
          <w:tcPr>
            <w:tcW w:w="0" w:type="auto"/>
            <w:tcMar>
              <w:top w:w="0" w:type="dxa"/>
              <w:left w:w="108" w:type="dxa"/>
              <w:bottom w:w="0" w:type="dxa"/>
              <w:right w:w="108" w:type="dxa"/>
            </w:tcMar>
          </w:tcPr>
          <w:p w:rsidRPr="0069502F" w:rsidR="006D6B5C" w:rsidP="005175CB" w:rsidRDefault="006D6B5C" w14:paraId="4F64048B" w14:textId="77777777">
            <w:pPr>
              <w:rPr>
                <w:color w:val="auto"/>
                <w:sz w:val="14"/>
                <w:szCs w:val="14"/>
              </w:rPr>
            </w:pPr>
          </w:p>
        </w:tc>
        <w:tc>
          <w:tcPr>
            <w:tcW w:w="0" w:type="auto"/>
            <w:tcMar>
              <w:top w:w="0" w:type="dxa"/>
              <w:left w:w="108" w:type="dxa"/>
              <w:bottom w:w="0" w:type="dxa"/>
              <w:right w:w="108" w:type="dxa"/>
            </w:tcMar>
          </w:tcPr>
          <w:p w:rsidRPr="0069502F" w:rsidR="006D6B5C" w:rsidP="005175CB" w:rsidRDefault="006D6B5C" w14:paraId="4B0F2089" w14:textId="77777777">
            <w:pPr>
              <w:rPr>
                <w:color w:val="auto"/>
                <w:sz w:val="14"/>
                <w:szCs w:val="14"/>
              </w:rPr>
            </w:pPr>
          </w:p>
        </w:tc>
        <w:tc>
          <w:tcPr>
            <w:tcW w:w="0" w:type="auto"/>
          </w:tcPr>
          <w:p w:rsidRPr="0069502F" w:rsidR="006D6B5C" w:rsidP="005175CB" w:rsidRDefault="006D6B5C" w14:paraId="1E601205" w14:textId="77777777">
            <w:pPr>
              <w:rPr>
                <w:sz w:val="14"/>
                <w:szCs w:val="14"/>
              </w:rPr>
            </w:pPr>
          </w:p>
        </w:tc>
        <w:tc>
          <w:tcPr>
            <w:tcW w:w="0" w:type="auto"/>
            <w:tcMar>
              <w:top w:w="0" w:type="dxa"/>
              <w:left w:w="108" w:type="dxa"/>
              <w:bottom w:w="0" w:type="dxa"/>
              <w:right w:w="108" w:type="dxa"/>
            </w:tcMar>
          </w:tcPr>
          <w:p w:rsidRPr="0069502F" w:rsidR="006D6B5C" w:rsidP="005175CB" w:rsidRDefault="006D6B5C" w14:paraId="66A01305" w14:textId="77777777">
            <w:pPr>
              <w:rPr>
                <w:color w:val="auto"/>
                <w:sz w:val="14"/>
                <w:szCs w:val="14"/>
              </w:rPr>
            </w:pPr>
          </w:p>
        </w:tc>
        <w:tc>
          <w:tcPr>
            <w:tcW w:w="0" w:type="auto"/>
            <w:tcMar>
              <w:top w:w="0" w:type="dxa"/>
              <w:left w:w="108" w:type="dxa"/>
              <w:bottom w:w="0" w:type="dxa"/>
              <w:right w:w="108" w:type="dxa"/>
            </w:tcMar>
          </w:tcPr>
          <w:p w:rsidRPr="0069502F" w:rsidR="006D6B5C" w:rsidP="005175CB" w:rsidRDefault="006D6B5C" w14:paraId="2606926A" w14:textId="77777777">
            <w:pPr>
              <w:rPr>
                <w:color w:val="auto"/>
                <w:sz w:val="14"/>
                <w:szCs w:val="14"/>
              </w:rPr>
            </w:pPr>
          </w:p>
        </w:tc>
        <w:tc>
          <w:tcPr>
            <w:tcW w:w="0" w:type="auto"/>
          </w:tcPr>
          <w:p w:rsidRPr="0069502F" w:rsidR="006D6B5C" w:rsidP="005175CB" w:rsidRDefault="006D6B5C" w14:paraId="652BC00D" w14:textId="77777777">
            <w:pPr>
              <w:rPr>
                <w:sz w:val="14"/>
                <w:szCs w:val="14"/>
              </w:rPr>
            </w:pPr>
          </w:p>
        </w:tc>
        <w:tc>
          <w:tcPr>
            <w:tcW w:w="0" w:type="auto"/>
            <w:tcMar>
              <w:top w:w="0" w:type="dxa"/>
              <w:left w:w="108" w:type="dxa"/>
              <w:bottom w:w="0" w:type="dxa"/>
              <w:right w:w="108" w:type="dxa"/>
            </w:tcMar>
          </w:tcPr>
          <w:p w:rsidRPr="0069502F" w:rsidR="006D6B5C" w:rsidP="005175CB" w:rsidRDefault="006D6B5C" w14:paraId="5A73A0DE" w14:textId="77777777">
            <w:pPr>
              <w:rPr>
                <w:color w:val="auto"/>
                <w:sz w:val="14"/>
                <w:szCs w:val="14"/>
              </w:rPr>
            </w:pPr>
          </w:p>
        </w:tc>
        <w:tc>
          <w:tcPr>
            <w:tcW w:w="0" w:type="auto"/>
            <w:tcMar>
              <w:top w:w="0" w:type="dxa"/>
              <w:left w:w="108" w:type="dxa"/>
              <w:bottom w:w="0" w:type="dxa"/>
              <w:right w:w="108" w:type="dxa"/>
            </w:tcMar>
          </w:tcPr>
          <w:p w:rsidRPr="0069502F" w:rsidR="006D6B5C" w:rsidP="005175CB" w:rsidRDefault="006D6B5C" w14:paraId="20EF3EF0" w14:textId="77777777">
            <w:pPr>
              <w:rPr>
                <w:color w:val="auto"/>
                <w:sz w:val="14"/>
                <w:szCs w:val="14"/>
              </w:rPr>
            </w:pPr>
          </w:p>
        </w:tc>
        <w:tc>
          <w:tcPr>
            <w:tcW w:w="0" w:type="auto"/>
          </w:tcPr>
          <w:p w:rsidRPr="0069502F" w:rsidR="006D6B5C" w:rsidP="005175CB" w:rsidRDefault="006D6B5C" w14:paraId="154E524F" w14:textId="77777777">
            <w:pPr>
              <w:rPr>
                <w:sz w:val="14"/>
                <w:szCs w:val="14"/>
              </w:rPr>
            </w:pPr>
          </w:p>
        </w:tc>
        <w:tc>
          <w:tcPr>
            <w:tcW w:w="0" w:type="auto"/>
            <w:tcMar>
              <w:top w:w="0" w:type="dxa"/>
              <w:left w:w="108" w:type="dxa"/>
              <w:bottom w:w="0" w:type="dxa"/>
              <w:right w:w="108" w:type="dxa"/>
            </w:tcMar>
          </w:tcPr>
          <w:p w:rsidRPr="0069502F" w:rsidR="006D6B5C" w:rsidP="005175CB" w:rsidRDefault="006D6B5C" w14:paraId="78B8615C" w14:textId="77777777">
            <w:pPr>
              <w:rPr>
                <w:color w:val="auto"/>
                <w:sz w:val="14"/>
                <w:szCs w:val="14"/>
              </w:rPr>
            </w:pPr>
          </w:p>
        </w:tc>
        <w:tc>
          <w:tcPr>
            <w:tcW w:w="0" w:type="auto"/>
            <w:tcMar>
              <w:top w:w="0" w:type="dxa"/>
              <w:left w:w="108" w:type="dxa"/>
              <w:bottom w:w="0" w:type="dxa"/>
              <w:right w:w="108" w:type="dxa"/>
            </w:tcMar>
          </w:tcPr>
          <w:p w:rsidRPr="0069502F" w:rsidR="006D6B5C" w:rsidP="005175CB" w:rsidRDefault="006D6B5C" w14:paraId="547BFD42" w14:textId="77777777">
            <w:pPr>
              <w:rPr>
                <w:color w:val="auto"/>
                <w:sz w:val="14"/>
                <w:szCs w:val="14"/>
              </w:rPr>
            </w:pPr>
          </w:p>
        </w:tc>
        <w:tc>
          <w:tcPr>
            <w:tcW w:w="0" w:type="auto"/>
          </w:tcPr>
          <w:p w:rsidRPr="0069502F" w:rsidR="006D6B5C" w:rsidP="005175CB" w:rsidRDefault="006D6B5C" w14:paraId="33AFAA1D" w14:textId="77777777">
            <w:pPr>
              <w:rPr>
                <w:sz w:val="14"/>
                <w:szCs w:val="14"/>
              </w:rPr>
            </w:pPr>
          </w:p>
        </w:tc>
      </w:tr>
      <w:tr w:rsidRPr="0069502F" w:rsidR="006D6B5C" w:rsidTr="005175CB" w14:paraId="33397038" w14:textId="77777777">
        <w:tc>
          <w:tcPr>
            <w:tcW w:w="0" w:type="auto"/>
            <w:tcMar>
              <w:top w:w="0" w:type="dxa"/>
              <w:left w:w="108" w:type="dxa"/>
              <w:bottom w:w="0" w:type="dxa"/>
              <w:right w:w="108" w:type="dxa"/>
            </w:tcMar>
            <w:hideMark/>
          </w:tcPr>
          <w:p w:rsidRPr="0069502F" w:rsidR="006D6B5C" w:rsidP="005175CB" w:rsidRDefault="006D6B5C" w14:paraId="17F0072A" w14:textId="77777777">
            <w:pPr>
              <w:rPr>
                <w:color w:val="auto"/>
                <w:sz w:val="14"/>
                <w:szCs w:val="14"/>
              </w:rPr>
            </w:pPr>
            <w:r w:rsidRPr="0069502F">
              <w:rPr>
                <w:color w:val="auto"/>
                <w:sz w:val="14"/>
                <w:szCs w:val="14"/>
              </w:rPr>
              <w:t>Referentie: maximale huurtoeslag op bijstandsniveau</w:t>
            </w:r>
          </w:p>
        </w:tc>
        <w:tc>
          <w:tcPr>
            <w:tcW w:w="0" w:type="auto"/>
            <w:tcMar>
              <w:top w:w="0" w:type="dxa"/>
              <w:left w:w="108" w:type="dxa"/>
              <w:bottom w:w="0" w:type="dxa"/>
              <w:right w:w="108" w:type="dxa"/>
            </w:tcMar>
          </w:tcPr>
          <w:p w:rsidRPr="0069502F" w:rsidR="006D6B5C" w:rsidP="005175CB" w:rsidRDefault="006D6B5C" w14:paraId="6E4F8EAD" w14:textId="77777777">
            <w:pPr>
              <w:rPr>
                <w:color w:val="auto"/>
                <w:sz w:val="14"/>
                <w:szCs w:val="14"/>
              </w:rPr>
            </w:pPr>
            <w:r w:rsidRPr="0069502F">
              <w:rPr>
                <w:color w:val="auto"/>
                <w:sz w:val="14"/>
                <w:szCs w:val="14"/>
              </w:rPr>
              <w:t>€360</w:t>
            </w:r>
          </w:p>
        </w:tc>
        <w:tc>
          <w:tcPr>
            <w:tcW w:w="0" w:type="auto"/>
            <w:tcMar>
              <w:top w:w="0" w:type="dxa"/>
              <w:left w:w="108" w:type="dxa"/>
              <w:bottom w:w="0" w:type="dxa"/>
              <w:right w:w="108" w:type="dxa"/>
            </w:tcMar>
          </w:tcPr>
          <w:p w:rsidRPr="0069502F" w:rsidR="006D6B5C" w:rsidP="005175CB" w:rsidRDefault="006D6B5C" w14:paraId="7D217A6E" w14:textId="77777777">
            <w:pPr>
              <w:rPr>
                <w:color w:val="auto"/>
                <w:sz w:val="14"/>
                <w:szCs w:val="14"/>
              </w:rPr>
            </w:pPr>
            <w:r w:rsidRPr="0069502F">
              <w:rPr>
                <w:color w:val="auto"/>
                <w:sz w:val="14"/>
                <w:szCs w:val="14"/>
              </w:rPr>
              <w:t>€374</w:t>
            </w:r>
          </w:p>
        </w:tc>
        <w:tc>
          <w:tcPr>
            <w:tcW w:w="0" w:type="auto"/>
          </w:tcPr>
          <w:p w:rsidRPr="0069502F" w:rsidR="006D6B5C" w:rsidP="005175CB" w:rsidRDefault="006D6B5C" w14:paraId="0862CA45" w14:textId="77777777">
            <w:pPr>
              <w:rPr>
                <w:sz w:val="14"/>
                <w:szCs w:val="14"/>
              </w:rPr>
            </w:pPr>
          </w:p>
        </w:tc>
        <w:tc>
          <w:tcPr>
            <w:tcW w:w="0" w:type="auto"/>
            <w:tcMar>
              <w:top w:w="0" w:type="dxa"/>
              <w:left w:w="108" w:type="dxa"/>
              <w:bottom w:w="0" w:type="dxa"/>
              <w:right w:w="108" w:type="dxa"/>
            </w:tcMar>
          </w:tcPr>
          <w:p w:rsidRPr="0069502F" w:rsidR="006D6B5C" w:rsidP="005175CB" w:rsidRDefault="006D6B5C" w14:paraId="50F679BB" w14:textId="77777777">
            <w:pPr>
              <w:rPr>
                <w:color w:val="auto"/>
                <w:sz w:val="14"/>
                <w:szCs w:val="14"/>
              </w:rPr>
            </w:pPr>
            <w:r w:rsidRPr="00564BB0">
              <w:rPr>
                <w:color w:val="auto"/>
                <w:sz w:val="14"/>
                <w:szCs w:val="14"/>
              </w:rPr>
              <w:t>€360</w:t>
            </w:r>
          </w:p>
        </w:tc>
        <w:tc>
          <w:tcPr>
            <w:tcW w:w="0" w:type="auto"/>
            <w:tcMar>
              <w:top w:w="0" w:type="dxa"/>
              <w:left w:w="108" w:type="dxa"/>
              <w:bottom w:w="0" w:type="dxa"/>
              <w:right w:w="108" w:type="dxa"/>
            </w:tcMar>
          </w:tcPr>
          <w:p w:rsidRPr="0069502F" w:rsidR="006D6B5C" w:rsidP="005175CB" w:rsidRDefault="006D6B5C" w14:paraId="1AA8CB69" w14:textId="77777777">
            <w:pPr>
              <w:rPr>
                <w:color w:val="auto"/>
                <w:sz w:val="14"/>
                <w:szCs w:val="14"/>
              </w:rPr>
            </w:pPr>
            <w:r w:rsidRPr="00564BB0">
              <w:rPr>
                <w:color w:val="auto"/>
                <w:sz w:val="14"/>
                <w:szCs w:val="14"/>
              </w:rPr>
              <w:t>€374</w:t>
            </w:r>
          </w:p>
        </w:tc>
        <w:tc>
          <w:tcPr>
            <w:tcW w:w="0" w:type="auto"/>
          </w:tcPr>
          <w:p w:rsidRPr="0069502F" w:rsidR="006D6B5C" w:rsidP="005175CB" w:rsidRDefault="006D6B5C" w14:paraId="589031C4" w14:textId="77777777">
            <w:pPr>
              <w:rPr>
                <w:sz w:val="14"/>
                <w:szCs w:val="14"/>
              </w:rPr>
            </w:pPr>
          </w:p>
        </w:tc>
        <w:tc>
          <w:tcPr>
            <w:tcW w:w="0" w:type="auto"/>
            <w:tcMar>
              <w:top w:w="0" w:type="dxa"/>
              <w:left w:w="108" w:type="dxa"/>
              <w:bottom w:w="0" w:type="dxa"/>
              <w:right w:w="108" w:type="dxa"/>
            </w:tcMar>
          </w:tcPr>
          <w:p w:rsidRPr="0069502F" w:rsidR="006D6B5C" w:rsidP="005175CB" w:rsidRDefault="006D6B5C" w14:paraId="2ED21601" w14:textId="77777777">
            <w:pPr>
              <w:rPr>
                <w:color w:val="auto"/>
                <w:sz w:val="14"/>
                <w:szCs w:val="14"/>
              </w:rPr>
            </w:pPr>
            <w:r w:rsidRPr="00564BB0">
              <w:rPr>
                <w:color w:val="auto"/>
                <w:sz w:val="14"/>
                <w:szCs w:val="14"/>
              </w:rPr>
              <w:t>€360</w:t>
            </w:r>
          </w:p>
        </w:tc>
        <w:tc>
          <w:tcPr>
            <w:tcW w:w="0" w:type="auto"/>
            <w:tcMar>
              <w:top w:w="0" w:type="dxa"/>
              <w:left w:w="108" w:type="dxa"/>
              <w:bottom w:w="0" w:type="dxa"/>
              <w:right w:w="108" w:type="dxa"/>
            </w:tcMar>
          </w:tcPr>
          <w:p w:rsidRPr="0069502F" w:rsidR="006D6B5C" w:rsidP="005175CB" w:rsidRDefault="006D6B5C" w14:paraId="4CA2EA1F" w14:textId="77777777">
            <w:pPr>
              <w:rPr>
                <w:color w:val="auto"/>
                <w:sz w:val="14"/>
                <w:szCs w:val="14"/>
              </w:rPr>
            </w:pPr>
            <w:r w:rsidRPr="00564BB0">
              <w:rPr>
                <w:sz w:val="14"/>
                <w:szCs w:val="14"/>
              </w:rPr>
              <w:t>€374</w:t>
            </w:r>
          </w:p>
        </w:tc>
        <w:tc>
          <w:tcPr>
            <w:tcW w:w="0" w:type="auto"/>
          </w:tcPr>
          <w:p w:rsidRPr="0069502F" w:rsidR="006D6B5C" w:rsidP="005175CB" w:rsidRDefault="006D6B5C" w14:paraId="20FC8539" w14:textId="77777777">
            <w:pPr>
              <w:rPr>
                <w:sz w:val="14"/>
                <w:szCs w:val="14"/>
              </w:rPr>
            </w:pPr>
          </w:p>
        </w:tc>
        <w:tc>
          <w:tcPr>
            <w:tcW w:w="0" w:type="auto"/>
            <w:tcMar>
              <w:top w:w="0" w:type="dxa"/>
              <w:left w:w="108" w:type="dxa"/>
              <w:bottom w:w="0" w:type="dxa"/>
              <w:right w:w="108" w:type="dxa"/>
            </w:tcMar>
          </w:tcPr>
          <w:p w:rsidRPr="0069502F" w:rsidR="006D6B5C" w:rsidP="005175CB" w:rsidRDefault="006D6B5C" w14:paraId="128FAD02" w14:textId="77777777">
            <w:pPr>
              <w:rPr>
                <w:color w:val="auto"/>
                <w:sz w:val="14"/>
                <w:szCs w:val="14"/>
              </w:rPr>
            </w:pPr>
            <w:r w:rsidRPr="00564BB0">
              <w:rPr>
                <w:color w:val="auto"/>
                <w:sz w:val="14"/>
                <w:szCs w:val="14"/>
              </w:rPr>
              <w:t>€360</w:t>
            </w:r>
          </w:p>
        </w:tc>
        <w:tc>
          <w:tcPr>
            <w:tcW w:w="0" w:type="auto"/>
            <w:tcMar>
              <w:top w:w="0" w:type="dxa"/>
              <w:left w:w="108" w:type="dxa"/>
              <w:bottom w:w="0" w:type="dxa"/>
              <w:right w:w="108" w:type="dxa"/>
            </w:tcMar>
          </w:tcPr>
          <w:p w:rsidRPr="0069502F" w:rsidR="006D6B5C" w:rsidP="005175CB" w:rsidRDefault="006D6B5C" w14:paraId="2CECDC47" w14:textId="77777777">
            <w:pPr>
              <w:rPr>
                <w:color w:val="auto"/>
                <w:sz w:val="14"/>
                <w:szCs w:val="14"/>
              </w:rPr>
            </w:pPr>
            <w:r w:rsidRPr="00564BB0">
              <w:rPr>
                <w:color w:val="auto"/>
                <w:sz w:val="14"/>
                <w:szCs w:val="14"/>
              </w:rPr>
              <w:t>€374</w:t>
            </w:r>
          </w:p>
        </w:tc>
        <w:tc>
          <w:tcPr>
            <w:tcW w:w="0" w:type="auto"/>
          </w:tcPr>
          <w:p w:rsidRPr="0069502F" w:rsidR="006D6B5C" w:rsidP="005175CB" w:rsidRDefault="006D6B5C" w14:paraId="15CB4C43" w14:textId="77777777">
            <w:pPr>
              <w:rPr>
                <w:sz w:val="14"/>
                <w:szCs w:val="14"/>
              </w:rPr>
            </w:pPr>
          </w:p>
        </w:tc>
      </w:tr>
    </w:tbl>
    <w:p w:rsidRPr="0069502F" w:rsidR="006D6B5C" w:rsidP="006D6B5C" w:rsidRDefault="006D6B5C" w14:paraId="3D92F1EE" w14:textId="77777777">
      <w:pPr>
        <w:rPr>
          <w:color w:val="auto"/>
          <w:sz w:val="14"/>
          <w:szCs w:val="14"/>
        </w:rPr>
      </w:pPr>
    </w:p>
    <w:p w:rsidRPr="0069502F" w:rsidR="006D6B5C" w:rsidP="006D6B5C" w:rsidRDefault="006D6B5C" w14:paraId="49580C48" w14:textId="77777777">
      <w:pPr>
        <w:rPr>
          <w:color w:val="auto"/>
          <w:sz w:val="14"/>
          <w:szCs w:val="14"/>
        </w:rPr>
      </w:pPr>
    </w:p>
    <w:p w:rsidRPr="005175CB" w:rsidR="006D6B5C" w:rsidP="006D6B5C" w:rsidRDefault="006D6B5C" w14:paraId="51DBF14F" w14:textId="77777777">
      <w:pPr>
        <w:rPr>
          <w:b/>
          <w:bCs/>
          <w:color w:val="auto"/>
          <w:sz w:val="14"/>
          <w:szCs w:val="14"/>
        </w:rPr>
      </w:pPr>
      <w:r w:rsidRPr="005175CB">
        <w:rPr>
          <w:b/>
          <w:bCs/>
          <w:color w:val="auto"/>
          <w:sz w:val="14"/>
          <w:szCs w:val="14"/>
        </w:rPr>
        <w:t xml:space="preserve">Tabel </w:t>
      </w:r>
      <w:r w:rsidRPr="005175CB">
        <w:rPr>
          <w:b/>
          <w:bCs/>
          <w:sz w:val="14"/>
          <w:szCs w:val="14"/>
        </w:rPr>
        <w:t>2</w:t>
      </w:r>
      <w:r w:rsidRPr="005175CB">
        <w:rPr>
          <w:b/>
          <w:bCs/>
          <w:color w:val="auto"/>
          <w:sz w:val="14"/>
          <w:szCs w:val="14"/>
        </w:rPr>
        <w:t xml:space="preserve">: Rekenvoorbeelden </w:t>
      </w:r>
      <w:r w:rsidRPr="005175CB">
        <w:rPr>
          <w:b/>
          <w:bCs/>
          <w:sz w:val="14"/>
          <w:szCs w:val="14"/>
        </w:rPr>
        <w:t>meerpersoonshuishoudens</w:t>
      </w:r>
      <w:r w:rsidRPr="005175CB">
        <w:rPr>
          <w:b/>
          <w:bCs/>
          <w:color w:val="auto"/>
          <w:sz w:val="14"/>
          <w:szCs w:val="14"/>
        </w:rPr>
        <w:t xml:space="preserve">; </w:t>
      </w:r>
      <w:r w:rsidRPr="007F2CC6">
        <w:rPr>
          <w:b/>
          <w:bCs/>
          <w:color w:val="auto"/>
          <w:sz w:val="14"/>
          <w:szCs w:val="14"/>
        </w:rPr>
        <w:t xml:space="preserve">vergelijking huidige situatie </w:t>
      </w:r>
      <w:proofErr w:type="spellStart"/>
      <w:r w:rsidRPr="007F2CC6">
        <w:rPr>
          <w:b/>
          <w:bCs/>
          <w:color w:val="auto"/>
          <w:sz w:val="14"/>
          <w:szCs w:val="14"/>
        </w:rPr>
        <w:t>tov</w:t>
      </w:r>
      <w:proofErr w:type="spellEnd"/>
      <w:r w:rsidRPr="007F2CC6">
        <w:rPr>
          <w:b/>
          <w:bCs/>
          <w:color w:val="auto"/>
          <w:sz w:val="14"/>
          <w:szCs w:val="14"/>
        </w:rPr>
        <w:t xml:space="preserve"> </w:t>
      </w:r>
      <w:r w:rsidRPr="007F2CC6">
        <w:rPr>
          <w:b/>
          <w:bCs/>
          <w:sz w:val="14"/>
          <w:szCs w:val="14"/>
        </w:rPr>
        <w:t xml:space="preserve">invoering wet harmonisatie huurtoeslag 2026 met aansluiting </w:t>
      </w:r>
      <w:proofErr w:type="spellStart"/>
      <w:r w:rsidRPr="007F2CC6">
        <w:rPr>
          <w:b/>
          <w:bCs/>
          <w:sz w:val="14"/>
          <w:szCs w:val="14"/>
        </w:rPr>
        <w:t>bvv</w:t>
      </w:r>
      <w:proofErr w:type="spellEnd"/>
      <w:r w:rsidRPr="007F2CC6">
        <w:rPr>
          <w:b/>
          <w:bCs/>
          <w:sz w:val="14"/>
          <w:szCs w:val="14"/>
        </w:rPr>
        <w:t xml:space="preserve"> </w:t>
      </w:r>
      <w:r>
        <w:rPr>
          <w:b/>
          <w:bCs/>
          <w:sz w:val="14"/>
          <w:szCs w:val="14"/>
        </w:rPr>
        <w:t>in 2026</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878"/>
        <w:gridCol w:w="661"/>
        <w:gridCol w:w="647"/>
        <w:gridCol w:w="18"/>
        <w:gridCol w:w="598"/>
        <w:gridCol w:w="585"/>
        <w:gridCol w:w="16"/>
        <w:gridCol w:w="705"/>
        <w:gridCol w:w="690"/>
        <w:gridCol w:w="19"/>
        <w:gridCol w:w="598"/>
        <w:gridCol w:w="585"/>
        <w:gridCol w:w="16"/>
      </w:tblGrid>
      <w:tr w:rsidRPr="0069502F" w:rsidR="006D6B5C" w:rsidTr="005175CB" w14:paraId="0D902290" w14:textId="77777777">
        <w:tc>
          <w:tcPr>
            <w:tcW w:w="0" w:type="auto"/>
            <w:tcMar>
              <w:top w:w="0" w:type="dxa"/>
              <w:left w:w="108" w:type="dxa"/>
              <w:bottom w:w="0" w:type="dxa"/>
              <w:right w:w="108" w:type="dxa"/>
            </w:tcMar>
          </w:tcPr>
          <w:p w:rsidRPr="0069502F" w:rsidR="006D6B5C" w:rsidP="005175CB" w:rsidRDefault="006D6B5C" w14:paraId="7DC544A7" w14:textId="77777777">
            <w:pPr>
              <w:rPr>
                <w:color w:val="auto"/>
                <w:sz w:val="14"/>
                <w:szCs w:val="14"/>
              </w:rPr>
            </w:pPr>
          </w:p>
        </w:tc>
        <w:tc>
          <w:tcPr>
            <w:tcW w:w="0" w:type="auto"/>
            <w:gridSpan w:val="3"/>
            <w:tcMar>
              <w:top w:w="0" w:type="dxa"/>
              <w:left w:w="108" w:type="dxa"/>
              <w:bottom w:w="0" w:type="dxa"/>
              <w:right w:w="108" w:type="dxa"/>
            </w:tcMar>
            <w:hideMark/>
          </w:tcPr>
          <w:p w:rsidRPr="0069502F" w:rsidR="006D6B5C" w:rsidP="005175CB" w:rsidRDefault="006D6B5C" w14:paraId="13E7BC86" w14:textId="77777777">
            <w:pPr>
              <w:jc w:val="center"/>
              <w:rPr>
                <w:color w:val="auto"/>
                <w:sz w:val="14"/>
                <w:szCs w:val="14"/>
              </w:rPr>
            </w:pPr>
            <w:r w:rsidRPr="0069502F">
              <w:rPr>
                <w:color w:val="auto"/>
                <w:sz w:val="14"/>
                <w:szCs w:val="14"/>
              </w:rPr>
              <w:t>Bijstandsniveau</w:t>
            </w:r>
          </w:p>
          <w:p w:rsidRPr="0069502F" w:rsidR="006D6B5C" w:rsidP="005175CB" w:rsidRDefault="006D6B5C" w14:paraId="3C380BEA" w14:textId="77777777">
            <w:pPr>
              <w:jc w:val="center"/>
              <w:rPr>
                <w:sz w:val="14"/>
                <w:szCs w:val="14"/>
              </w:rPr>
            </w:pPr>
            <w:r w:rsidRPr="0069502F">
              <w:rPr>
                <w:color w:val="auto"/>
                <w:sz w:val="14"/>
                <w:szCs w:val="14"/>
              </w:rPr>
              <w:t>€ 22.341</w:t>
            </w:r>
          </w:p>
        </w:tc>
        <w:tc>
          <w:tcPr>
            <w:tcW w:w="0" w:type="auto"/>
            <w:gridSpan w:val="3"/>
            <w:tcMar>
              <w:top w:w="0" w:type="dxa"/>
              <w:left w:w="108" w:type="dxa"/>
              <w:bottom w:w="0" w:type="dxa"/>
              <w:right w:w="108" w:type="dxa"/>
            </w:tcMar>
          </w:tcPr>
          <w:p w:rsidRPr="0069502F" w:rsidR="006D6B5C" w:rsidP="005175CB" w:rsidRDefault="006D6B5C" w14:paraId="4D2DE26E" w14:textId="77777777">
            <w:pPr>
              <w:jc w:val="center"/>
              <w:rPr>
                <w:color w:val="auto"/>
                <w:sz w:val="14"/>
                <w:szCs w:val="14"/>
              </w:rPr>
            </w:pPr>
            <w:r w:rsidRPr="0069502F">
              <w:rPr>
                <w:color w:val="auto"/>
                <w:sz w:val="14"/>
                <w:szCs w:val="14"/>
              </w:rPr>
              <w:t>Modaal</w:t>
            </w:r>
          </w:p>
          <w:p w:rsidRPr="0069502F" w:rsidR="006D6B5C" w:rsidP="005175CB" w:rsidRDefault="006D6B5C" w14:paraId="7454684E" w14:textId="77777777">
            <w:pPr>
              <w:jc w:val="center"/>
              <w:rPr>
                <w:sz w:val="14"/>
                <w:szCs w:val="14"/>
                <w:lang w:val="de-DE"/>
              </w:rPr>
            </w:pPr>
            <w:r w:rsidRPr="0069502F">
              <w:rPr>
                <w:color w:val="auto"/>
                <w:sz w:val="14"/>
                <w:szCs w:val="14"/>
              </w:rPr>
              <w:t>€ 44.500</w:t>
            </w:r>
          </w:p>
        </w:tc>
        <w:tc>
          <w:tcPr>
            <w:tcW w:w="0" w:type="auto"/>
            <w:gridSpan w:val="3"/>
          </w:tcPr>
          <w:p w:rsidRPr="0069502F" w:rsidR="006D6B5C" w:rsidP="005175CB" w:rsidRDefault="006D6B5C" w14:paraId="65326A13" w14:textId="77777777">
            <w:pPr>
              <w:jc w:val="center"/>
              <w:rPr>
                <w:color w:val="auto"/>
                <w:sz w:val="14"/>
                <w:szCs w:val="14"/>
                <w:lang w:val="de-DE"/>
              </w:rPr>
            </w:pPr>
            <w:r w:rsidRPr="0069502F">
              <w:rPr>
                <w:color w:val="auto"/>
                <w:sz w:val="14"/>
                <w:szCs w:val="14"/>
                <w:lang w:val="de-DE"/>
              </w:rPr>
              <w:t xml:space="preserve">Grens maximum </w:t>
            </w:r>
            <w:proofErr w:type="spellStart"/>
            <w:r w:rsidRPr="0069502F">
              <w:rPr>
                <w:color w:val="auto"/>
                <w:sz w:val="14"/>
                <w:szCs w:val="14"/>
                <w:lang w:val="de-DE"/>
              </w:rPr>
              <w:t>bvv</w:t>
            </w:r>
            <w:proofErr w:type="spellEnd"/>
            <w:r w:rsidRPr="0069502F">
              <w:rPr>
                <w:color w:val="auto"/>
                <w:sz w:val="14"/>
                <w:szCs w:val="14"/>
                <w:lang w:val="de-DE"/>
              </w:rPr>
              <w:t xml:space="preserve"> </w:t>
            </w:r>
          </w:p>
          <w:p w:rsidRPr="0069502F" w:rsidR="006D6B5C" w:rsidP="005175CB" w:rsidRDefault="006D6B5C" w14:paraId="5A1C50EA" w14:textId="77777777">
            <w:pPr>
              <w:jc w:val="center"/>
              <w:rPr>
                <w:sz w:val="14"/>
                <w:szCs w:val="14"/>
              </w:rPr>
            </w:pPr>
            <w:r w:rsidRPr="0069502F">
              <w:rPr>
                <w:color w:val="auto"/>
                <w:sz w:val="14"/>
                <w:szCs w:val="14"/>
                <w:lang w:val="de-DE"/>
              </w:rPr>
              <w:t>€ 56.400</w:t>
            </w:r>
          </w:p>
        </w:tc>
        <w:tc>
          <w:tcPr>
            <w:tcW w:w="0" w:type="auto"/>
            <w:gridSpan w:val="3"/>
            <w:tcMar>
              <w:top w:w="0" w:type="dxa"/>
              <w:left w:w="108" w:type="dxa"/>
              <w:bottom w:w="0" w:type="dxa"/>
              <w:right w:w="108" w:type="dxa"/>
            </w:tcMar>
            <w:hideMark/>
          </w:tcPr>
          <w:p w:rsidRPr="0069502F" w:rsidR="006D6B5C" w:rsidP="005175CB" w:rsidRDefault="006D6B5C" w14:paraId="0B58FE13" w14:textId="77777777">
            <w:pPr>
              <w:jc w:val="center"/>
              <w:rPr>
                <w:color w:val="auto"/>
                <w:sz w:val="14"/>
                <w:szCs w:val="14"/>
              </w:rPr>
            </w:pPr>
            <w:r w:rsidRPr="0069502F">
              <w:rPr>
                <w:color w:val="auto"/>
                <w:sz w:val="14"/>
                <w:szCs w:val="14"/>
              </w:rPr>
              <w:t xml:space="preserve">2x Modaal </w:t>
            </w:r>
          </w:p>
          <w:p w:rsidRPr="0069502F" w:rsidR="006D6B5C" w:rsidP="005175CB" w:rsidRDefault="006D6B5C" w14:paraId="7017C2F1" w14:textId="77777777">
            <w:pPr>
              <w:jc w:val="center"/>
              <w:rPr>
                <w:color w:val="auto"/>
                <w:sz w:val="14"/>
                <w:szCs w:val="14"/>
              </w:rPr>
            </w:pPr>
            <w:r w:rsidRPr="0069502F">
              <w:rPr>
                <w:color w:val="auto"/>
                <w:sz w:val="14"/>
                <w:szCs w:val="14"/>
              </w:rPr>
              <w:t>€ 89.000</w:t>
            </w:r>
          </w:p>
          <w:p w:rsidRPr="0069502F" w:rsidR="006D6B5C" w:rsidP="005175CB" w:rsidRDefault="006D6B5C" w14:paraId="5A9E7F8D" w14:textId="77777777">
            <w:pPr>
              <w:jc w:val="center"/>
              <w:rPr>
                <w:sz w:val="14"/>
                <w:szCs w:val="14"/>
              </w:rPr>
            </w:pPr>
          </w:p>
        </w:tc>
      </w:tr>
      <w:tr w:rsidRPr="0069502F" w:rsidR="006D6B5C" w:rsidTr="005175CB" w14:paraId="02AF6CC1" w14:textId="77777777">
        <w:trPr>
          <w:trHeight w:val="268"/>
        </w:trPr>
        <w:tc>
          <w:tcPr>
            <w:tcW w:w="0" w:type="auto"/>
            <w:tcMar>
              <w:top w:w="0" w:type="dxa"/>
              <w:left w:w="108" w:type="dxa"/>
              <w:bottom w:w="0" w:type="dxa"/>
              <w:right w:w="108" w:type="dxa"/>
            </w:tcMar>
          </w:tcPr>
          <w:p w:rsidRPr="0069502F" w:rsidR="006D6B5C" w:rsidP="005175CB" w:rsidRDefault="006D6B5C" w14:paraId="6D8A95B9" w14:textId="77777777">
            <w:pPr>
              <w:rPr>
                <w:sz w:val="14"/>
                <w:szCs w:val="14"/>
              </w:rPr>
            </w:pPr>
          </w:p>
        </w:tc>
        <w:tc>
          <w:tcPr>
            <w:tcW w:w="0" w:type="auto"/>
            <w:tcMar>
              <w:top w:w="0" w:type="dxa"/>
              <w:left w:w="108" w:type="dxa"/>
              <w:bottom w:w="0" w:type="dxa"/>
              <w:right w:w="108" w:type="dxa"/>
            </w:tcMar>
          </w:tcPr>
          <w:p w:rsidRPr="00F552A1" w:rsidR="006D6B5C" w:rsidP="005175CB" w:rsidRDefault="006D6B5C" w14:paraId="789EC8DF" w14:textId="77777777">
            <w:pPr>
              <w:rPr>
                <w:sz w:val="12"/>
                <w:szCs w:val="12"/>
              </w:rPr>
            </w:pPr>
            <w:r w:rsidRPr="00F552A1">
              <w:rPr>
                <w:sz w:val="12"/>
                <w:szCs w:val="12"/>
              </w:rPr>
              <w:t>Huidig</w:t>
            </w:r>
          </w:p>
        </w:tc>
        <w:tc>
          <w:tcPr>
            <w:tcW w:w="0" w:type="auto"/>
            <w:tcMar>
              <w:top w:w="0" w:type="dxa"/>
              <w:left w:w="108" w:type="dxa"/>
              <w:bottom w:w="0" w:type="dxa"/>
              <w:right w:w="108" w:type="dxa"/>
            </w:tcMar>
          </w:tcPr>
          <w:p w:rsidRPr="00F552A1" w:rsidR="006D6B5C" w:rsidP="005175CB" w:rsidRDefault="006D6B5C" w14:paraId="7E8D1E26" w14:textId="77777777">
            <w:pPr>
              <w:rPr>
                <w:sz w:val="12"/>
                <w:szCs w:val="12"/>
              </w:rPr>
            </w:pPr>
            <w:r>
              <w:rPr>
                <w:sz w:val="12"/>
                <w:szCs w:val="12"/>
              </w:rPr>
              <w:t>Nieuw</w:t>
            </w:r>
          </w:p>
        </w:tc>
        <w:tc>
          <w:tcPr>
            <w:tcW w:w="0" w:type="auto"/>
          </w:tcPr>
          <w:p w:rsidRPr="00F552A1" w:rsidR="006D6B5C" w:rsidP="005175CB" w:rsidRDefault="006D6B5C" w14:paraId="06CAA3D9" w14:textId="77777777">
            <w:pPr>
              <w:rPr>
                <w:sz w:val="12"/>
                <w:szCs w:val="12"/>
              </w:rPr>
            </w:pPr>
          </w:p>
        </w:tc>
        <w:tc>
          <w:tcPr>
            <w:tcW w:w="0" w:type="auto"/>
            <w:tcMar>
              <w:top w:w="0" w:type="dxa"/>
              <w:left w:w="108" w:type="dxa"/>
              <w:bottom w:w="0" w:type="dxa"/>
              <w:right w:w="108" w:type="dxa"/>
            </w:tcMar>
          </w:tcPr>
          <w:p w:rsidRPr="00F552A1" w:rsidR="006D6B5C" w:rsidP="005175CB" w:rsidRDefault="006D6B5C" w14:paraId="26FC820B" w14:textId="77777777">
            <w:pPr>
              <w:rPr>
                <w:sz w:val="12"/>
                <w:szCs w:val="12"/>
              </w:rPr>
            </w:pPr>
            <w:r w:rsidRPr="00F552A1">
              <w:rPr>
                <w:sz w:val="12"/>
                <w:szCs w:val="12"/>
              </w:rPr>
              <w:t>Huidig</w:t>
            </w:r>
          </w:p>
        </w:tc>
        <w:tc>
          <w:tcPr>
            <w:tcW w:w="0" w:type="auto"/>
            <w:tcMar>
              <w:top w:w="0" w:type="dxa"/>
              <w:left w:w="108" w:type="dxa"/>
              <w:bottom w:w="0" w:type="dxa"/>
              <w:right w:w="108" w:type="dxa"/>
            </w:tcMar>
          </w:tcPr>
          <w:p w:rsidRPr="00F552A1" w:rsidR="006D6B5C" w:rsidP="005175CB" w:rsidRDefault="006D6B5C" w14:paraId="40159B0A" w14:textId="77777777">
            <w:pPr>
              <w:rPr>
                <w:sz w:val="12"/>
                <w:szCs w:val="12"/>
              </w:rPr>
            </w:pPr>
            <w:r>
              <w:rPr>
                <w:sz w:val="12"/>
                <w:szCs w:val="12"/>
              </w:rPr>
              <w:t>Nieuw</w:t>
            </w:r>
          </w:p>
        </w:tc>
        <w:tc>
          <w:tcPr>
            <w:tcW w:w="0" w:type="auto"/>
          </w:tcPr>
          <w:p w:rsidRPr="00F552A1" w:rsidR="006D6B5C" w:rsidP="005175CB" w:rsidRDefault="006D6B5C" w14:paraId="17E9AD92" w14:textId="77777777">
            <w:pPr>
              <w:rPr>
                <w:sz w:val="12"/>
                <w:szCs w:val="12"/>
              </w:rPr>
            </w:pPr>
          </w:p>
        </w:tc>
        <w:tc>
          <w:tcPr>
            <w:tcW w:w="0" w:type="auto"/>
            <w:tcMar>
              <w:top w:w="0" w:type="dxa"/>
              <w:left w:w="108" w:type="dxa"/>
              <w:bottom w:w="0" w:type="dxa"/>
              <w:right w:w="108" w:type="dxa"/>
            </w:tcMar>
          </w:tcPr>
          <w:p w:rsidRPr="00F552A1" w:rsidR="006D6B5C" w:rsidP="005175CB" w:rsidRDefault="006D6B5C" w14:paraId="7AB472D5" w14:textId="77777777">
            <w:pPr>
              <w:rPr>
                <w:sz w:val="12"/>
                <w:szCs w:val="12"/>
              </w:rPr>
            </w:pPr>
            <w:r w:rsidRPr="00F552A1">
              <w:rPr>
                <w:sz w:val="12"/>
                <w:szCs w:val="12"/>
              </w:rPr>
              <w:t>Huidig</w:t>
            </w:r>
          </w:p>
        </w:tc>
        <w:tc>
          <w:tcPr>
            <w:tcW w:w="0" w:type="auto"/>
            <w:tcMar>
              <w:top w:w="0" w:type="dxa"/>
              <w:left w:w="108" w:type="dxa"/>
              <w:bottom w:w="0" w:type="dxa"/>
              <w:right w:w="108" w:type="dxa"/>
            </w:tcMar>
          </w:tcPr>
          <w:p w:rsidRPr="00F552A1" w:rsidR="006D6B5C" w:rsidP="005175CB" w:rsidRDefault="006D6B5C" w14:paraId="77A64971" w14:textId="77777777">
            <w:pPr>
              <w:rPr>
                <w:sz w:val="12"/>
                <w:szCs w:val="12"/>
              </w:rPr>
            </w:pPr>
            <w:r>
              <w:rPr>
                <w:sz w:val="12"/>
                <w:szCs w:val="12"/>
              </w:rPr>
              <w:t>Nieuw</w:t>
            </w:r>
          </w:p>
        </w:tc>
        <w:tc>
          <w:tcPr>
            <w:tcW w:w="0" w:type="auto"/>
          </w:tcPr>
          <w:p w:rsidRPr="00F552A1" w:rsidR="006D6B5C" w:rsidP="005175CB" w:rsidRDefault="006D6B5C" w14:paraId="415C5BD4" w14:textId="77777777">
            <w:pPr>
              <w:rPr>
                <w:sz w:val="12"/>
                <w:szCs w:val="12"/>
              </w:rPr>
            </w:pPr>
          </w:p>
        </w:tc>
        <w:tc>
          <w:tcPr>
            <w:tcW w:w="0" w:type="auto"/>
            <w:tcMar>
              <w:top w:w="0" w:type="dxa"/>
              <w:left w:w="108" w:type="dxa"/>
              <w:bottom w:w="0" w:type="dxa"/>
              <w:right w:w="108" w:type="dxa"/>
            </w:tcMar>
          </w:tcPr>
          <w:p w:rsidRPr="00F552A1" w:rsidR="006D6B5C" w:rsidP="005175CB" w:rsidRDefault="006D6B5C" w14:paraId="0F3B9D86" w14:textId="77777777">
            <w:pPr>
              <w:rPr>
                <w:sz w:val="12"/>
                <w:szCs w:val="12"/>
              </w:rPr>
            </w:pPr>
            <w:r w:rsidRPr="00F552A1">
              <w:rPr>
                <w:sz w:val="12"/>
                <w:szCs w:val="12"/>
              </w:rPr>
              <w:t>Huidig</w:t>
            </w:r>
          </w:p>
        </w:tc>
        <w:tc>
          <w:tcPr>
            <w:tcW w:w="0" w:type="auto"/>
            <w:tcMar>
              <w:top w:w="0" w:type="dxa"/>
              <w:left w:w="108" w:type="dxa"/>
              <w:bottom w:w="0" w:type="dxa"/>
              <w:right w:w="108" w:type="dxa"/>
            </w:tcMar>
          </w:tcPr>
          <w:p w:rsidRPr="00F552A1" w:rsidR="006D6B5C" w:rsidP="005175CB" w:rsidRDefault="006D6B5C" w14:paraId="7D16D86C" w14:textId="77777777">
            <w:pPr>
              <w:rPr>
                <w:sz w:val="12"/>
                <w:szCs w:val="12"/>
              </w:rPr>
            </w:pPr>
            <w:r>
              <w:rPr>
                <w:sz w:val="12"/>
                <w:szCs w:val="12"/>
              </w:rPr>
              <w:t>Nieuw</w:t>
            </w:r>
          </w:p>
        </w:tc>
        <w:tc>
          <w:tcPr>
            <w:tcW w:w="0" w:type="auto"/>
          </w:tcPr>
          <w:p w:rsidRPr="00F552A1" w:rsidR="006D6B5C" w:rsidP="005175CB" w:rsidRDefault="006D6B5C" w14:paraId="707990A8" w14:textId="77777777">
            <w:pPr>
              <w:rPr>
                <w:sz w:val="12"/>
                <w:szCs w:val="12"/>
              </w:rPr>
            </w:pPr>
          </w:p>
        </w:tc>
      </w:tr>
      <w:tr w:rsidRPr="0069502F" w:rsidR="006D6B5C" w:rsidTr="005175CB" w14:paraId="4D1BC4CE" w14:textId="77777777">
        <w:trPr>
          <w:trHeight w:val="268"/>
        </w:trPr>
        <w:tc>
          <w:tcPr>
            <w:tcW w:w="0" w:type="auto"/>
            <w:tcMar>
              <w:top w:w="0" w:type="dxa"/>
              <w:left w:w="108" w:type="dxa"/>
              <w:bottom w:w="0" w:type="dxa"/>
              <w:right w:w="108" w:type="dxa"/>
            </w:tcMar>
            <w:hideMark/>
          </w:tcPr>
          <w:p w:rsidRPr="0069502F" w:rsidR="006D6B5C" w:rsidP="005175CB" w:rsidRDefault="006D6B5C" w14:paraId="1EEBD4FF" w14:textId="77777777">
            <w:pPr>
              <w:rPr>
                <w:color w:val="auto"/>
                <w:sz w:val="14"/>
                <w:szCs w:val="14"/>
              </w:rPr>
            </w:pPr>
            <w:r w:rsidRPr="0069502F">
              <w:rPr>
                <w:color w:val="auto"/>
                <w:sz w:val="14"/>
                <w:szCs w:val="14"/>
              </w:rPr>
              <w:t>Huurtoeslag</w:t>
            </w:r>
          </w:p>
        </w:tc>
        <w:tc>
          <w:tcPr>
            <w:tcW w:w="0" w:type="auto"/>
            <w:tcMar>
              <w:top w:w="0" w:type="dxa"/>
              <w:left w:w="108" w:type="dxa"/>
              <w:bottom w:w="0" w:type="dxa"/>
              <w:right w:w="108" w:type="dxa"/>
            </w:tcMar>
          </w:tcPr>
          <w:p w:rsidRPr="0069502F" w:rsidR="006D6B5C" w:rsidP="005175CB" w:rsidRDefault="006D6B5C" w14:paraId="58570CE9" w14:textId="77777777">
            <w:pPr>
              <w:rPr>
                <w:color w:val="auto"/>
                <w:sz w:val="14"/>
                <w:szCs w:val="14"/>
              </w:rPr>
            </w:pPr>
            <w:r w:rsidRPr="0069502F">
              <w:rPr>
                <w:color w:val="auto"/>
                <w:sz w:val="14"/>
                <w:szCs w:val="14"/>
              </w:rPr>
              <w:t>€360</w:t>
            </w:r>
          </w:p>
        </w:tc>
        <w:tc>
          <w:tcPr>
            <w:tcW w:w="0" w:type="auto"/>
            <w:tcMar>
              <w:top w:w="0" w:type="dxa"/>
              <w:left w:w="108" w:type="dxa"/>
              <w:bottom w:w="0" w:type="dxa"/>
              <w:right w:w="108" w:type="dxa"/>
            </w:tcMar>
          </w:tcPr>
          <w:p w:rsidRPr="0069502F" w:rsidR="006D6B5C" w:rsidP="005175CB" w:rsidRDefault="006D6B5C" w14:paraId="1E97220F" w14:textId="77777777">
            <w:pPr>
              <w:rPr>
                <w:color w:val="auto"/>
                <w:sz w:val="14"/>
                <w:szCs w:val="14"/>
              </w:rPr>
            </w:pPr>
            <w:r w:rsidRPr="0069502F">
              <w:rPr>
                <w:color w:val="auto"/>
                <w:sz w:val="14"/>
                <w:szCs w:val="14"/>
              </w:rPr>
              <w:t>€374</w:t>
            </w:r>
          </w:p>
        </w:tc>
        <w:tc>
          <w:tcPr>
            <w:tcW w:w="0" w:type="auto"/>
          </w:tcPr>
          <w:p w:rsidRPr="0069502F" w:rsidR="006D6B5C" w:rsidP="005175CB" w:rsidRDefault="006D6B5C" w14:paraId="27026401" w14:textId="77777777">
            <w:pPr>
              <w:rPr>
                <w:sz w:val="14"/>
                <w:szCs w:val="14"/>
              </w:rPr>
            </w:pPr>
          </w:p>
        </w:tc>
        <w:tc>
          <w:tcPr>
            <w:tcW w:w="0" w:type="auto"/>
            <w:tcMar>
              <w:top w:w="0" w:type="dxa"/>
              <w:left w:w="108" w:type="dxa"/>
              <w:bottom w:w="0" w:type="dxa"/>
              <w:right w:w="108" w:type="dxa"/>
            </w:tcMar>
          </w:tcPr>
          <w:p w:rsidRPr="0069502F" w:rsidR="006D6B5C" w:rsidP="005175CB" w:rsidRDefault="006D6B5C" w14:paraId="21C349F0" w14:textId="77777777">
            <w:pPr>
              <w:rPr>
                <w:color w:val="auto"/>
                <w:sz w:val="14"/>
                <w:szCs w:val="14"/>
              </w:rPr>
            </w:pPr>
            <w:r w:rsidRPr="0069502F">
              <w:rPr>
                <w:color w:val="auto"/>
                <w:sz w:val="14"/>
                <w:szCs w:val="14"/>
              </w:rPr>
              <w:t>€47</w:t>
            </w:r>
          </w:p>
        </w:tc>
        <w:tc>
          <w:tcPr>
            <w:tcW w:w="0" w:type="auto"/>
            <w:tcMar>
              <w:top w:w="0" w:type="dxa"/>
              <w:left w:w="108" w:type="dxa"/>
              <w:bottom w:w="0" w:type="dxa"/>
              <w:right w:w="108" w:type="dxa"/>
            </w:tcMar>
          </w:tcPr>
          <w:p w:rsidRPr="0069502F" w:rsidR="006D6B5C" w:rsidP="005175CB" w:rsidRDefault="006D6B5C" w14:paraId="5BF85247" w14:textId="77777777">
            <w:pPr>
              <w:rPr>
                <w:color w:val="auto"/>
                <w:sz w:val="14"/>
                <w:szCs w:val="14"/>
              </w:rPr>
            </w:pPr>
            <w:r w:rsidRPr="0069502F">
              <w:rPr>
                <w:color w:val="auto"/>
                <w:sz w:val="14"/>
                <w:szCs w:val="14"/>
              </w:rPr>
              <w:t>€97</w:t>
            </w:r>
          </w:p>
        </w:tc>
        <w:tc>
          <w:tcPr>
            <w:tcW w:w="0" w:type="auto"/>
          </w:tcPr>
          <w:p w:rsidRPr="0069502F" w:rsidR="006D6B5C" w:rsidP="005175CB" w:rsidRDefault="006D6B5C" w14:paraId="607962AE" w14:textId="77777777">
            <w:pPr>
              <w:rPr>
                <w:sz w:val="14"/>
                <w:szCs w:val="14"/>
              </w:rPr>
            </w:pPr>
          </w:p>
        </w:tc>
        <w:tc>
          <w:tcPr>
            <w:tcW w:w="0" w:type="auto"/>
            <w:tcMar>
              <w:top w:w="0" w:type="dxa"/>
              <w:left w:w="108" w:type="dxa"/>
              <w:bottom w:w="0" w:type="dxa"/>
              <w:right w:w="108" w:type="dxa"/>
            </w:tcMar>
          </w:tcPr>
          <w:p w:rsidRPr="0069502F" w:rsidR="006D6B5C" w:rsidP="005175CB" w:rsidRDefault="006D6B5C" w14:paraId="2BCB94D7" w14:textId="77777777">
            <w:pPr>
              <w:rPr>
                <w:color w:val="auto"/>
                <w:sz w:val="14"/>
                <w:szCs w:val="14"/>
              </w:rPr>
            </w:pPr>
            <w:r w:rsidRPr="0069502F">
              <w:rPr>
                <w:color w:val="auto"/>
                <w:sz w:val="14"/>
                <w:szCs w:val="14"/>
              </w:rPr>
              <w:t>€0</w:t>
            </w:r>
          </w:p>
        </w:tc>
        <w:tc>
          <w:tcPr>
            <w:tcW w:w="0" w:type="auto"/>
            <w:tcMar>
              <w:top w:w="0" w:type="dxa"/>
              <w:left w:w="108" w:type="dxa"/>
              <w:bottom w:w="0" w:type="dxa"/>
              <w:right w:w="108" w:type="dxa"/>
            </w:tcMar>
          </w:tcPr>
          <w:p w:rsidRPr="0069502F" w:rsidR="006D6B5C" w:rsidP="005175CB" w:rsidRDefault="006D6B5C" w14:paraId="3C19B799" w14:textId="77777777">
            <w:pPr>
              <w:rPr>
                <w:color w:val="auto"/>
                <w:sz w:val="14"/>
                <w:szCs w:val="14"/>
              </w:rPr>
            </w:pPr>
            <w:r w:rsidRPr="0069502F">
              <w:rPr>
                <w:color w:val="auto"/>
                <w:sz w:val="14"/>
                <w:szCs w:val="14"/>
              </w:rPr>
              <w:t>€0</w:t>
            </w:r>
          </w:p>
        </w:tc>
        <w:tc>
          <w:tcPr>
            <w:tcW w:w="0" w:type="auto"/>
          </w:tcPr>
          <w:p w:rsidRPr="0069502F" w:rsidR="006D6B5C" w:rsidP="005175CB" w:rsidRDefault="006D6B5C" w14:paraId="41A54AF7" w14:textId="77777777">
            <w:pPr>
              <w:rPr>
                <w:sz w:val="14"/>
                <w:szCs w:val="14"/>
              </w:rPr>
            </w:pPr>
          </w:p>
        </w:tc>
        <w:tc>
          <w:tcPr>
            <w:tcW w:w="0" w:type="auto"/>
            <w:tcMar>
              <w:top w:w="0" w:type="dxa"/>
              <w:left w:w="108" w:type="dxa"/>
              <w:bottom w:w="0" w:type="dxa"/>
              <w:right w:w="108" w:type="dxa"/>
            </w:tcMar>
          </w:tcPr>
          <w:p w:rsidRPr="0069502F" w:rsidR="006D6B5C" w:rsidP="005175CB" w:rsidRDefault="006D6B5C" w14:paraId="7D39AC29" w14:textId="77777777">
            <w:pPr>
              <w:rPr>
                <w:color w:val="auto"/>
                <w:sz w:val="14"/>
                <w:szCs w:val="14"/>
              </w:rPr>
            </w:pPr>
            <w:r w:rsidRPr="0069502F">
              <w:rPr>
                <w:color w:val="auto"/>
                <w:sz w:val="14"/>
                <w:szCs w:val="14"/>
              </w:rPr>
              <w:t>€0</w:t>
            </w:r>
          </w:p>
        </w:tc>
        <w:tc>
          <w:tcPr>
            <w:tcW w:w="0" w:type="auto"/>
            <w:tcMar>
              <w:top w:w="0" w:type="dxa"/>
              <w:left w:w="108" w:type="dxa"/>
              <w:bottom w:w="0" w:type="dxa"/>
              <w:right w:w="108" w:type="dxa"/>
            </w:tcMar>
          </w:tcPr>
          <w:p w:rsidRPr="0069502F" w:rsidR="006D6B5C" w:rsidP="005175CB" w:rsidRDefault="006D6B5C" w14:paraId="288E9735" w14:textId="77777777">
            <w:pPr>
              <w:rPr>
                <w:color w:val="auto"/>
                <w:sz w:val="14"/>
                <w:szCs w:val="14"/>
              </w:rPr>
            </w:pPr>
            <w:r w:rsidRPr="0069502F">
              <w:rPr>
                <w:color w:val="auto"/>
                <w:sz w:val="14"/>
                <w:szCs w:val="14"/>
              </w:rPr>
              <w:t>€0</w:t>
            </w:r>
          </w:p>
        </w:tc>
        <w:tc>
          <w:tcPr>
            <w:tcW w:w="0" w:type="auto"/>
          </w:tcPr>
          <w:p w:rsidRPr="0069502F" w:rsidR="006D6B5C" w:rsidP="005175CB" w:rsidRDefault="006D6B5C" w14:paraId="014B9EE7" w14:textId="77777777">
            <w:pPr>
              <w:rPr>
                <w:sz w:val="14"/>
                <w:szCs w:val="14"/>
              </w:rPr>
            </w:pPr>
          </w:p>
        </w:tc>
      </w:tr>
      <w:tr w:rsidRPr="0069502F" w:rsidR="006D6B5C" w:rsidTr="005175CB" w14:paraId="0EA408EE" w14:textId="77777777">
        <w:tc>
          <w:tcPr>
            <w:tcW w:w="0" w:type="auto"/>
            <w:tcMar>
              <w:top w:w="0" w:type="dxa"/>
              <w:left w:w="108" w:type="dxa"/>
              <w:bottom w:w="0" w:type="dxa"/>
              <w:right w:w="108" w:type="dxa"/>
            </w:tcMar>
            <w:hideMark/>
          </w:tcPr>
          <w:p w:rsidRPr="0069502F" w:rsidR="006D6B5C" w:rsidP="005175CB" w:rsidRDefault="006D6B5C" w14:paraId="3D59F837" w14:textId="77777777">
            <w:pPr>
              <w:rPr>
                <w:color w:val="auto"/>
                <w:sz w:val="14"/>
                <w:szCs w:val="14"/>
              </w:rPr>
            </w:pPr>
            <w:r w:rsidRPr="0069502F">
              <w:rPr>
                <w:color w:val="auto"/>
                <w:sz w:val="14"/>
                <w:szCs w:val="14"/>
              </w:rPr>
              <w:t xml:space="preserve">Compensatie niet ontvangen huurtoeslag in de berekening </w:t>
            </w:r>
            <w:proofErr w:type="spellStart"/>
            <w:r w:rsidRPr="0069502F">
              <w:rPr>
                <w:color w:val="auto"/>
                <w:sz w:val="14"/>
                <w:szCs w:val="14"/>
              </w:rPr>
              <w:t>bvv</w:t>
            </w:r>
            <w:proofErr w:type="spellEnd"/>
          </w:p>
        </w:tc>
        <w:tc>
          <w:tcPr>
            <w:tcW w:w="0" w:type="auto"/>
            <w:tcMar>
              <w:top w:w="0" w:type="dxa"/>
              <w:left w:w="108" w:type="dxa"/>
              <w:bottom w:w="0" w:type="dxa"/>
              <w:right w:w="108" w:type="dxa"/>
            </w:tcMar>
          </w:tcPr>
          <w:p w:rsidRPr="0069502F" w:rsidR="006D6B5C" w:rsidP="005175CB" w:rsidRDefault="006D6B5C" w14:paraId="3F943211" w14:textId="77777777">
            <w:pPr>
              <w:rPr>
                <w:color w:val="auto"/>
                <w:sz w:val="14"/>
                <w:szCs w:val="14"/>
              </w:rPr>
            </w:pPr>
            <w:r w:rsidRPr="0069502F">
              <w:rPr>
                <w:color w:val="auto"/>
                <w:sz w:val="14"/>
                <w:szCs w:val="14"/>
              </w:rPr>
              <w:t>€0</w:t>
            </w:r>
          </w:p>
        </w:tc>
        <w:tc>
          <w:tcPr>
            <w:tcW w:w="0" w:type="auto"/>
            <w:tcMar>
              <w:top w:w="0" w:type="dxa"/>
              <w:left w:w="108" w:type="dxa"/>
              <w:bottom w:w="0" w:type="dxa"/>
              <w:right w:w="108" w:type="dxa"/>
            </w:tcMar>
          </w:tcPr>
          <w:p w:rsidRPr="0069502F" w:rsidR="006D6B5C" w:rsidP="005175CB" w:rsidRDefault="006D6B5C" w14:paraId="33519915" w14:textId="77777777">
            <w:pPr>
              <w:rPr>
                <w:color w:val="auto"/>
                <w:sz w:val="14"/>
                <w:szCs w:val="14"/>
              </w:rPr>
            </w:pPr>
            <w:r w:rsidRPr="0069502F">
              <w:rPr>
                <w:color w:val="auto"/>
                <w:sz w:val="14"/>
                <w:szCs w:val="14"/>
              </w:rPr>
              <w:t>€0</w:t>
            </w:r>
          </w:p>
        </w:tc>
        <w:tc>
          <w:tcPr>
            <w:tcW w:w="0" w:type="auto"/>
          </w:tcPr>
          <w:p w:rsidRPr="0069502F" w:rsidR="006D6B5C" w:rsidP="005175CB" w:rsidRDefault="006D6B5C" w14:paraId="5C6A8B7A" w14:textId="77777777">
            <w:pPr>
              <w:rPr>
                <w:sz w:val="14"/>
                <w:szCs w:val="14"/>
              </w:rPr>
            </w:pPr>
          </w:p>
        </w:tc>
        <w:tc>
          <w:tcPr>
            <w:tcW w:w="0" w:type="auto"/>
            <w:tcMar>
              <w:top w:w="0" w:type="dxa"/>
              <w:left w:w="108" w:type="dxa"/>
              <w:bottom w:w="0" w:type="dxa"/>
              <w:right w:w="108" w:type="dxa"/>
            </w:tcMar>
          </w:tcPr>
          <w:p w:rsidRPr="0069502F" w:rsidR="006D6B5C" w:rsidP="005175CB" w:rsidRDefault="006D6B5C" w14:paraId="7E75A0C8" w14:textId="77777777">
            <w:pPr>
              <w:rPr>
                <w:color w:val="auto"/>
                <w:sz w:val="14"/>
                <w:szCs w:val="14"/>
              </w:rPr>
            </w:pPr>
            <w:r w:rsidRPr="0069502F">
              <w:rPr>
                <w:color w:val="auto"/>
                <w:sz w:val="14"/>
                <w:szCs w:val="14"/>
              </w:rPr>
              <w:t>€338</w:t>
            </w:r>
          </w:p>
        </w:tc>
        <w:tc>
          <w:tcPr>
            <w:tcW w:w="0" w:type="auto"/>
            <w:tcMar>
              <w:top w:w="0" w:type="dxa"/>
              <w:left w:w="108" w:type="dxa"/>
              <w:bottom w:w="0" w:type="dxa"/>
              <w:right w:w="108" w:type="dxa"/>
            </w:tcMar>
          </w:tcPr>
          <w:p w:rsidRPr="0069502F" w:rsidR="006D6B5C" w:rsidP="005175CB" w:rsidRDefault="006D6B5C" w14:paraId="01A61438" w14:textId="77777777">
            <w:pPr>
              <w:rPr>
                <w:color w:val="auto"/>
                <w:sz w:val="14"/>
                <w:szCs w:val="14"/>
              </w:rPr>
            </w:pPr>
            <w:r w:rsidRPr="0069502F">
              <w:rPr>
                <w:color w:val="auto"/>
                <w:sz w:val="14"/>
                <w:szCs w:val="14"/>
              </w:rPr>
              <w:t>€278</w:t>
            </w:r>
          </w:p>
        </w:tc>
        <w:tc>
          <w:tcPr>
            <w:tcW w:w="0" w:type="auto"/>
          </w:tcPr>
          <w:p w:rsidRPr="0069502F" w:rsidR="006D6B5C" w:rsidP="005175CB" w:rsidRDefault="006D6B5C" w14:paraId="5B6249AF" w14:textId="77777777">
            <w:pPr>
              <w:rPr>
                <w:sz w:val="14"/>
                <w:szCs w:val="14"/>
              </w:rPr>
            </w:pPr>
          </w:p>
        </w:tc>
        <w:tc>
          <w:tcPr>
            <w:tcW w:w="0" w:type="auto"/>
            <w:tcMar>
              <w:top w:w="0" w:type="dxa"/>
              <w:left w:w="108" w:type="dxa"/>
              <w:bottom w:w="0" w:type="dxa"/>
              <w:right w:w="108" w:type="dxa"/>
            </w:tcMar>
          </w:tcPr>
          <w:p w:rsidRPr="0069502F" w:rsidR="006D6B5C" w:rsidP="005175CB" w:rsidRDefault="006D6B5C" w14:paraId="64B1B842" w14:textId="77777777">
            <w:pPr>
              <w:rPr>
                <w:color w:val="auto"/>
                <w:sz w:val="14"/>
                <w:szCs w:val="14"/>
              </w:rPr>
            </w:pPr>
            <w:r w:rsidRPr="0069502F">
              <w:rPr>
                <w:color w:val="auto"/>
                <w:sz w:val="14"/>
                <w:szCs w:val="14"/>
              </w:rPr>
              <w:t>€653</w:t>
            </w:r>
          </w:p>
        </w:tc>
        <w:tc>
          <w:tcPr>
            <w:tcW w:w="0" w:type="auto"/>
            <w:tcMar>
              <w:top w:w="0" w:type="dxa"/>
              <w:left w:w="108" w:type="dxa"/>
              <w:bottom w:w="0" w:type="dxa"/>
              <w:right w:w="108" w:type="dxa"/>
            </w:tcMar>
          </w:tcPr>
          <w:p w:rsidRPr="0069502F" w:rsidR="006D6B5C" w:rsidP="005175CB" w:rsidRDefault="006D6B5C" w14:paraId="10F6A0AF" w14:textId="77777777">
            <w:pPr>
              <w:rPr>
                <w:color w:val="auto"/>
                <w:sz w:val="14"/>
                <w:szCs w:val="14"/>
              </w:rPr>
            </w:pPr>
            <w:r w:rsidRPr="0069502F">
              <w:rPr>
                <w:color w:val="auto"/>
                <w:sz w:val="14"/>
                <w:szCs w:val="14"/>
              </w:rPr>
              <w:t>€496</w:t>
            </w:r>
          </w:p>
        </w:tc>
        <w:tc>
          <w:tcPr>
            <w:tcW w:w="0" w:type="auto"/>
          </w:tcPr>
          <w:p w:rsidRPr="0069502F" w:rsidR="006D6B5C" w:rsidP="005175CB" w:rsidRDefault="006D6B5C" w14:paraId="607F11D8" w14:textId="77777777">
            <w:pPr>
              <w:rPr>
                <w:sz w:val="14"/>
                <w:szCs w:val="14"/>
              </w:rPr>
            </w:pPr>
          </w:p>
        </w:tc>
        <w:tc>
          <w:tcPr>
            <w:tcW w:w="0" w:type="auto"/>
            <w:tcMar>
              <w:top w:w="0" w:type="dxa"/>
              <w:left w:w="108" w:type="dxa"/>
              <w:bottom w:w="0" w:type="dxa"/>
              <w:right w:w="108" w:type="dxa"/>
            </w:tcMar>
          </w:tcPr>
          <w:p w:rsidRPr="0069502F" w:rsidR="006D6B5C" w:rsidP="005175CB" w:rsidRDefault="006D6B5C" w14:paraId="05DC751F" w14:textId="77777777">
            <w:pPr>
              <w:rPr>
                <w:color w:val="auto"/>
                <w:sz w:val="14"/>
                <w:szCs w:val="14"/>
              </w:rPr>
            </w:pPr>
            <w:r w:rsidRPr="0069502F">
              <w:rPr>
                <w:color w:val="auto"/>
                <w:sz w:val="14"/>
                <w:szCs w:val="14"/>
              </w:rPr>
              <w:t>€653</w:t>
            </w:r>
          </w:p>
        </w:tc>
        <w:tc>
          <w:tcPr>
            <w:tcW w:w="0" w:type="auto"/>
            <w:tcMar>
              <w:top w:w="0" w:type="dxa"/>
              <w:left w:w="108" w:type="dxa"/>
              <w:bottom w:w="0" w:type="dxa"/>
              <w:right w:w="108" w:type="dxa"/>
            </w:tcMar>
          </w:tcPr>
          <w:p w:rsidRPr="0069502F" w:rsidR="006D6B5C" w:rsidP="005175CB" w:rsidRDefault="006D6B5C" w14:paraId="7585DE15" w14:textId="77777777">
            <w:pPr>
              <w:rPr>
                <w:color w:val="auto"/>
                <w:sz w:val="14"/>
                <w:szCs w:val="14"/>
              </w:rPr>
            </w:pPr>
            <w:r w:rsidRPr="0069502F">
              <w:rPr>
                <w:color w:val="auto"/>
                <w:sz w:val="14"/>
                <w:szCs w:val="14"/>
              </w:rPr>
              <w:t>€706</w:t>
            </w:r>
          </w:p>
        </w:tc>
        <w:tc>
          <w:tcPr>
            <w:tcW w:w="0" w:type="auto"/>
          </w:tcPr>
          <w:p w:rsidRPr="0069502F" w:rsidR="006D6B5C" w:rsidP="005175CB" w:rsidRDefault="006D6B5C" w14:paraId="2BA5B1D5" w14:textId="77777777">
            <w:pPr>
              <w:rPr>
                <w:sz w:val="14"/>
                <w:szCs w:val="14"/>
              </w:rPr>
            </w:pPr>
          </w:p>
        </w:tc>
      </w:tr>
      <w:tr w:rsidRPr="0069502F" w:rsidR="006D6B5C" w:rsidTr="005175CB" w14:paraId="5EA36443" w14:textId="77777777">
        <w:tc>
          <w:tcPr>
            <w:tcW w:w="0" w:type="auto"/>
            <w:tcMar>
              <w:top w:w="0" w:type="dxa"/>
              <w:left w:w="108" w:type="dxa"/>
              <w:bottom w:w="0" w:type="dxa"/>
              <w:right w:w="108" w:type="dxa"/>
            </w:tcMar>
            <w:hideMark/>
          </w:tcPr>
          <w:p w:rsidRPr="0069502F" w:rsidR="006D6B5C" w:rsidP="005175CB" w:rsidRDefault="006D6B5C" w14:paraId="45F7500D" w14:textId="77777777">
            <w:pPr>
              <w:rPr>
                <w:b/>
                <w:bCs/>
                <w:color w:val="auto"/>
                <w:sz w:val="14"/>
                <w:szCs w:val="14"/>
              </w:rPr>
            </w:pPr>
            <w:r w:rsidRPr="0069502F">
              <w:rPr>
                <w:b/>
                <w:bCs/>
                <w:color w:val="auto"/>
                <w:sz w:val="14"/>
                <w:szCs w:val="14"/>
              </w:rPr>
              <w:t>Som</w:t>
            </w:r>
          </w:p>
        </w:tc>
        <w:tc>
          <w:tcPr>
            <w:tcW w:w="0" w:type="auto"/>
            <w:tcMar>
              <w:top w:w="0" w:type="dxa"/>
              <w:left w:w="108" w:type="dxa"/>
              <w:bottom w:w="0" w:type="dxa"/>
              <w:right w:w="108" w:type="dxa"/>
            </w:tcMar>
          </w:tcPr>
          <w:p w:rsidRPr="0069502F" w:rsidR="006D6B5C" w:rsidP="005175CB" w:rsidRDefault="006D6B5C" w14:paraId="3BC6E867" w14:textId="77777777">
            <w:pPr>
              <w:rPr>
                <w:color w:val="auto"/>
                <w:sz w:val="14"/>
                <w:szCs w:val="14"/>
              </w:rPr>
            </w:pPr>
            <w:r w:rsidRPr="0069502F">
              <w:rPr>
                <w:color w:val="auto"/>
                <w:sz w:val="14"/>
                <w:szCs w:val="14"/>
              </w:rPr>
              <w:t>€360</w:t>
            </w:r>
          </w:p>
        </w:tc>
        <w:tc>
          <w:tcPr>
            <w:tcW w:w="0" w:type="auto"/>
            <w:tcMar>
              <w:top w:w="0" w:type="dxa"/>
              <w:left w:w="108" w:type="dxa"/>
              <w:bottom w:w="0" w:type="dxa"/>
              <w:right w:w="108" w:type="dxa"/>
            </w:tcMar>
          </w:tcPr>
          <w:p w:rsidRPr="0069502F" w:rsidR="006D6B5C" w:rsidP="005175CB" w:rsidRDefault="006D6B5C" w14:paraId="58CE7D8D" w14:textId="77777777">
            <w:pPr>
              <w:rPr>
                <w:color w:val="auto"/>
                <w:sz w:val="14"/>
                <w:szCs w:val="14"/>
              </w:rPr>
            </w:pPr>
            <w:r w:rsidRPr="0069502F">
              <w:rPr>
                <w:color w:val="auto"/>
                <w:sz w:val="14"/>
                <w:szCs w:val="14"/>
              </w:rPr>
              <w:t>€374</w:t>
            </w:r>
          </w:p>
        </w:tc>
        <w:tc>
          <w:tcPr>
            <w:tcW w:w="0" w:type="auto"/>
          </w:tcPr>
          <w:p w:rsidRPr="0069502F" w:rsidR="006D6B5C" w:rsidP="005175CB" w:rsidRDefault="006D6B5C" w14:paraId="04B364AA" w14:textId="77777777">
            <w:pPr>
              <w:rPr>
                <w:sz w:val="14"/>
                <w:szCs w:val="14"/>
              </w:rPr>
            </w:pPr>
          </w:p>
        </w:tc>
        <w:tc>
          <w:tcPr>
            <w:tcW w:w="0" w:type="auto"/>
            <w:tcMar>
              <w:top w:w="0" w:type="dxa"/>
              <w:left w:w="108" w:type="dxa"/>
              <w:bottom w:w="0" w:type="dxa"/>
              <w:right w:w="108" w:type="dxa"/>
            </w:tcMar>
          </w:tcPr>
          <w:p w:rsidRPr="0069502F" w:rsidR="006D6B5C" w:rsidP="005175CB" w:rsidRDefault="006D6B5C" w14:paraId="71298A72" w14:textId="77777777">
            <w:pPr>
              <w:rPr>
                <w:color w:val="auto"/>
                <w:sz w:val="14"/>
                <w:szCs w:val="14"/>
              </w:rPr>
            </w:pPr>
            <w:r w:rsidRPr="0069502F">
              <w:rPr>
                <w:color w:val="auto"/>
                <w:sz w:val="14"/>
                <w:szCs w:val="14"/>
              </w:rPr>
              <w:t>€385</w:t>
            </w:r>
          </w:p>
        </w:tc>
        <w:tc>
          <w:tcPr>
            <w:tcW w:w="0" w:type="auto"/>
            <w:tcMar>
              <w:top w:w="0" w:type="dxa"/>
              <w:left w:w="108" w:type="dxa"/>
              <w:bottom w:w="0" w:type="dxa"/>
              <w:right w:w="108" w:type="dxa"/>
            </w:tcMar>
          </w:tcPr>
          <w:p w:rsidRPr="0069502F" w:rsidR="006D6B5C" w:rsidP="005175CB" w:rsidRDefault="006D6B5C" w14:paraId="61B13C8F" w14:textId="77777777">
            <w:pPr>
              <w:rPr>
                <w:color w:val="auto"/>
                <w:sz w:val="14"/>
                <w:szCs w:val="14"/>
              </w:rPr>
            </w:pPr>
            <w:r w:rsidRPr="0069502F">
              <w:rPr>
                <w:color w:val="auto"/>
                <w:sz w:val="14"/>
                <w:szCs w:val="14"/>
              </w:rPr>
              <w:t>€375</w:t>
            </w:r>
          </w:p>
        </w:tc>
        <w:tc>
          <w:tcPr>
            <w:tcW w:w="0" w:type="auto"/>
          </w:tcPr>
          <w:p w:rsidRPr="0069502F" w:rsidR="006D6B5C" w:rsidP="005175CB" w:rsidRDefault="006D6B5C" w14:paraId="676D319C" w14:textId="77777777">
            <w:pPr>
              <w:rPr>
                <w:sz w:val="14"/>
                <w:szCs w:val="14"/>
              </w:rPr>
            </w:pPr>
          </w:p>
        </w:tc>
        <w:tc>
          <w:tcPr>
            <w:tcW w:w="0" w:type="auto"/>
            <w:tcMar>
              <w:top w:w="0" w:type="dxa"/>
              <w:left w:w="108" w:type="dxa"/>
              <w:bottom w:w="0" w:type="dxa"/>
              <w:right w:w="108" w:type="dxa"/>
            </w:tcMar>
          </w:tcPr>
          <w:p w:rsidRPr="0069502F" w:rsidR="006D6B5C" w:rsidP="005175CB" w:rsidRDefault="006D6B5C" w14:paraId="63150A95" w14:textId="77777777">
            <w:pPr>
              <w:rPr>
                <w:color w:val="auto"/>
                <w:sz w:val="14"/>
                <w:szCs w:val="14"/>
              </w:rPr>
            </w:pPr>
            <w:r w:rsidRPr="0069502F">
              <w:rPr>
                <w:color w:val="auto"/>
                <w:sz w:val="14"/>
                <w:szCs w:val="14"/>
              </w:rPr>
              <w:t>€653</w:t>
            </w:r>
          </w:p>
        </w:tc>
        <w:tc>
          <w:tcPr>
            <w:tcW w:w="0" w:type="auto"/>
            <w:tcMar>
              <w:top w:w="0" w:type="dxa"/>
              <w:left w:w="108" w:type="dxa"/>
              <w:bottom w:w="0" w:type="dxa"/>
              <w:right w:w="108" w:type="dxa"/>
            </w:tcMar>
          </w:tcPr>
          <w:p w:rsidRPr="0069502F" w:rsidR="006D6B5C" w:rsidP="005175CB" w:rsidRDefault="006D6B5C" w14:paraId="3943D8F6" w14:textId="77777777">
            <w:pPr>
              <w:rPr>
                <w:color w:val="auto"/>
                <w:sz w:val="14"/>
                <w:szCs w:val="14"/>
              </w:rPr>
            </w:pPr>
            <w:r w:rsidRPr="0069502F">
              <w:rPr>
                <w:color w:val="auto"/>
                <w:sz w:val="14"/>
                <w:szCs w:val="14"/>
              </w:rPr>
              <w:t>€496</w:t>
            </w:r>
          </w:p>
        </w:tc>
        <w:tc>
          <w:tcPr>
            <w:tcW w:w="0" w:type="auto"/>
          </w:tcPr>
          <w:p w:rsidRPr="0069502F" w:rsidR="006D6B5C" w:rsidP="005175CB" w:rsidRDefault="006D6B5C" w14:paraId="7AE71F3E" w14:textId="77777777">
            <w:pPr>
              <w:rPr>
                <w:sz w:val="14"/>
                <w:szCs w:val="14"/>
              </w:rPr>
            </w:pPr>
          </w:p>
        </w:tc>
        <w:tc>
          <w:tcPr>
            <w:tcW w:w="0" w:type="auto"/>
            <w:tcMar>
              <w:top w:w="0" w:type="dxa"/>
              <w:left w:w="108" w:type="dxa"/>
              <w:bottom w:w="0" w:type="dxa"/>
              <w:right w:w="108" w:type="dxa"/>
            </w:tcMar>
          </w:tcPr>
          <w:p w:rsidRPr="0069502F" w:rsidR="006D6B5C" w:rsidP="005175CB" w:rsidRDefault="006D6B5C" w14:paraId="0FA6917A" w14:textId="77777777">
            <w:pPr>
              <w:rPr>
                <w:color w:val="auto"/>
                <w:sz w:val="14"/>
                <w:szCs w:val="14"/>
              </w:rPr>
            </w:pPr>
            <w:r w:rsidRPr="0069502F">
              <w:rPr>
                <w:color w:val="auto"/>
                <w:sz w:val="14"/>
                <w:szCs w:val="14"/>
              </w:rPr>
              <w:t>€653</w:t>
            </w:r>
          </w:p>
        </w:tc>
        <w:tc>
          <w:tcPr>
            <w:tcW w:w="0" w:type="auto"/>
            <w:tcMar>
              <w:top w:w="0" w:type="dxa"/>
              <w:left w:w="108" w:type="dxa"/>
              <w:bottom w:w="0" w:type="dxa"/>
              <w:right w:w="108" w:type="dxa"/>
            </w:tcMar>
          </w:tcPr>
          <w:p w:rsidRPr="0069502F" w:rsidR="006D6B5C" w:rsidP="005175CB" w:rsidRDefault="006D6B5C" w14:paraId="0427A3DB" w14:textId="77777777">
            <w:pPr>
              <w:rPr>
                <w:color w:val="auto"/>
                <w:sz w:val="14"/>
                <w:szCs w:val="14"/>
              </w:rPr>
            </w:pPr>
            <w:r w:rsidRPr="0069502F">
              <w:rPr>
                <w:color w:val="auto"/>
                <w:sz w:val="14"/>
                <w:szCs w:val="14"/>
              </w:rPr>
              <w:t>€706</w:t>
            </w:r>
          </w:p>
        </w:tc>
        <w:tc>
          <w:tcPr>
            <w:tcW w:w="0" w:type="auto"/>
          </w:tcPr>
          <w:p w:rsidRPr="0069502F" w:rsidR="006D6B5C" w:rsidP="005175CB" w:rsidRDefault="006D6B5C" w14:paraId="7FC5B450" w14:textId="77777777">
            <w:pPr>
              <w:rPr>
                <w:sz w:val="14"/>
                <w:szCs w:val="14"/>
              </w:rPr>
            </w:pPr>
          </w:p>
        </w:tc>
      </w:tr>
      <w:tr w:rsidRPr="0069502F" w:rsidR="006D6B5C" w:rsidTr="005175CB" w14:paraId="5F5A8491" w14:textId="77777777">
        <w:tc>
          <w:tcPr>
            <w:tcW w:w="0" w:type="auto"/>
            <w:tcMar>
              <w:top w:w="0" w:type="dxa"/>
              <w:left w:w="108" w:type="dxa"/>
              <w:bottom w:w="0" w:type="dxa"/>
              <w:right w:w="108" w:type="dxa"/>
            </w:tcMar>
          </w:tcPr>
          <w:p w:rsidRPr="0069502F" w:rsidR="006D6B5C" w:rsidP="005175CB" w:rsidRDefault="006D6B5C" w14:paraId="3D4A3A47" w14:textId="77777777">
            <w:pPr>
              <w:rPr>
                <w:color w:val="auto"/>
                <w:sz w:val="14"/>
                <w:szCs w:val="14"/>
              </w:rPr>
            </w:pPr>
          </w:p>
        </w:tc>
        <w:tc>
          <w:tcPr>
            <w:tcW w:w="0" w:type="auto"/>
            <w:tcMar>
              <w:top w:w="0" w:type="dxa"/>
              <w:left w:w="108" w:type="dxa"/>
              <w:bottom w:w="0" w:type="dxa"/>
              <w:right w:w="108" w:type="dxa"/>
            </w:tcMar>
          </w:tcPr>
          <w:p w:rsidRPr="0069502F" w:rsidR="006D6B5C" w:rsidP="005175CB" w:rsidRDefault="006D6B5C" w14:paraId="63AA8AC3" w14:textId="77777777">
            <w:pPr>
              <w:rPr>
                <w:color w:val="auto"/>
                <w:sz w:val="14"/>
                <w:szCs w:val="14"/>
              </w:rPr>
            </w:pPr>
          </w:p>
        </w:tc>
        <w:tc>
          <w:tcPr>
            <w:tcW w:w="0" w:type="auto"/>
            <w:tcMar>
              <w:top w:w="0" w:type="dxa"/>
              <w:left w:w="108" w:type="dxa"/>
              <w:bottom w:w="0" w:type="dxa"/>
              <w:right w:w="108" w:type="dxa"/>
            </w:tcMar>
          </w:tcPr>
          <w:p w:rsidRPr="0069502F" w:rsidR="006D6B5C" w:rsidP="005175CB" w:rsidRDefault="006D6B5C" w14:paraId="209A33EF" w14:textId="77777777">
            <w:pPr>
              <w:rPr>
                <w:color w:val="auto"/>
                <w:sz w:val="14"/>
                <w:szCs w:val="14"/>
              </w:rPr>
            </w:pPr>
          </w:p>
        </w:tc>
        <w:tc>
          <w:tcPr>
            <w:tcW w:w="0" w:type="auto"/>
          </w:tcPr>
          <w:p w:rsidRPr="0069502F" w:rsidR="006D6B5C" w:rsidP="005175CB" w:rsidRDefault="006D6B5C" w14:paraId="56C70A2D" w14:textId="77777777">
            <w:pPr>
              <w:rPr>
                <w:sz w:val="14"/>
                <w:szCs w:val="14"/>
              </w:rPr>
            </w:pPr>
          </w:p>
        </w:tc>
        <w:tc>
          <w:tcPr>
            <w:tcW w:w="0" w:type="auto"/>
            <w:tcMar>
              <w:top w:w="0" w:type="dxa"/>
              <w:left w:w="108" w:type="dxa"/>
              <w:bottom w:w="0" w:type="dxa"/>
              <w:right w:w="108" w:type="dxa"/>
            </w:tcMar>
          </w:tcPr>
          <w:p w:rsidRPr="0069502F" w:rsidR="006D6B5C" w:rsidP="005175CB" w:rsidRDefault="006D6B5C" w14:paraId="2CDE3C96" w14:textId="77777777">
            <w:pPr>
              <w:rPr>
                <w:color w:val="auto"/>
                <w:sz w:val="14"/>
                <w:szCs w:val="14"/>
              </w:rPr>
            </w:pPr>
          </w:p>
        </w:tc>
        <w:tc>
          <w:tcPr>
            <w:tcW w:w="0" w:type="auto"/>
            <w:tcMar>
              <w:top w:w="0" w:type="dxa"/>
              <w:left w:w="108" w:type="dxa"/>
              <w:bottom w:w="0" w:type="dxa"/>
              <w:right w:w="108" w:type="dxa"/>
            </w:tcMar>
          </w:tcPr>
          <w:p w:rsidRPr="0069502F" w:rsidR="006D6B5C" w:rsidP="005175CB" w:rsidRDefault="006D6B5C" w14:paraId="64C710F8" w14:textId="77777777">
            <w:pPr>
              <w:rPr>
                <w:color w:val="auto"/>
                <w:sz w:val="14"/>
                <w:szCs w:val="14"/>
              </w:rPr>
            </w:pPr>
          </w:p>
        </w:tc>
        <w:tc>
          <w:tcPr>
            <w:tcW w:w="0" w:type="auto"/>
          </w:tcPr>
          <w:p w:rsidRPr="0069502F" w:rsidR="006D6B5C" w:rsidP="005175CB" w:rsidRDefault="006D6B5C" w14:paraId="43E2E910" w14:textId="77777777">
            <w:pPr>
              <w:rPr>
                <w:sz w:val="14"/>
                <w:szCs w:val="14"/>
              </w:rPr>
            </w:pPr>
          </w:p>
        </w:tc>
        <w:tc>
          <w:tcPr>
            <w:tcW w:w="0" w:type="auto"/>
            <w:tcMar>
              <w:top w:w="0" w:type="dxa"/>
              <w:left w:w="108" w:type="dxa"/>
              <w:bottom w:w="0" w:type="dxa"/>
              <w:right w:w="108" w:type="dxa"/>
            </w:tcMar>
          </w:tcPr>
          <w:p w:rsidRPr="0069502F" w:rsidR="006D6B5C" w:rsidP="005175CB" w:rsidRDefault="006D6B5C" w14:paraId="7313E506" w14:textId="77777777">
            <w:pPr>
              <w:rPr>
                <w:color w:val="auto"/>
                <w:sz w:val="14"/>
                <w:szCs w:val="14"/>
              </w:rPr>
            </w:pPr>
          </w:p>
        </w:tc>
        <w:tc>
          <w:tcPr>
            <w:tcW w:w="0" w:type="auto"/>
            <w:tcMar>
              <w:top w:w="0" w:type="dxa"/>
              <w:left w:w="108" w:type="dxa"/>
              <w:bottom w:w="0" w:type="dxa"/>
              <w:right w:w="108" w:type="dxa"/>
            </w:tcMar>
          </w:tcPr>
          <w:p w:rsidRPr="0069502F" w:rsidR="006D6B5C" w:rsidP="005175CB" w:rsidRDefault="006D6B5C" w14:paraId="5D460BB1" w14:textId="77777777">
            <w:pPr>
              <w:rPr>
                <w:color w:val="auto"/>
                <w:sz w:val="14"/>
                <w:szCs w:val="14"/>
              </w:rPr>
            </w:pPr>
          </w:p>
        </w:tc>
        <w:tc>
          <w:tcPr>
            <w:tcW w:w="0" w:type="auto"/>
          </w:tcPr>
          <w:p w:rsidRPr="0069502F" w:rsidR="006D6B5C" w:rsidP="005175CB" w:rsidRDefault="006D6B5C" w14:paraId="633B7085" w14:textId="77777777">
            <w:pPr>
              <w:rPr>
                <w:sz w:val="14"/>
                <w:szCs w:val="14"/>
              </w:rPr>
            </w:pPr>
          </w:p>
        </w:tc>
        <w:tc>
          <w:tcPr>
            <w:tcW w:w="0" w:type="auto"/>
            <w:tcMar>
              <w:top w:w="0" w:type="dxa"/>
              <w:left w:w="108" w:type="dxa"/>
              <w:bottom w:w="0" w:type="dxa"/>
              <w:right w:w="108" w:type="dxa"/>
            </w:tcMar>
          </w:tcPr>
          <w:p w:rsidRPr="0069502F" w:rsidR="006D6B5C" w:rsidP="005175CB" w:rsidRDefault="006D6B5C" w14:paraId="7A589BBE" w14:textId="77777777">
            <w:pPr>
              <w:rPr>
                <w:color w:val="auto"/>
                <w:sz w:val="14"/>
                <w:szCs w:val="14"/>
              </w:rPr>
            </w:pPr>
          </w:p>
        </w:tc>
        <w:tc>
          <w:tcPr>
            <w:tcW w:w="0" w:type="auto"/>
            <w:tcMar>
              <w:top w:w="0" w:type="dxa"/>
              <w:left w:w="108" w:type="dxa"/>
              <w:bottom w:w="0" w:type="dxa"/>
              <w:right w:w="108" w:type="dxa"/>
            </w:tcMar>
          </w:tcPr>
          <w:p w:rsidRPr="0069502F" w:rsidR="006D6B5C" w:rsidP="005175CB" w:rsidRDefault="006D6B5C" w14:paraId="345BCAC6" w14:textId="77777777">
            <w:pPr>
              <w:rPr>
                <w:color w:val="auto"/>
                <w:sz w:val="14"/>
                <w:szCs w:val="14"/>
              </w:rPr>
            </w:pPr>
          </w:p>
        </w:tc>
        <w:tc>
          <w:tcPr>
            <w:tcW w:w="0" w:type="auto"/>
          </w:tcPr>
          <w:p w:rsidRPr="0069502F" w:rsidR="006D6B5C" w:rsidP="005175CB" w:rsidRDefault="006D6B5C" w14:paraId="407EE66C" w14:textId="77777777">
            <w:pPr>
              <w:rPr>
                <w:sz w:val="14"/>
                <w:szCs w:val="14"/>
              </w:rPr>
            </w:pPr>
          </w:p>
        </w:tc>
      </w:tr>
      <w:tr w:rsidRPr="0069502F" w:rsidR="006D6B5C" w:rsidTr="005175CB" w14:paraId="3212DD27" w14:textId="77777777">
        <w:tc>
          <w:tcPr>
            <w:tcW w:w="0" w:type="auto"/>
            <w:tcMar>
              <w:top w:w="0" w:type="dxa"/>
              <w:left w:w="108" w:type="dxa"/>
              <w:bottom w:w="0" w:type="dxa"/>
              <w:right w:w="108" w:type="dxa"/>
            </w:tcMar>
            <w:hideMark/>
          </w:tcPr>
          <w:p w:rsidRPr="0069502F" w:rsidR="006D6B5C" w:rsidP="005175CB" w:rsidRDefault="006D6B5C" w14:paraId="2E9C8585" w14:textId="77777777">
            <w:pPr>
              <w:rPr>
                <w:color w:val="auto"/>
                <w:sz w:val="14"/>
                <w:szCs w:val="14"/>
              </w:rPr>
            </w:pPr>
            <w:r w:rsidRPr="0069502F">
              <w:rPr>
                <w:color w:val="auto"/>
                <w:sz w:val="14"/>
                <w:szCs w:val="14"/>
              </w:rPr>
              <w:t>Referentie: maximale huurtoeslag op bijstandsniveau</w:t>
            </w:r>
          </w:p>
        </w:tc>
        <w:tc>
          <w:tcPr>
            <w:tcW w:w="0" w:type="auto"/>
            <w:tcMar>
              <w:top w:w="0" w:type="dxa"/>
              <w:left w:w="108" w:type="dxa"/>
              <w:bottom w:w="0" w:type="dxa"/>
              <w:right w:w="108" w:type="dxa"/>
            </w:tcMar>
          </w:tcPr>
          <w:p w:rsidRPr="0069502F" w:rsidR="006D6B5C" w:rsidP="005175CB" w:rsidRDefault="006D6B5C" w14:paraId="45BB06CC" w14:textId="77777777">
            <w:pPr>
              <w:rPr>
                <w:color w:val="auto"/>
                <w:sz w:val="14"/>
                <w:szCs w:val="14"/>
              </w:rPr>
            </w:pPr>
            <w:r w:rsidRPr="0069502F">
              <w:rPr>
                <w:color w:val="auto"/>
                <w:sz w:val="14"/>
                <w:szCs w:val="14"/>
              </w:rPr>
              <w:t>€360</w:t>
            </w:r>
          </w:p>
        </w:tc>
        <w:tc>
          <w:tcPr>
            <w:tcW w:w="0" w:type="auto"/>
            <w:tcMar>
              <w:top w:w="0" w:type="dxa"/>
              <w:left w:w="108" w:type="dxa"/>
              <w:bottom w:w="0" w:type="dxa"/>
              <w:right w:w="108" w:type="dxa"/>
            </w:tcMar>
          </w:tcPr>
          <w:p w:rsidRPr="0069502F" w:rsidR="006D6B5C" w:rsidP="005175CB" w:rsidRDefault="006D6B5C" w14:paraId="3300A4E4" w14:textId="77777777">
            <w:pPr>
              <w:rPr>
                <w:color w:val="auto"/>
                <w:sz w:val="14"/>
                <w:szCs w:val="14"/>
              </w:rPr>
            </w:pPr>
            <w:r w:rsidRPr="0069502F">
              <w:rPr>
                <w:color w:val="auto"/>
                <w:sz w:val="14"/>
                <w:szCs w:val="14"/>
              </w:rPr>
              <w:t>€374</w:t>
            </w:r>
          </w:p>
        </w:tc>
        <w:tc>
          <w:tcPr>
            <w:tcW w:w="0" w:type="auto"/>
          </w:tcPr>
          <w:p w:rsidRPr="0069502F" w:rsidR="006D6B5C" w:rsidP="005175CB" w:rsidRDefault="006D6B5C" w14:paraId="3AC27E11" w14:textId="77777777">
            <w:pPr>
              <w:rPr>
                <w:sz w:val="14"/>
                <w:szCs w:val="14"/>
              </w:rPr>
            </w:pPr>
          </w:p>
        </w:tc>
        <w:tc>
          <w:tcPr>
            <w:tcW w:w="0" w:type="auto"/>
            <w:tcMar>
              <w:top w:w="0" w:type="dxa"/>
              <w:left w:w="108" w:type="dxa"/>
              <w:bottom w:w="0" w:type="dxa"/>
              <w:right w:w="108" w:type="dxa"/>
            </w:tcMar>
          </w:tcPr>
          <w:p w:rsidRPr="0069502F" w:rsidR="006D6B5C" w:rsidP="005175CB" w:rsidRDefault="006D6B5C" w14:paraId="526B37B4" w14:textId="77777777">
            <w:pPr>
              <w:rPr>
                <w:color w:val="auto"/>
                <w:sz w:val="14"/>
                <w:szCs w:val="14"/>
              </w:rPr>
            </w:pPr>
            <w:r w:rsidRPr="0069502F">
              <w:rPr>
                <w:color w:val="auto"/>
                <w:sz w:val="14"/>
                <w:szCs w:val="14"/>
              </w:rPr>
              <w:t>€360</w:t>
            </w:r>
          </w:p>
        </w:tc>
        <w:tc>
          <w:tcPr>
            <w:tcW w:w="0" w:type="auto"/>
            <w:tcMar>
              <w:top w:w="0" w:type="dxa"/>
              <w:left w:w="108" w:type="dxa"/>
              <w:bottom w:w="0" w:type="dxa"/>
              <w:right w:w="108" w:type="dxa"/>
            </w:tcMar>
          </w:tcPr>
          <w:p w:rsidRPr="0069502F" w:rsidR="006D6B5C" w:rsidP="005175CB" w:rsidRDefault="006D6B5C" w14:paraId="7644D2F2" w14:textId="77777777">
            <w:pPr>
              <w:rPr>
                <w:color w:val="auto"/>
                <w:sz w:val="14"/>
                <w:szCs w:val="14"/>
              </w:rPr>
            </w:pPr>
            <w:r w:rsidRPr="0069502F">
              <w:rPr>
                <w:color w:val="auto"/>
                <w:sz w:val="14"/>
                <w:szCs w:val="14"/>
              </w:rPr>
              <w:t>€374</w:t>
            </w:r>
          </w:p>
        </w:tc>
        <w:tc>
          <w:tcPr>
            <w:tcW w:w="0" w:type="auto"/>
          </w:tcPr>
          <w:p w:rsidRPr="0069502F" w:rsidR="006D6B5C" w:rsidP="005175CB" w:rsidRDefault="006D6B5C" w14:paraId="495D96F5" w14:textId="77777777">
            <w:pPr>
              <w:rPr>
                <w:sz w:val="14"/>
                <w:szCs w:val="14"/>
              </w:rPr>
            </w:pPr>
          </w:p>
        </w:tc>
        <w:tc>
          <w:tcPr>
            <w:tcW w:w="0" w:type="auto"/>
            <w:tcMar>
              <w:top w:w="0" w:type="dxa"/>
              <w:left w:w="108" w:type="dxa"/>
              <w:bottom w:w="0" w:type="dxa"/>
              <w:right w:w="108" w:type="dxa"/>
            </w:tcMar>
          </w:tcPr>
          <w:p w:rsidRPr="0069502F" w:rsidR="006D6B5C" w:rsidP="005175CB" w:rsidRDefault="006D6B5C" w14:paraId="26751763" w14:textId="77777777">
            <w:pPr>
              <w:rPr>
                <w:color w:val="auto"/>
                <w:sz w:val="14"/>
                <w:szCs w:val="14"/>
              </w:rPr>
            </w:pPr>
            <w:r w:rsidRPr="0069502F">
              <w:rPr>
                <w:color w:val="auto"/>
                <w:sz w:val="14"/>
                <w:szCs w:val="14"/>
              </w:rPr>
              <w:t>€360</w:t>
            </w:r>
          </w:p>
        </w:tc>
        <w:tc>
          <w:tcPr>
            <w:tcW w:w="0" w:type="auto"/>
            <w:tcMar>
              <w:top w:w="0" w:type="dxa"/>
              <w:left w:w="108" w:type="dxa"/>
              <w:bottom w:w="0" w:type="dxa"/>
              <w:right w:w="108" w:type="dxa"/>
            </w:tcMar>
          </w:tcPr>
          <w:p w:rsidRPr="0069502F" w:rsidR="006D6B5C" w:rsidP="005175CB" w:rsidRDefault="006D6B5C" w14:paraId="750EF765" w14:textId="77777777">
            <w:pPr>
              <w:rPr>
                <w:color w:val="auto"/>
                <w:sz w:val="14"/>
                <w:szCs w:val="14"/>
              </w:rPr>
            </w:pPr>
            <w:r w:rsidRPr="0069502F">
              <w:rPr>
                <w:color w:val="auto"/>
                <w:sz w:val="14"/>
                <w:szCs w:val="14"/>
              </w:rPr>
              <w:t>€374</w:t>
            </w:r>
          </w:p>
        </w:tc>
        <w:tc>
          <w:tcPr>
            <w:tcW w:w="0" w:type="auto"/>
          </w:tcPr>
          <w:p w:rsidRPr="0069502F" w:rsidR="006D6B5C" w:rsidP="005175CB" w:rsidRDefault="006D6B5C" w14:paraId="5A35D400" w14:textId="77777777">
            <w:pPr>
              <w:rPr>
                <w:sz w:val="14"/>
                <w:szCs w:val="14"/>
              </w:rPr>
            </w:pPr>
          </w:p>
        </w:tc>
        <w:tc>
          <w:tcPr>
            <w:tcW w:w="0" w:type="auto"/>
            <w:tcMar>
              <w:top w:w="0" w:type="dxa"/>
              <w:left w:w="108" w:type="dxa"/>
              <w:bottom w:w="0" w:type="dxa"/>
              <w:right w:w="108" w:type="dxa"/>
            </w:tcMar>
          </w:tcPr>
          <w:p w:rsidRPr="0069502F" w:rsidR="006D6B5C" w:rsidP="005175CB" w:rsidRDefault="006D6B5C" w14:paraId="5E12FD02" w14:textId="77777777">
            <w:pPr>
              <w:rPr>
                <w:color w:val="auto"/>
                <w:sz w:val="14"/>
                <w:szCs w:val="14"/>
              </w:rPr>
            </w:pPr>
            <w:r w:rsidRPr="0069502F">
              <w:rPr>
                <w:color w:val="auto"/>
                <w:sz w:val="14"/>
                <w:szCs w:val="14"/>
              </w:rPr>
              <w:t>€360</w:t>
            </w:r>
          </w:p>
        </w:tc>
        <w:tc>
          <w:tcPr>
            <w:tcW w:w="0" w:type="auto"/>
            <w:tcMar>
              <w:top w:w="0" w:type="dxa"/>
              <w:left w:w="108" w:type="dxa"/>
              <w:bottom w:w="0" w:type="dxa"/>
              <w:right w:w="108" w:type="dxa"/>
            </w:tcMar>
          </w:tcPr>
          <w:p w:rsidRPr="0069502F" w:rsidR="006D6B5C" w:rsidP="005175CB" w:rsidRDefault="006D6B5C" w14:paraId="19811CFB" w14:textId="77777777">
            <w:pPr>
              <w:rPr>
                <w:color w:val="auto"/>
                <w:sz w:val="14"/>
                <w:szCs w:val="14"/>
              </w:rPr>
            </w:pPr>
            <w:r w:rsidRPr="0069502F">
              <w:rPr>
                <w:color w:val="auto"/>
                <w:sz w:val="14"/>
                <w:szCs w:val="14"/>
              </w:rPr>
              <w:t>€374</w:t>
            </w:r>
          </w:p>
        </w:tc>
        <w:tc>
          <w:tcPr>
            <w:tcW w:w="0" w:type="auto"/>
          </w:tcPr>
          <w:p w:rsidRPr="0069502F" w:rsidR="006D6B5C" w:rsidP="005175CB" w:rsidRDefault="006D6B5C" w14:paraId="09418834" w14:textId="77777777">
            <w:pPr>
              <w:rPr>
                <w:sz w:val="14"/>
                <w:szCs w:val="14"/>
              </w:rPr>
            </w:pPr>
          </w:p>
        </w:tc>
      </w:tr>
    </w:tbl>
    <w:p w:rsidR="000D115B" w:rsidP="000D115B" w:rsidRDefault="000D115B" w14:paraId="60348753" w14:textId="77777777"/>
    <w:p w:rsidRPr="000D115B" w:rsidR="000D115B" w:rsidP="000D115B" w:rsidRDefault="000D115B" w14:paraId="7E03D655" w14:textId="415C02B2">
      <w:pPr>
        <w:rPr>
          <w:i/>
          <w:iCs/>
        </w:rPr>
      </w:pPr>
      <w:r>
        <w:rPr>
          <w:i/>
          <w:iCs/>
        </w:rPr>
        <w:t xml:space="preserve">4. </w:t>
      </w:r>
      <w:r w:rsidRPr="000D115B">
        <w:rPr>
          <w:i/>
          <w:iCs/>
        </w:rPr>
        <w:t>Regeldruk</w:t>
      </w:r>
    </w:p>
    <w:p w:rsidR="000D115B" w:rsidP="000D115B" w:rsidRDefault="000D115B" w14:paraId="74428139" w14:textId="77777777">
      <w:bookmarkStart w:name="_Hlk178157541" w:id="1"/>
      <w:r>
        <w:t xml:space="preserve">De wijziging van de rekenregels heeft geen gevolgen voor de regeldruk. </w:t>
      </w:r>
      <w:r w:rsidRPr="00475F6D">
        <w:t xml:space="preserve">De voorgestelde </w:t>
      </w:r>
      <w:r>
        <w:t>wijziging betreft</w:t>
      </w:r>
      <w:r w:rsidRPr="00475F6D">
        <w:t xml:space="preserve"> slechts veranderingen in de</w:t>
      </w:r>
      <w:r>
        <w:t xml:space="preserve"> </w:t>
      </w:r>
      <w:r w:rsidRPr="00475F6D">
        <w:t xml:space="preserve">berekeningssystematiek en de hoogte van de </w:t>
      </w:r>
      <w:r>
        <w:t>beslagvrije voet</w:t>
      </w:r>
      <w:r w:rsidRPr="00475F6D">
        <w:t xml:space="preserve">. Deze leiden niet tot extra administratieve lasten voor de burger; in het </w:t>
      </w:r>
      <w:r>
        <w:t>p</w:t>
      </w:r>
      <w:r w:rsidRPr="00475F6D">
        <w:t xml:space="preserve">roces </w:t>
      </w:r>
      <w:r>
        <w:t>rond de beslagvrije voet</w:t>
      </w:r>
      <w:r w:rsidRPr="00475F6D">
        <w:t xml:space="preserve"> verandert er niets.</w:t>
      </w:r>
      <w:r>
        <w:t xml:space="preserve"> De wijziging zorgt ervoor dat de beslagvrije voet op de juiste manier kan worden berekend, zodat het bestaansminimum van burgers wordt beschermd.</w:t>
      </w:r>
    </w:p>
    <w:p w:rsidR="000D115B" w:rsidP="000D115B" w:rsidRDefault="000D115B" w14:paraId="36645BC6" w14:textId="77777777"/>
    <w:p w:rsidR="000D115B" w:rsidP="000D115B" w:rsidRDefault="000D115B" w14:paraId="43217C58" w14:textId="77777777">
      <w:r>
        <w:t xml:space="preserve">Deze nota van wijziging leidt tot eenmalige uitvoeringslasten voor de bouwers van de rekenmodules en </w:t>
      </w:r>
      <w:proofErr w:type="spellStart"/>
      <w:r>
        <w:t>beslagleggende</w:t>
      </w:r>
      <w:proofErr w:type="spellEnd"/>
      <w:r>
        <w:t xml:space="preserve"> partijen, omdat zij de regels in de rekenmodules moeten aanpassen en de uitvoering hierop afstemmen. Doordat de formule eenvoudiger wordt en pas per 1 januari 2026 wordt aangepast, kan dit meelopen in de reguliere release en zijn de extra uitvoeringslasten beperkt.</w:t>
      </w:r>
    </w:p>
    <w:bookmarkEnd w:id="1"/>
    <w:p w:rsidR="000D115B" w:rsidP="000D115B" w:rsidRDefault="000D115B" w14:paraId="76AC0565" w14:textId="77777777"/>
    <w:p w:rsidRPr="000D115B" w:rsidR="000D115B" w:rsidP="000D115B" w:rsidRDefault="000D115B" w14:paraId="4057F432" w14:textId="0628C7A8">
      <w:pPr>
        <w:rPr>
          <w:i/>
          <w:iCs/>
        </w:rPr>
      </w:pPr>
      <w:r>
        <w:rPr>
          <w:i/>
          <w:iCs/>
        </w:rPr>
        <w:t xml:space="preserve">5. </w:t>
      </w:r>
      <w:r w:rsidRPr="000D115B">
        <w:rPr>
          <w:i/>
          <w:iCs/>
        </w:rPr>
        <w:t>Financiële gevolgen</w:t>
      </w:r>
    </w:p>
    <w:p w:rsidR="000D115B" w:rsidP="000D115B" w:rsidRDefault="000D115B" w14:paraId="093FE96D" w14:textId="77777777">
      <w:r>
        <w:t>De financiële gevolgen zijn verwaarloosbaar, aangezien het een eenmalige aanpassing betreft en deze meeloopt in een reguliere releasecyclus van de rekenmodules beslagvrije voet.</w:t>
      </w:r>
    </w:p>
    <w:p w:rsidR="000D115B" w:rsidP="000D115B" w:rsidRDefault="000D115B" w14:paraId="73EAA41B" w14:textId="77777777"/>
    <w:p w:rsidRPr="000D115B" w:rsidR="000D115B" w:rsidP="000D115B" w:rsidRDefault="000D115B" w14:paraId="0BA691C7" w14:textId="46FAD9D2">
      <w:pPr>
        <w:rPr>
          <w:i/>
          <w:iCs/>
        </w:rPr>
      </w:pPr>
      <w:r>
        <w:rPr>
          <w:i/>
          <w:iCs/>
        </w:rPr>
        <w:t xml:space="preserve">6. </w:t>
      </w:r>
      <w:r w:rsidRPr="000D115B">
        <w:rPr>
          <w:i/>
          <w:iCs/>
        </w:rPr>
        <w:t>Consultatie</w:t>
      </w:r>
    </w:p>
    <w:p w:rsidR="006D6B5C" w:rsidP="006D6B5C" w:rsidRDefault="006D6B5C" w14:paraId="05586F2F" w14:textId="77777777">
      <w:r>
        <w:t>Deze nota van wijziging heeft gevolgen voor de bouwers van de rekenmodules</w:t>
      </w:r>
      <w:r>
        <w:rPr>
          <w:rStyle w:val="Voetnootmarkering"/>
        </w:rPr>
        <w:footnoteReference w:id="5"/>
      </w:r>
      <w:r>
        <w:t xml:space="preserve">, voor </w:t>
      </w:r>
      <w:proofErr w:type="spellStart"/>
      <w:r>
        <w:t>beslagleggende</w:t>
      </w:r>
      <w:proofErr w:type="spellEnd"/>
      <w:r>
        <w:t xml:space="preserve"> partijen die de gewijzigde rekenmodules gebruiken</w:t>
      </w:r>
      <w:r>
        <w:rPr>
          <w:rStyle w:val="Voetnootmarkering"/>
        </w:rPr>
        <w:footnoteReference w:id="6"/>
      </w:r>
      <w:r>
        <w:t xml:space="preserve"> en voor mensen die te maken hebben met beslag en de beslagvrije voet. Er heeft overleg plaatsgevonden met de bouwers van de rekenmodules en met de </w:t>
      </w:r>
      <w:proofErr w:type="spellStart"/>
      <w:r>
        <w:t>beslagleggende</w:t>
      </w:r>
      <w:proofErr w:type="spellEnd"/>
      <w:r>
        <w:t xml:space="preserve"> partijen. Zij hebben ingestemd met de wijzigingen en aangegeven dat deze uitvoerbaar zijn.</w:t>
      </w:r>
    </w:p>
    <w:p w:rsidR="000D115B" w:rsidP="00485C9D" w:rsidRDefault="000D115B" w14:paraId="6C63A4C0" w14:textId="77777777">
      <w:pPr>
        <w:tabs>
          <w:tab w:val="left" w:pos="1418"/>
        </w:tabs>
      </w:pPr>
    </w:p>
    <w:p w:rsidRPr="000D115B" w:rsidR="000D115B" w:rsidP="00485C9D" w:rsidRDefault="000D115B" w14:paraId="63E8557F" w14:textId="4C0BAFA1">
      <w:pPr>
        <w:tabs>
          <w:tab w:val="left" w:pos="1418"/>
        </w:tabs>
        <w:rPr>
          <w:b/>
          <w:bCs/>
        </w:rPr>
      </w:pPr>
      <w:r>
        <w:rPr>
          <w:b/>
          <w:bCs/>
        </w:rPr>
        <w:t>II. Onderdelen</w:t>
      </w:r>
    </w:p>
    <w:p w:rsidR="000D115B" w:rsidP="00485C9D" w:rsidRDefault="000D115B" w14:paraId="1635ED07" w14:textId="77777777">
      <w:pPr>
        <w:tabs>
          <w:tab w:val="left" w:pos="1418"/>
        </w:tabs>
      </w:pPr>
    </w:p>
    <w:p w:rsidRPr="003B4FB1" w:rsidR="00485C9D" w:rsidP="00485C9D" w:rsidRDefault="003B4FB1" w14:paraId="5DC73F66" w14:textId="71A8E5C6">
      <w:pPr>
        <w:tabs>
          <w:tab w:val="left" w:pos="1418"/>
        </w:tabs>
        <w:rPr>
          <w:i/>
          <w:iCs/>
        </w:rPr>
      </w:pPr>
      <w:r w:rsidRPr="003B4FB1">
        <w:rPr>
          <w:i/>
          <w:iCs/>
        </w:rPr>
        <w:t>Onderdeel A</w:t>
      </w:r>
    </w:p>
    <w:p w:rsidR="00485C9D" w:rsidP="00485C9D" w:rsidRDefault="00485C9D" w14:paraId="6180301F" w14:textId="77777777">
      <w:pPr>
        <w:tabs>
          <w:tab w:val="left" w:pos="1418"/>
        </w:tabs>
      </w:pPr>
    </w:p>
    <w:p w:rsidR="00166283" w:rsidP="00485C9D" w:rsidRDefault="00166283" w14:paraId="3A706BC6" w14:textId="79B19210">
      <w:pPr>
        <w:tabs>
          <w:tab w:val="left" w:pos="1418"/>
        </w:tabs>
      </w:pPr>
      <w:r>
        <w:rPr>
          <w:i/>
          <w:iCs/>
        </w:rPr>
        <w:t>Onder 1</w:t>
      </w:r>
    </w:p>
    <w:p w:rsidR="006308B4" w:rsidP="00485C9D" w:rsidRDefault="00E3707B" w14:paraId="63CBFFAE" w14:textId="36B6EA83">
      <w:pPr>
        <w:tabs>
          <w:tab w:val="left" w:pos="1418"/>
        </w:tabs>
      </w:pPr>
      <w:r>
        <w:t xml:space="preserve">Bij het opstellen van het wetsvoorstel is gekozen voor het </w:t>
      </w:r>
      <w:r w:rsidR="002D5A51">
        <w:t>‘</w:t>
      </w:r>
      <w:r>
        <w:t>bevriezen</w:t>
      </w:r>
      <w:r w:rsidR="002D5A51">
        <w:t>’</w:t>
      </w:r>
      <w:r>
        <w:t xml:space="preserve"> in de Wet op de huurtoeslag van de parameters en formules waar de berekeningswijze van de beslagvrije voet (artikel 475da van het Wetboek van Burgerlijke Rechtsvordering) op aansluit. Inmiddels is gebleken dat het wenselijk en mogelijk is om de berekeningswijze van de beslagvrije voet ook na de voorgestelde wijzigingen van de berekening van de huurtoeslag te laten aansluiten op die berekening. Het bevriezen van parameters en formules in de Wet op de huurtoeslag is daarom niet langer nodig.</w:t>
      </w:r>
    </w:p>
    <w:p w:rsidR="006308B4" w:rsidP="00485C9D" w:rsidRDefault="006308B4" w14:paraId="6EA89465" w14:textId="77777777">
      <w:pPr>
        <w:tabs>
          <w:tab w:val="left" w:pos="1418"/>
        </w:tabs>
      </w:pPr>
    </w:p>
    <w:p w:rsidR="00166283" w:rsidP="00166283" w:rsidRDefault="00166283" w14:paraId="2B9EB392" w14:textId="77777777">
      <w:pPr>
        <w:tabs>
          <w:tab w:val="left" w:pos="1418"/>
        </w:tabs>
      </w:pPr>
      <w:r>
        <w:rPr>
          <w:i/>
          <w:iCs/>
        </w:rPr>
        <w:t>Onder 2</w:t>
      </w:r>
    </w:p>
    <w:p w:rsidR="00166283" w:rsidP="00166283" w:rsidRDefault="00166283" w14:paraId="06D6F993" w14:textId="025BA51C">
      <w:pPr>
        <w:tabs>
          <w:tab w:val="left" w:pos="1418"/>
        </w:tabs>
      </w:pPr>
      <w:r>
        <w:t>Deze wijziging voorkomt het achterblijven van een overbodige komma in de tekst van artikel 21, derde lid, van de Wet op de huurtoeslag.</w:t>
      </w:r>
    </w:p>
    <w:p w:rsidR="00166283" w:rsidP="00485C9D" w:rsidRDefault="00166283" w14:paraId="7A3A5A14" w14:textId="77777777">
      <w:pPr>
        <w:tabs>
          <w:tab w:val="left" w:pos="1418"/>
        </w:tabs>
      </w:pPr>
    </w:p>
    <w:p w:rsidR="003B4FB1" w:rsidP="00485C9D" w:rsidRDefault="003B4FB1" w14:paraId="16576F3D" w14:textId="69654BC8">
      <w:pPr>
        <w:tabs>
          <w:tab w:val="left" w:pos="1418"/>
        </w:tabs>
      </w:pPr>
      <w:r>
        <w:rPr>
          <w:i/>
          <w:iCs/>
        </w:rPr>
        <w:t>Onderdeel B</w:t>
      </w:r>
    </w:p>
    <w:p w:rsidR="00E3707B" w:rsidP="00485C9D" w:rsidRDefault="00E3707B" w14:paraId="6EA6D5C7" w14:textId="77777777">
      <w:pPr>
        <w:tabs>
          <w:tab w:val="left" w:pos="1418"/>
        </w:tabs>
      </w:pPr>
    </w:p>
    <w:p w:rsidRPr="00E3707B" w:rsidR="00E3707B" w:rsidP="00485C9D" w:rsidRDefault="00E3707B" w14:paraId="4963A020" w14:textId="46AD2F4A">
      <w:pPr>
        <w:tabs>
          <w:tab w:val="left" w:pos="1418"/>
        </w:tabs>
        <w:rPr>
          <w:i/>
          <w:iCs/>
        </w:rPr>
      </w:pPr>
      <w:r>
        <w:rPr>
          <w:i/>
          <w:iCs/>
        </w:rPr>
        <w:t>Onder 1</w:t>
      </w:r>
    </w:p>
    <w:p w:rsidR="00E3707B" w:rsidP="00485C9D" w:rsidRDefault="00E3707B" w14:paraId="1A15649D" w14:textId="11642171">
      <w:pPr>
        <w:tabs>
          <w:tab w:val="left" w:pos="1418"/>
        </w:tabs>
      </w:pPr>
      <w:r>
        <w:t>Als gevolg van artikel III, onderdelen B en C, vervallen de artikelen 18 en 19 van de Wet op de huurtoeslag. Per abuis was niet voorzien in aanpassing van de verwijzing in artikel 16 van de Wet op de huurtoeslag. Hierin is nu alsnog voorzien.</w:t>
      </w:r>
    </w:p>
    <w:p w:rsidR="00E3707B" w:rsidP="00485C9D" w:rsidRDefault="00E3707B" w14:paraId="08AC2324" w14:textId="77777777">
      <w:pPr>
        <w:tabs>
          <w:tab w:val="left" w:pos="1418"/>
        </w:tabs>
      </w:pPr>
    </w:p>
    <w:p w:rsidRPr="00166283" w:rsidR="00C40542" w:rsidP="00485C9D" w:rsidRDefault="00166283" w14:paraId="5B8FA9F2" w14:textId="4CEE4505">
      <w:pPr>
        <w:tabs>
          <w:tab w:val="left" w:pos="1418"/>
        </w:tabs>
        <w:rPr>
          <w:i/>
          <w:iCs/>
        </w:rPr>
      </w:pPr>
      <w:r>
        <w:rPr>
          <w:i/>
          <w:iCs/>
        </w:rPr>
        <w:t>Onder 2</w:t>
      </w:r>
    </w:p>
    <w:p w:rsidR="00166283" w:rsidP="00166283" w:rsidRDefault="00166283" w14:paraId="2F60D9D7" w14:textId="73585D84">
      <w:pPr>
        <w:tabs>
          <w:tab w:val="left" w:pos="1418"/>
        </w:tabs>
      </w:pPr>
      <w:r>
        <w:t>Ingevolge het niet langer bevriezen van parameters en formules in de Wet op de huurtoeslag (zie de toelichting bij onderdeel A, onder 1) zijn de daaruit voortvloeiende wijzigingen in artikel 27 van die wet niet langer nodig. Het opnieuw geformuleerde onderdeel E voorziet in die wijzigingen in artikel 27 die voortvloeien uit de in artikel III voorgestelde wijzigingen van de Wet op de huurtoeslag.</w:t>
      </w:r>
    </w:p>
    <w:p w:rsidR="003B4FB1" w:rsidP="00485C9D" w:rsidRDefault="003B4FB1" w14:paraId="7CE0E1F8" w14:textId="77777777">
      <w:pPr>
        <w:tabs>
          <w:tab w:val="left" w:pos="1418"/>
        </w:tabs>
      </w:pPr>
    </w:p>
    <w:p w:rsidR="003B4FB1" w:rsidP="00485C9D" w:rsidRDefault="003B4FB1" w14:paraId="4D6E5B87" w14:textId="467FEC4B">
      <w:pPr>
        <w:tabs>
          <w:tab w:val="left" w:pos="1418"/>
        </w:tabs>
      </w:pPr>
      <w:r>
        <w:rPr>
          <w:i/>
          <w:iCs/>
        </w:rPr>
        <w:t>Onderdeel C</w:t>
      </w:r>
    </w:p>
    <w:p w:rsidR="00C40542" w:rsidP="00485C9D" w:rsidRDefault="00C40542" w14:paraId="63AABE66" w14:textId="77777777">
      <w:pPr>
        <w:tabs>
          <w:tab w:val="left" w:pos="1418"/>
        </w:tabs>
      </w:pPr>
    </w:p>
    <w:p w:rsidR="00C40542" w:rsidP="00485C9D" w:rsidRDefault="00C40542" w14:paraId="34E232AE" w14:textId="587B51F6">
      <w:pPr>
        <w:tabs>
          <w:tab w:val="left" w:pos="1418"/>
        </w:tabs>
      </w:pPr>
      <w:r>
        <w:t>In artikel 10, tweede lid, tweede zin, van de Uitvoeringswet huurprijzen woonruimte is bepaald dat de in artikel 10, tweede lid, onderdeel a</w:t>
      </w:r>
      <w:r w:rsidR="00B26BB8">
        <w:t>, genoemde bedragen jaarlijks worden gewijzigd met het percentage waarmee de referentie-inkomensijkpunten voor meerpersoonsouderenhuishoudens (artikel 18, eerste lid, onderdeel d, van de Wet op de huurtoeslag) worden gewijzigd. Die referentie-inkomensijkpunten worden op grond van artikel 27, vijfde lid, van de Wet op de huurtoeslag gewijzigd met de procentuele wijziging van de minimum-inkomensijkpunten voor meerpersoonsouderenhuishoudens (artikel 17, eerste lid, onderdeel d, van de Wet op de huurtoeslag). Omdat artikel 18 van de Wet op de huurtoeslag vervalt (artikel III, onderdeel B, van het wetsvoorstel) behoeft artikel 10, tweede lid, tweede zin, van de Uitvoeringswet huurprijzen woonruimte aanpassing. Bij die aanpassing is gekozen voor een eenvoudiger formulering.</w:t>
      </w:r>
    </w:p>
    <w:p w:rsidR="00E3707B" w:rsidP="00485C9D" w:rsidRDefault="00E3707B" w14:paraId="58593E54" w14:textId="77777777">
      <w:pPr>
        <w:tabs>
          <w:tab w:val="left" w:pos="1418"/>
        </w:tabs>
      </w:pPr>
    </w:p>
    <w:p w:rsidR="00166283" w:rsidP="00485C9D" w:rsidRDefault="00166283" w14:paraId="0339E2C5" w14:textId="5D31A103">
      <w:pPr>
        <w:tabs>
          <w:tab w:val="left" w:pos="1418"/>
        </w:tabs>
      </w:pPr>
      <w:r>
        <w:lastRenderedPageBreak/>
        <w:t>Artikel 10, vijfde lid, van de Huisvestingswet 2014 wordt om dezelfde reden op dezelfde wijze gewijzigd.</w:t>
      </w:r>
    </w:p>
    <w:p w:rsidR="00166283" w:rsidP="00485C9D" w:rsidRDefault="00166283" w14:paraId="1DE5D8AB" w14:textId="77777777">
      <w:pPr>
        <w:tabs>
          <w:tab w:val="left" w:pos="1418"/>
        </w:tabs>
      </w:pPr>
    </w:p>
    <w:p w:rsidR="00E3707B" w:rsidP="00485C9D" w:rsidRDefault="00E3707B" w14:paraId="3C5FB7C6" w14:textId="5E44EADC">
      <w:pPr>
        <w:tabs>
          <w:tab w:val="left" w:pos="1418"/>
        </w:tabs>
      </w:pPr>
      <w:r>
        <w:rPr>
          <w:i/>
          <w:iCs/>
        </w:rPr>
        <w:t>Onderdeel D</w:t>
      </w:r>
    </w:p>
    <w:p w:rsidR="00166283" w:rsidP="00485C9D" w:rsidRDefault="00E3707B" w14:paraId="216B5217" w14:textId="2D38F77A">
      <w:pPr>
        <w:tabs>
          <w:tab w:val="left" w:pos="1418"/>
        </w:tabs>
      </w:pPr>
      <w:r>
        <w:br/>
        <w:t>De wijzigingen in de artikelen V en VI</w:t>
      </w:r>
      <w:r w:rsidR="00166283">
        <w:t xml:space="preserve"> </w:t>
      </w:r>
      <w:r>
        <w:t>vloeiden voort uit het schrappen van artikel 14 van de Wet op de huurtoeslag. Nu dat niet langer het geval is, zijn de bedoelde wijzigingen niet langer noodzakelijk of wenselijk.</w:t>
      </w:r>
      <w:r w:rsidR="00166283">
        <w:t xml:space="preserve"> </w:t>
      </w:r>
    </w:p>
    <w:p w:rsidR="00E3707B" w:rsidP="00485C9D" w:rsidRDefault="00166283" w14:paraId="2709B18C" w14:textId="26E107B9">
      <w:pPr>
        <w:tabs>
          <w:tab w:val="left" w:pos="1418"/>
        </w:tabs>
      </w:pPr>
      <w:r>
        <w:t>Omdat onderdeel C de wijziging van artikel 10 van de Huisvestingswet 2014 reeds is verplaatst van artikel VI</w:t>
      </w:r>
      <w:r w:rsidR="00962159">
        <w:t xml:space="preserve">I </w:t>
      </w:r>
      <w:r>
        <w:t>naar artikel V worden de artikelen VI en VII geschrapt</w:t>
      </w:r>
      <w:r w:rsidR="00962159">
        <w:t xml:space="preserve"> in plaats van de artikelen V en VI.</w:t>
      </w:r>
    </w:p>
    <w:p w:rsidR="00E3707B" w:rsidP="00485C9D" w:rsidRDefault="00E3707B" w14:paraId="1487B5F0" w14:textId="77777777">
      <w:pPr>
        <w:tabs>
          <w:tab w:val="left" w:pos="1418"/>
        </w:tabs>
      </w:pPr>
    </w:p>
    <w:p w:rsidR="00E3707B" w:rsidP="00485C9D" w:rsidRDefault="00E3707B" w14:paraId="1140B349" w14:textId="15F03384">
      <w:pPr>
        <w:tabs>
          <w:tab w:val="left" w:pos="1418"/>
        </w:tabs>
      </w:pPr>
      <w:r>
        <w:rPr>
          <w:i/>
          <w:iCs/>
        </w:rPr>
        <w:t>Onderdeel E</w:t>
      </w:r>
    </w:p>
    <w:p w:rsidR="00C40542" w:rsidP="00485C9D" w:rsidRDefault="00C40542" w14:paraId="551BFDC7" w14:textId="77777777">
      <w:pPr>
        <w:tabs>
          <w:tab w:val="left" w:pos="1418"/>
        </w:tabs>
      </w:pPr>
    </w:p>
    <w:p w:rsidR="006D6B5C" w:rsidP="006D6B5C" w:rsidRDefault="006D6B5C" w14:paraId="3261F139" w14:textId="601D2184">
      <w:pPr>
        <w:tabs>
          <w:tab w:val="left" w:pos="1418"/>
        </w:tabs>
      </w:pPr>
      <w:r w:rsidRPr="00A53EDA">
        <w:t xml:space="preserve">Onderdeel </w:t>
      </w:r>
      <w:r>
        <w:t>E</w:t>
      </w:r>
      <w:r w:rsidRPr="00A53EDA">
        <w:t xml:space="preserve"> wijzigt artikel 475da van het Wetboek van Burgerlijke Rechtsvordering</w:t>
      </w:r>
      <w:r>
        <w:t xml:space="preserve"> (Rv)</w:t>
      </w:r>
      <w:r w:rsidRPr="00A53EDA">
        <w:t>.</w:t>
      </w:r>
      <w:r>
        <w:t xml:space="preserve"> Deze wijziging hangt samen met het voorstel om in de berekeningswijze van de beslagvrije voet te blijven aansluiten op de huurtoeslag, zoals hiervoor toegelicht.</w:t>
      </w:r>
    </w:p>
    <w:p w:rsidR="006D6B5C" w:rsidP="006D6B5C" w:rsidRDefault="006D6B5C" w14:paraId="726FE328" w14:textId="77777777">
      <w:pPr>
        <w:tabs>
          <w:tab w:val="left" w:pos="1418"/>
        </w:tabs>
      </w:pPr>
    </w:p>
    <w:p w:rsidRPr="006C04B3" w:rsidR="006D6B5C" w:rsidP="006D6B5C" w:rsidRDefault="006D6B5C" w14:paraId="496A725D" w14:textId="77777777">
      <w:pPr>
        <w:tabs>
          <w:tab w:val="left" w:pos="1418"/>
        </w:tabs>
        <w:rPr>
          <w:i/>
          <w:iCs/>
        </w:rPr>
      </w:pPr>
      <w:r w:rsidRPr="006C04B3">
        <w:rPr>
          <w:i/>
          <w:iCs/>
        </w:rPr>
        <w:t>Onder 1</w:t>
      </w:r>
    </w:p>
    <w:p w:rsidR="006D6B5C" w:rsidP="006D6B5C" w:rsidRDefault="006D6B5C" w14:paraId="13B224F1" w14:textId="7F321808">
      <w:pPr>
        <w:tabs>
          <w:tab w:val="left" w:pos="1418"/>
        </w:tabs>
      </w:pPr>
      <w:r>
        <w:t xml:space="preserve">In artikel 475da, tweede lid, Rv vinden diverse wijzigingen plaats. Om die reden wordt voorgesteld om deze bepaling opnieuw vast te stellen. In de formules tot berekening van de beslagvrije voet wijzigt het deel dat betrekking heeft op de huurtoeslag. In het huidige artikel gaat het om het deel van de berekening waarin de letters F, G, H en I worden gebruikt. </w:t>
      </w:r>
      <w:r w:rsidRPr="00C97C6C">
        <w:t>Dit zijn de factoren a en b voor een- en meerpersoonshuishoudens als bedoeld in de Wet op de huurtoeslag.</w:t>
      </w:r>
    </w:p>
    <w:p w:rsidR="006D6B5C" w:rsidP="006D6B5C" w:rsidRDefault="006D6B5C" w14:paraId="343FEC25" w14:textId="77777777">
      <w:pPr>
        <w:tabs>
          <w:tab w:val="left" w:pos="1418"/>
        </w:tabs>
      </w:pPr>
    </w:p>
    <w:p w:rsidR="006D6B5C" w:rsidP="006D6B5C" w:rsidRDefault="006D6B5C" w14:paraId="135322EF" w14:textId="127EFE84">
      <w:pPr>
        <w:tabs>
          <w:tab w:val="left" w:pos="1418"/>
        </w:tabs>
      </w:pPr>
      <w:r>
        <w:t>Inhoudelijk vloeien de wijzigingen in artikel 475da, tweede lid, Rv voort uit de aangepaste berekeningswijze van de huurtoeslag in artikel III, onderdeel D, van het wetsvoorstel. Als gevolg daarvan geldt er één afbouwpercentage voor eenpersoonshuishoudens en één voor meerpersoonshuishoudens. In de nieuwe formule zijn dat de factoren F en G.</w:t>
      </w:r>
    </w:p>
    <w:p w:rsidR="006D6B5C" w:rsidP="006D6B5C" w:rsidRDefault="006D6B5C" w14:paraId="776FD5FB" w14:textId="77777777">
      <w:pPr>
        <w:tabs>
          <w:tab w:val="left" w:pos="1418"/>
        </w:tabs>
      </w:pPr>
    </w:p>
    <w:p w:rsidR="006D6B5C" w:rsidP="006D6B5C" w:rsidRDefault="006D6B5C" w14:paraId="1870F001" w14:textId="77777777">
      <w:pPr>
        <w:tabs>
          <w:tab w:val="left" w:pos="1418"/>
        </w:tabs>
      </w:pPr>
      <w:r>
        <w:t>In de formule zijn verder nieuw:</w:t>
      </w:r>
    </w:p>
    <w:p w:rsidR="006D6B5C" w:rsidP="006D6B5C" w:rsidRDefault="006D6B5C" w14:paraId="3FB4068B" w14:textId="77777777">
      <w:pPr>
        <w:rPr>
          <w:rFonts w:cs="Arial"/>
          <w:shd w:val="clear" w:color="auto" w:fill="FFFFFF"/>
        </w:rPr>
      </w:pPr>
      <w:r>
        <w:rPr>
          <w:rFonts w:cs="Arial"/>
          <w:shd w:val="clear" w:color="auto" w:fill="FFFFFF"/>
        </w:rPr>
        <w:t xml:space="preserve">H: de maximale rekenhuur, bedoeld in artikel 13, eerste lid, onderdeel a, van de Wet op de huurtoeslag. Onder aftrek van J bepaalt de maximale rekenhuur de maximale woonkostencompensatie die de beslagvrije voet, zoals berekend volgens artikel 475d, tweede lid, biedt. </w:t>
      </w:r>
    </w:p>
    <w:p w:rsidRPr="00C90A79" w:rsidR="006D6B5C" w:rsidP="006D6B5C" w:rsidRDefault="006D6B5C" w14:paraId="786BD477" w14:textId="77777777">
      <w:pPr>
        <w:rPr>
          <w:rFonts w:cs="Arial"/>
          <w:shd w:val="clear" w:color="auto" w:fill="FFFFFF"/>
        </w:rPr>
      </w:pPr>
      <w:r>
        <w:rPr>
          <w:rFonts w:cs="Arial"/>
          <w:shd w:val="clear" w:color="auto" w:fill="FFFFFF"/>
        </w:rPr>
        <w:t>I:</w:t>
      </w:r>
      <w:r w:rsidRPr="00C90A79">
        <w:rPr>
          <w:rFonts w:cs="Arial"/>
          <w:shd w:val="clear" w:color="auto" w:fill="FFFFFF"/>
        </w:rPr>
        <w:t xml:space="preserve"> het belastbaar inkomen C verminderd met het minimum</w:t>
      </w:r>
      <w:r>
        <w:rPr>
          <w:rFonts w:cs="Arial"/>
          <w:shd w:val="clear" w:color="auto" w:fill="FFFFFF"/>
        </w:rPr>
        <w:t>-</w:t>
      </w:r>
      <w:r w:rsidRPr="00C90A79">
        <w:rPr>
          <w:rFonts w:cs="Arial"/>
          <w:shd w:val="clear" w:color="auto" w:fill="FFFFFF"/>
        </w:rPr>
        <w:t>inkomensijkpunt, bedoeld in artikel 17, eerste lid, van de Wet op de huurtoeslag</w:t>
      </w:r>
      <w:r>
        <w:rPr>
          <w:rFonts w:cs="Arial"/>
          <w:shd w:val="clear" w:color="auto" w:fill="FFFFFF"/>
        </w:rPr>
        <w:t xml:space="preserve">. I bepaalt het inkomen op basis waarvan de woonkostencompensatie berekend wordt. Vaststelling van dit inkomen </w:t>
      </w:r>
      <w:r w:rsidRPr="006D6B5C">
        <w:rPr>
          <w:rFonts w:cs="Arial"/>
          <w:shd w:val="clear" w:color="auto" w:fill="FFFFFF"/>
        </w:rPr>
        <w:t>vindt plaats</w:t>
      </w:r>
      <w:r>
        <w:rPr>
          <w:rFonts w:cs="Arial"/>
          <w:shd w:val="clear" w:color="auto" w:fill="FFFFFF"/>
        </w:rPr>
        <w:t xml:space="preserve"> overeenkomstig de systematiek voor afbouw van de huurtoeslag als bedoeld in artikel 21, tweede lid, van de Wet op de huurtoeslag. </w:t>
      </w:r>
    </w:p>
    <w:p w:rsidR="006D6B5C" w:rsidP="006D6B5C" w:rsidRDefault="006D6B5C" w14:paraId="5BC2CE7E" w14:textId="77777777">
      <w:pPr>
        <w:rPr>
          <w:rFonts w:cs="Arial"/>
          <w:shd w:val="clear" w:color="auto" w:fill="FFFFFF"/>
        </w:rPr>
      </w:pPr>
      <w:r w:rsidRPr="009B704A">
        <w:rPr>
          <w:rFonts w:cs="Arial"/>
          <w:shd w:val="clear" w:color="auto" w:fill="FFFFFF"/>
        </w:rPr>
        <w:t>J</w:t>
      </w:r>
      <w:r>
        <w:rPr>
          <w:rFonts w:cs="Arial"/>
          <w:shd w:val="clear" w:color="auto" w:fill="FFFFFF"/>
        </w:rPr>
        <w:t>:</w:t>
      </w:r>
      <w:r w:rsidRPr="009B704A">
        <w:rPr>
          <w:rFonts w:cs="Arial"/>
          <w:shd w:val="clear" w:color="auto" w:fill="FFFFFF"/>
        </w:rPr>
        <w:t xml:space="preserve"> de basishuur, bedoeld in artikel 16 van de Wet op de huurtoeslag</w:t>
      </w:r>
      <w:r>
        <w:rPr>
          <w:rFonts w:cs="Arial"/>
          <w:shd w:val="clear" w:color="auto" w:fill="FFFFFF"/>
        </w:rPr>
        <w:t xml:space="preserve">. De basishuur is </w:t>
      </w:r>
      <w:r>
        <w:t xml:space="preserve">het deel van de huur die een burger betaalt dat voor rekening van die burger zelf blijft. De basishuur wordt in mindering gebracht op de maximale rekenhuur om de maximale woonkostencompensatie vanuit de beslagvrije voet, artikel 475 da, tweede lid, te bepalen. </w:t>
      </w:r>
      <w:r>
        <w:rPr>
          <w:rFonts w:cs="Arial"/>
          <w:shd w:val="clear" w:color="auto" w:fill="FFFFFF"/>
        </w:rPr>
        <w:t>Om beter aan te sluiten op de berekening van de huurtoeslag wordt bij de berekening van de beslagvrije voet voortaan uitgegaan van de hoogte van de basishuur in plaats van de hogere normhuur.</w:t>
      </w:r>
    </w:p>
    <w:p w:rsidR="006D6B5C" w:rsidP="006D6B5C" w:rsidRDefault="006D6B5C" w14:paraId="5B789BF4" w14:textId="77777777">
      <w:pPr>
        <w:rPr>
          <w:rFonts w:cs="Arial"/>
          <w:shd w:val="clear" w:color="auto" w:fill="FFFFFF"/>
        </w:rPr>
      </w:pPr>
    </w:p>
    <w:p w:rsidR="006D6B5C" w:rsidP="006D6B5C" w:rsidRDefault="006D6B5C" w14:paraId="3D03B3DC" w14:textId="77777777">
      <w:pPr>
        <w:rPr>
          <w:rFonts w:cs="Arial"/>
          <w:shd w:val="clear" w:color="auto" w:fill="FFFFFF"/>
        </w:rPr>
      </w:pPr>
      <w:r>
        <w:rPr>
          <w:rFonts w:cs="Arial"/>
          <w:shd w:val="clear" w:color="auto" w:fill="FFFFFF"/>
        </w:rPr>
        <w:t xml:space="preserve">De woonkostencompensatie is als volgt in de formules weergegeven: </w:t>
      </w:r>
    </w:p>
    <w:p w:rsidRPr="00E92BB3" w:rsidR="006D6B5C" w:rsidP="006D6B5C" w:rsidRDefault="006D6B5C" w14:paraId="5217DF0E" w14:textId="77777777">
      <w:pPr>
        <w:tabs>
          <w:tab w:val="left" w:pos="1418"/>
        </w:tabs>
      </w:pPr>
      <w:r w:rsidRPr="00E92BB3">
        <w:t>I x (afbouwpercentage /12), of, a</w:t>
      </w:r>
      <w:r w:rsidRPr="005175CB">
        <w:t>ls dat</w:t>
      </w:r>
      <w:r>
        <w:t xml:space="preserve"> minder is, H-J.</w:t>
      </w:r>
    </w:p>
    <w:p w:rsidR="006D6B5C" w:rsidP="006D6B5C" w:rsidRDefault="006D6B5C" w14:paraId="78D4F7A5" w14:textId="77777777">
      <w:pPr>
        <w:tabs>
          <w:tab w:val="left" w:pos="1418"/>
        </w:tabs>
      </w:pPr>
    </w:p>
    <w:p w:rsidRPr="008713D0" w:rsidR="006D6B5C" w:rsidP="006D6B5C" w:rsidRDefault="006D6B5C" w14:paraId="1D2D73CC" w14:textId="77777777">
      <w:pPr>
        <w:tabs>
          <w:tab w:val="left" w:pos="1418"/>
        </w:tabs>
      </w:pPr>
      <w:r>
        <w:t xml:space="preserve">Het eerste deel van de formule sluit aan bij de manier waarop de afbouw van de huurtoeslag wordt berekend in het in het wetsvoorstel voorgestelde artikel 21, tweede lid, van de Wet op de huurtoeslag. Het bedrag dat in de huurtoeslag wordt afgebouwd wordt in de woonkostencompensatie opgebouwd. Het tweede deel van de formule is bedoeld om de woonkostencompensatie te maximeren. Huurtoeslag wordt tot ten hoogste de maximale rekenhuur gegeven. Bovendien blijft de huur tot aan de basishuur voor eigen rekening van de burger. Deze maximering is ook van toepassing op de woonkostencompensatie. Er wordt niet meer </w:t>
      </w:r>
      <w:r>
        <w:lastRenderedPageBreak/>
        <w:t>gecompenseerd dan het verschil tussen maximale rekenhuur en basishuur (eigen bijdrage). Het tweede deel van de formule voorziet in deze maximering.</w:t>
      </w:r>
      <w:r w:rsidDel="008713D0">
        <w:t xml:space="preserve"> </w:t>
      </w:r>
    </w:p>
    <w:p w:rsidRPr="00E92BB3" w:rsidR="006D6B5C" w:rsidP="006D6B5C" w:rsidRDefault="006D6B5C" w14:paraId="73C02083" w14:textId="77777777">
      <w:pPr>
        <w:tabs>
          <w:tab w:val="left" w:pos="1418"/>
        </w:tabs>
      </w:pPr>
    </w:p>
    <w:p w:rsidR="006D6B5C" w:rsidP="006D6B5C" w:rsidRDefault="006D6B5C" w14:paraId="2CAC45C4" w14:textId="77777777">
      <w:pPr>
        <w:tabs>
          <w:tab w:val="left" w:pos="1418"/>
        </w:tabs>
      </w:pPr>
      <w:r>
        <w:t>Als de uitkomst van I x (afbouwpercentage / 12) lager is dan H-J, geldt I x (afbouwpercentage / 12). Is H-J lager, dan geldt H-J.</w:t>
      </w:r>
    </w:p>
    <w:p w:rsidR="006D6B5C" w:rsidP="006D6B5C" w:rsidRDefault="006D6B5C" w14:paraId="67FD3390" w14:textId="77777777">
      <w:pPr>
        <w:tabs>
          <w:tab w:val="left" w:pos="1418"/>
        </w:tabs>
      </w:pPr>
    </w:p>
    <w:p w:rsidRPr="009F7652" w:rsidR="006D6B5C" w:rsidP="006D6B5C" w:rsidRDefault="006D6B5C" w14:paraId="77B00076" w14:textId="77777777">
      <w:pPr>
        <w:tabs>
          <w:tab w:val="left" w:pos="1418"/>
        </w:tabs>
        <w:rPr>
          <w:i/>
          <w:iCs/>
        </w:rPr>
      </w:pPr>
      <w:r w:rsidRPr="009F7652">
        <w:rPr>
          <w:i/>
          <w:iCs/>
        </w:rPr>
        <w:t>Onder 2</w:t>
      </w:r>
      <w:r>
        <w:rPr>
          <w:i/>
          <w:iCs/>
        </w:rPr>
        <w:t xml:space="preserve"> en 3</w:t>
      </w:r>
    </w:p>
    <w:p w:rsidR="006D6B5C" w:rsidP="006D6B5C" w:rsidRDefault="006D6B5C" w14:paraId="360EB750" w14:textId="1F8C8B15">
      <w:pPr>
        <w:tabs>
          <w:tab w:val="left" w:pos="1418"/>
        </w:tabs>
      </w:pPr>
      <w:r>
        <w:t xml:space="preserve">Deze onderdelen wijzigen de formules in artikel 475da, achtste en negende lid, Rv. Deze wijzigingen hangen samen met de hierboven toegelichte wijzigingen in het tweede lid van dat artikel. </w:t>
      </w:r>
    </w:p>
    <w:p w:rsidR="00E3707B" w:rsidP="00485C9D" w:rsidRDefault="00E3707B" w14:paraId="105AE486" w14:textId="77777777">
      <w:pPr>
        <w:tabs>
          <w:tab w:val="left" w:pos="1418"/>
        </w:tabs>
      </w:pPr>
    </w:p>
    <w:p w:rsidR="006D6B5C" w:rsidP="00485C9D" w:rsidRDefault="006D6B5C" w14:paraId="343DCBF2" w14:textId="2FA380D3">
      <w:pPr>
        <w:tabs>
          <w:tab w:val="left" w:pos="1418"/>
        </w:tabs>
      </w:pPr>
      <w:r>
        <w:rPr>
          <w:i/>
          <w:iCs/>
        </w:rPr>
        <w:t>Onderdeel F</w:t>
      </w:r>
    </w:p>
    <w:p w:rsidR="006D6B5C" w:rsidP="00485C9D" w:rsidRDefault="006D6B5C" w14:paraId="2E02CD76" w14:textId="77777777">
      <w:pPr>
        <w:tabs>
          <w:tab w:val="left" w:pos="1418"/>
        </w:tabs>
      </w:pPr>
    </w:p>
    <w:p w:rsidRPr="006D6B5C" w:rsidR="006D6B5C" w:rsidP="00485C9D" w:rsidRDefault="006D6B5C" w14:paraId="1D9D20BC" w14:textId="7F9A245B">
      <w:pPr>
        <w:tabs>
          <w:tab w:val="left" w:pos="1418"/>
        </w:tabs>
      </w:pPr>
      <w:r>
        <w:t>Deze wijzigingen betreffen wetstechnische verbeteringen in de samenloopbepaling van artikel VIII (voorheen artikel X) van het wetsvoorstel.</w:t>
      </w:r>
    </w:p>
    <w:p w:rsidR="006D6B5C" w:rsidP="00485C9D" w:rsidRDefault="006D6B5C" w14:paraId="5B4E90D7" w14:textId="77777777">
      <w:pPr>
        <w:tabs>
          <w:tab w:val="left" w:pos="1418"/>
        </w:tabs>
      </w:pPr>
    </w:p>
    <w:p w:rsidR="00E961CD" w:rsidP="00485C9D" w:rsidRDefault="00E961CD" w14:paraId="5520D188" w14:textId="0A8D2C9E">
      <w:pPr>
        <w:tabs>
          <w:tab w:val="left" w:pos="1418"/>
        </w:tabs>
      </w:pPr>
      <w:r>
        <w:rPr>
          <w:i/>
          <w:iCs/>
        </w:rPr>
        <w:t xml:space="preserve">Onderdeel </w:t>
      </w:r>
      <w:r w:rsidR="006D6B5C">
        <w:rPr>
          <w:i/>
          <w:iCs/>
        </w:rPr>
        <w:t>G</w:t>
      </w:r>
    </w:p>
    <w:p w:rsidR="00E961CD" w:rsidP="00485C9D" w:rsidRDefault="00E961CD" w14:paraId="386E16A7" w14:textId="77777777">
      <w:pPr>
        <w:tabs>
          <w:tab w:val="left" w:pos="1418"/>
        </w:tabs>
      </w:pPr>
    </w:p>
    <w:p w:rsidR="00E961CD" w:rsidP="00485C9D" w:rsidRDefault="00E961CD" w14:paraId="130FB296" w14:textId="064F16A1">
      <w:pPr>
        <w:tabs>
          <w:tab w:val="left" w:pos="1418"/>
        </w:tabs>
      </w:pPr>
      <w:r>
        <w:t xml:space="preserve">De in de artikelen IV, V en VI </w:t>
      </w:r>
      <w:r w:rsidR="000D115B">
        <w:t xml:space="preserve">(nieuw) </w:t>
      </w:r>
      <w:r>
        <w:t>voorgestelde wijzigingen vloeien voort uit de in artikel III voorgestelde wijzigingen van de Wet op de huurtoeslag. De artikelen IV, V en VI</w:t>
      </w:r>
      <w:r w:rsidR="000D115B">
        <w:t xml:space="preserve"> (nieuw)</w:t>
      </w:r>
      <w:r>
        <w:t xml:space="preserve"> dienen derhalve op hetzelfde moment als artikel III in werking te treden.</w:t>
      </w:r>
    </w:p>
    <w:p w:rsidRPr="00E961CD" w:rsidR="00E961CD" w:rsidP="00485C9D" w:rsidRDefault="00E961CD" w14:paraId="6B0D21C5" w14:textId="77777777">
      <w:pPr>
        <w:tabs>
          <w:tab w:val="left" w:pos="1418"/>
        </w:tabs>
      </w:pPr>
    </w:p>
    <w:p w:rsidR="00485C9D" w:rsidP="00485C9D" w:rsidRDefault="00485C9D" w14:paraId="0DA2E45B" w14:textId="77777777">
      <w:pPr>
        <w:tabs>
          <w:tab w:val="left" w:pos="1418"/>
        </w:tabs>
      </w:pPr>
    </w:p>
    <w:p w:rsidRPr="00485C9D" w:rsidR="00485C9D" w:rsidP="00485C9D" w:rsidRDefault="00485C9D" w14:paraId="7341B250" w14:textId="492A5B72">
      <w:pPr>
        <w:tabs>
          <w:tab w:val="left" w:pos="1418"/>
        </w:tabs>
      </w:pPr>
      <w:r>
        <w:t>De Minister van Volkshuisvesting en Ruimtelijke Ordening,</w:t>
      </w:r>
    </w:p>
    <w:p w:rsidR="00485C9D" w:rsidP="00485C9D" w:rsidRDefault="00485C9D" w14:paraId="3A2782E8" w14:textId="77777777">
      <w:pPr>
        <w:tabs>
          <w:tab w:val="left" w:pos="1418"/>
        </w:tabs>
      </w:pPr>
    </w:p>
    <w:p w:rsidR="00B33DB5" w:rsidRDefault="00B33DB5" w14:paraId="2B412B74" w14:textId="4DD89BA7"/>
    <w:p w:rsidR="00A97AED" w:rsidRDefault="00A97AED" w14:paraId="09D82E9D" w14:textId="4580E173"/>
    <w:p w:rsidR="00A97AED" w:rsidRDefault="00A97AED" w14:paraId="7C55DD41" w14:textId="0515F6B6"/>
    <w:p w:rsidR="00A97AED" w:rsidRDefault="00A97AED" w14:paraId="36A64D67" w14:textId="24F4457B"/>
    <w:p w:rsidR="00A97AED" w:rsidRDefault="00A97AED" w14:paraId="4A1A4A16" w14:textId="253A89A7">
      <w:r>
        <w:t>Mona Keijzer</w:t>
      </w:r>
    </w:p>
    <w:sectPr w:rsidR="00A97AE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DB880" w14:textId="77777777" w:rsidR="00EC1E2A" w:rsidRDefault="00EC1E2A" w:rsidP="000D6E3B">
      <w:pPr>
        <w:spacing w:line="240" w:lineRule="auto"/>
      </w:pPr>
      <w:r>
        <w:separator/>
      </w:r>
    </w:p>
  </w:endnote>
  <w:endnote w:type="continuationSeparator" w:id="0">
    <w:p w14:paraId="07AF9559" w14:textId="77777777" w:rsidR="00EC1E2A" w:rsidRDefault="00EC1E2A" w:rsidP="000D6E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ohit Hindi">
    <w:altName w:val="Times New Roman"/>
    <w:charset w:val="00"/>
    <w:family w:val="auto"/>
    <w:pitch w:val="default"/>
  </w:font>
  <w:font w:name="LKKPB C+ Univers">
    <w:altName w:val="Univers"/>
    <w:panose1 w:val="00000000000000000000"/>
    <w:charset w:val="00"/>
    <w:family w:val="swiss"/>
    <w:notTrueType/>
    <w:pitch w:val="default"/>
    <w:sig w:usb0="00000003" w:usb1="00000000" w:usb2="00000000" w:usb3="00000000" w:csb0="00000001" w:csb1="00000000"/>
  </w:font>
  <w:font w:name="DejaVu Sans">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7C8E" w14:textId="77777777" w:rsidR="000D6E3B" w:rsidRDefault="000D6E3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B42C" w14:textId="77777777" w:rsidR="000D6E3B" w:rsidRDefault="000D6E3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0DE2" w14:textId="77777777" w:rsidR="000D6E3B" w:rsidRDefault="000D6E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E7670" w14:textId="77777777" w:rsidR="00EC1E2A" w:rsidRDefault="00EC1E2A" w:rsidP="000D6E3B">
      <w:pPr>
        <w:spacing w:line="240" w:lineRule="auto"/>
      </w:pPr>
      <w:r>
        <w:separator/>
      </w:r>
    </w:p>
  </w:footnote>
  <w:footnote w:type="continuationSeparator" w:id="0">
    <w:p w14:paraId="7058A8D6" w14:textId="77777777" w:rsidR="00EC1E2A" w:rsidRDefault="00EC1E2A" w:rsidP="000D6E3B">
      <w:pPr>
        <w:spacing w:line="240" w:lineRule="auto"/>
      </w:pPr>
      <w:r>
        <w:continuationSeparator/>
      </w:r>
    </w:p>
  </w:footnote>
  <w:footnote w:id="1">
    <w:p w14:paraId="18C7AEE0" w14:textId="77777777" w:rsidR="000D115B" w:rsidRPr="00256AAC" w:rsidRDefault="000D115B" w:rsidP="000D115B">
      <w:pPr>
        <w:pStyle w:val="Voetnoottekst"/>
        <w:rPr>
          <w:sz w:val="16"/>
          <w:szCs w:val="16"/>
        </w:rPr>
      </w:pPr>
      <w:r w:rsidRPr="00256AAC">
        <w:rPr>
          <w:rStyle w:val="Voetnootmarkering"/>
          <w:sz w:val="16"/>
          <w:szCs w:val="16"/>
        </w:rPr>
        <w:footnoteRef/>
      </w:r>
      <w:r w:rsidRPr="00256AAC">
        <w:rPr>
          <w:sz w:val="16"/>
          <w:szCs w:val="16"/>
        </w:rPr>
        <w:t xml:space="preserve"> </w:t>
      </w:r>
      <w:r>
        <w:rPr>
          <w:sz w:val="16"/>
          <w:szCs w:val="16"/>
        </w:rPr>
        <w:t>Kamerstukken II 2016/17, 34628, nr. 3</w:t>
      </w:r>
      <w:r w:rsidRPr="00256AAC">
        <w:rPr>
          <w:sz w:val="16"/>
          <w:szCs w:val="16"/>
        </w:rPr>
        <w:t>, p. 1</w:t>
      </w:r>
      <w:r>
        <w:rPr>
          <w:sz w:val="16"/>
          <w:szCs w:val="16"/>
        </w:rPr>
        <w:t>.</w:t>
      </w:r>
    </w:p>
  </w:footnote>
  <w:footnote w:id="2">
    <w:p w14:paraId="1EFF5AE5" w14:textId="77777777" w:rsidR="006D6B5C" w:rsidRPr="00DE395E" w:rsidRDefault="006D6B5C" w:rsidP="006D6B5C">
      <w:pPr>
        <w:pStyle w:val="Default"/>
        <w:rPr>
          <w:rFonts w:ascii="Verdana" w:hAnsi="Verdana" w:cs="Lohit Hindi"/>
          <w:sz w:val="16"/>
          <w:szCs w:val="16"/>
        </w:rPr>
      </w:pPr>
      <w:r w:rsidRPr="00DE395E">
        <w:rPr>
          <w:rStyle w:val="Voetnootmarkering"/>
          <w:rFonts w:ascii="Verdana" w:hAnsi="Verdana"/>
          <w:sz w:val="16"/>
          <w:szCs w:val="16"/>
        </w:rPr>
        <w:footnoteRef/>
      </w:r>
      <w:r w:rsidRPr="00DE395E">
        <w:rPr>
          <w:rFonts w:ascii="Verdana" w:hAnsi="Verdana"/>
          <w:sz w:val="16"/>
          <w:szCs w:val="16"/>
        </w:rPr>
        <w:t xml:space="preserve"> </w:t>
      </w:r>
      <w:r w:rsidRPr="001B673C">
        <w:rPr>
          <w:rFonts w:ascii="Verdana" w:hAnsi="Verdana"/>
          <w:sz w:val="16"/>
          <w:szCs w:val="16"/>
        </w:rPr>
        <w:t>Kamerstukken II 2016/17, 34628, nr. 3</w:t>
      </w:r>
      <w:r w:rsidRPr="00DE395E">
        <w:rPr>
          <w:rFonts w:ascii="Verdana" w:hAnsi="Verdana" w:cs="Lohit Hindi"/>
          <w:sz w:val="16"/>
          <w:szCs w:val="16"/>
        </w:rPr>
        <w:t>, p. 67.</w:t>
      </w:r>
    </w:p>
  </w:footnote>
  <w:footnote w:id="3">
    <w:p w14:paraId="0F8A9E3E" w14:textId="77777777" w:rsidR="000D115B" w:rsidRPr="001B673C" w:rsidRDefault="000D115B" w:rsidP="000D115B">
      <w:pPr>
        <w:pStyle w:val="Voetnoottekst"/>
        <w:rPr>
          <w:sz w:val="16"/>
          <w:szCs w:val="16"/>
        </w:rPr>
      </w:pPr>
      <w:r w:rsidRPr="001B673C">
        <w:rPr>
          <w:rStyle w:val="Voetnootmarkering"/>
          <w:sz w:val="16"/>
          <w:szCs w:val="16"/>
        </w:rPr>
        <w:footnoteRef/>
      </w:r>
      <w:r w:rsidRPr="001B673C">
        <w:rPr>
          <w:sz w:val="16"/>
          <w:szCs w:val="16"/>
        </w:rPr>
        <w:t xml:space="preserve"> K</w:t>
      </w:r>
      <w:r>
        <w:rPr>
          <w:sz w:val="16"/>
          <w:szCs w:val="16"/>
        </w:rPr>
        <w:t>amerstukken II 2024/25, 36608, nr. 2.</w:t>
      </w:r>
    </w:p>
  </w:footnote>
  <w:footnote w:id="4">
    <w:p w14:paraId="06F4ACE1" w14:textId="77777777" w:rsidR="006D6B5C" w:rsidRPr="005175CB" w:rsidRDefault="006D6B5C" w:rsidP="006D6B5C">
      <w:pPr>
        <w:pStyle w:val="Voetnoottekst"/>
        <w:rPr>
          <w:sz w:val="16"/>
          <w:szCs w:val="16"/>
        </w:rPr>
      </w:pPr>
      <w:r w:rsidRPr="005175CB">
        <w:rPr>
          <w:rStyle w:val="Voetnootmarkering"/>
          <w:sz w:val="16"/>
          <w:szCs w:val="16"/>
        </w:rPr>
        <w:footnoteRef/>
      </w:r>
      <w:r w:rsidRPr="005175CB">
        <w:rPr>
          <w:sz w:val="16"/>
          <w:szCs w:val="16"/>
        </w:rPr>
        <w:t xml:space="preserve"> Het is niet uitgesloten dat door toekomstige ontwikkelingen de normhuur opnieuw zakt tot onder de basishuur.</w:t>
      </w:r>
    </w:p>
  </w:footnote>
  <w:footnote w:id="5">
    <w:p w14:paraId="2CAE15D3" w14:textId="77777777" w:rsidR="006D6B5C" w:rsidRPr="005175CB" w:rsidRDefault="006D6B5C" w:rsidP="006D6B5C">
      <w:pPr>
        <w:pStyle w:val="Voetnoottekst"/>
        <w:rPr>
          <w:sz w:val="16"/>
          <w:szCs w:val="16"/>
        </w:rPr>
      </w:pPr>
      <w:r w:rsidRPr="005175CB">
        <w:rPr>
          <w:rStyle w:val="Voetnootmarkering"/>
          <w:sz w:val="16"/>
          <w:szCs w:val="16"/>
        </w:rPr>
        <w:footnoteRef/>
      </w:r>
      <w:r w:rsidRPr="005175CB">
        <w:rPr>
          <w:sz w:val="16"/>
          <w:szCs w:val="16"/>
        </w:rPr>
        <w:t xml:space="preserve"> SNG, UWV, Belastingdienst en BKWI/IB</w:t>
      </w:r>
    </w:p>
  </w:footnote>
  <w:footnote w:id="6">
    <w:p w14:paraId="2D87F886" w14:textId="77777777" w:rsidR="006D6B5C" w:rsidRPr="005175CB" w:rsidRDefault="006D6B5C" w:rsidP="006D6B5C">
      <w:pPr>
        <w:pStyle w:val="Voetnoottekst"/>
        <w:rPr>
          <w:sz w:val="16"/>
          <w:szCs w:val="16"/>
        </w:rPr>
      </w:pPr>
      <w:r w:rsidRPr="005175CB">
        <w:rPr>
          <w:rStyle w:val="Voetnootmarkering"/>
          <w:sz w:val="16"/>
          <w:szCs w:val="16"/>
        </w:rPr>
        <w:footnoteRef/>
      </w:r>
      <w:r w:rsidRPr="005175CB">
        <w:rPr>
          <w:sz w:val="16"/>
          <w:szCs w:val="16"/>
        </w:rPr>
        <w:t xml:space="preserve"> UWV, Belastingdienst/Dienst Toeslagen, CJIB, LBIO, SVB, </w:t>
      </w:r>
      <w:proofErr w:type="spellStart"/>
      <w:r w:rsidRPr="005175CB">
        <w:rPr>
          <w:sz w:val="16"/>
          <w:szCs w:val="16"/>
        </w:rPr>
        <w:t>KBvG</w:t>
      </w:r>
      <w:proofErr w:type="spellEnd"/>
      <w:r w:rsidRPr="005175CB">
        <w:rPr>
          <w:sz w:val="16"/>
          <w:szCs w:val="16"/>
        </w:rPr>
        <w:t xml:space="preserve"> en VNG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0F69C" w14:textId="1CE05322" w:rsidR="000D6E3B" w:rsidRDefault="000D6E3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DCEC" w14:textId="64E20B1A" w:rsidR="000D6E3B" w:rsidRDefault="000D6E3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1BE0" w14:textId="61127A07" w:rsidR="000D6E3B" w:rsidRDefault="000D6E3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075CF"/>
    <w:multiLevelType w:val="multilevel"/>
    <w:tmpl w:val="BC58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182DA1"/>
    <w:multiLevelType w:val="hybridMultilevel"/>
    <w:tmpl w:val="FD10F1D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32615327">
    <w:abstractNumId w:val="0"/>
  </w:num>
  <w:num w:numId="2" w16cid:durableId="701436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9D"/>
    <w:rsid w:val="000B1452"/>
    <w:rsid w:val="000D115B"/>
    <w:rsid w:val="000D6E3B"/>
    <w:rsid w:val="00166283"/>
    <w:rsid w:val="001717A1"/>
    <w:rsid w:val="001B1AE8"/>
    <w:rsid w:val="001B7D8F"/>
    <w:rsid w:val="001C724B"/>
    <w:rsid w:val="0024282D"/>
    <w:rsid w:val="002D5A51"/>
    <w:rsid w:val="002F1452"/>
    <w:rsid w:val="00394667"/>
    <w:rsid w:val="003B4FB1"/>
    <w:rsid w:val="00423A0F"/>
    <w:rsid w:val="00485C9D"/>
    <w:rsid w:val="006308B4"/>
    <w:rsid w:val="00662B85"/>
    <w:rsid w:val="006977AD"/>
    <w:rsid w:val="006C766E"/>
    <w:rsid w:val="006D6B5C"/>
    <w:rsid w:val="007C4248"/>
    <w:rsid w:val="00831577"/>
    <w:rsid w:val="008B5882"/>
    <w:rsid w:val="00962159"/>
    <w:rsid w:val="00A97AED"/>
    <w:rsid w:val="00AA03D3"/>
    <w:rsid w:val="00B26BB8"/>
    <w:rsid w:val="00B33DB5"/>
    <w:rsid w:val="00BB7B62"/>
    <w:rsid w:val="00C03C25"/>
    <w:rsid w:val="00C06BB5"/>
    <w:rsid w:val="00C40542"/>
    <w:rsid w:val="00D37CB6"/>
    <w:rsid w:val="00D96DD1"/>
    <w:rsid w:val="00DB1A4F"/>
    <w:rsid w:val="00E3707B"/>
    <w:rsid w:val="00E57DEB"/>
    <w:rsid w:val="00E961CD"/>
    <w:rsid w:val="00EC1E2A"/>
    <w:rsid w:val="00F31D75"/>
    <w:rsid w:val="00F87B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8D39C"/>
  <w15:chartTrackingRefBased/>
  <w15:docId w15:val="{1BC1A4D9-1188-4630-ADAB-5FF71317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Lohit Hindi"/>
        <w:color w:val="000000"/>
        <w:kern w:val="2"/>
        <w:sz w:val="18"/>
        <w:szCs w:val="18"/>
        <w:lang w:val="nl-NL" w:eastAsia="en-US"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5C9D"/>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6E3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D6E3B"/>
    <w:rPr>
      <w:kern w:val="0"/>
      <w14:ligatures w14:val="none"/>
    </w:rPr>
  </w:style>
  <w:style w:type="paragraph" w:styleId="Voettekst">
    <w:name w:val="footer"/>
    <w:basedOn w:val="Standaard"/>
    <w:link w:val="VoettekstChar"/>
    <w:uiPriority w:val="99"/>
    <w:unhideWhenUsed/>
    <w:rsid w:val="000D6E3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D6E3B"/>
    <w:rPr>
      <w:kern w:val="0"/>
      <w14:ligatures w14:val="none"/>
    </w:rPr>
  </w:style>
  <w:style w:type="paragraph" w:styleId="Lijstalinea">
    <w:name w:val="List Paragraph"/>
    <w:basedOn w:val="Standaard"/>
    <w:uiPriority w:val="34"/>
    <w:qFormat/>
    <w:rsid w:val="00C06BB5"/>
    <w:pPr>
      <w:spacing w:after="160" w:line="259" w:lineRule="auto"/>
      <w:ind w:left="720"/>
      <w:contextualSpacing/>
    </w:pPr>
    <w:rPr>
      <w:rFonts w:cstheme="minorBidi"/>
      <w:color w:val="auto"/>
      <w:kern w:val="2"/>
      <w:szCs w:val="22"/>
      <w:lang w:val="en-US"/>
      <w14:ligatures w14:val="standardContextual"/>
    </w:rPr>
  </w:style>
  <w:style w:type="character" w:styleId="Verwijzingopmerking">
    <w:name w:val="annotation reference"/>
    <w:basedOn w:val="Standaardalinea-lettertype"/>
    <w:uiPriority w:val="99"/>
    <w:semiHidden/>
    <w:unhideWhenUsed/>
    <w:rsid w:val="00C06BB5"/>
    <w:rPr>
      <w:sz w:val="16"/>
      <w:szCs w:val="16"/>
    </w:rPr>
  </w:style>
  <w:style w:type="paragraph" w:styleId="Tekstopmerking">
    <w:name w:val="annotation text"/>
    <w:basedOn w:val="Standaard"/>
    <w:link w:val="TekstopmerkingChar"/>
    <w:uiPriority w:val="99"/>
    <w:unhideWhenUsed/>
    <w:rsid w:val="00C06BB5"/>
    <w:pPr>
      <w:spacing w:after="160" w:line="240" w:lineRule="auto"/>
    </w:pPr>
    <w:rPr>
      <w:rFonts w:cstheme="minorBidi"/>
      <w:color w:val="auto"/>
      <w:kern w:val="2"/>
      <w:sz w:val="20"/>
      <w:szCs w:val="20"/>
      <w:lang w:val="en-US"/>
      <w14:ligatures w14:val="standardContextual"/>
    </w:rPr>
  </w:style>
  <w:style w:type="character" w:customStyle="1" w:styleId="TekstopmerkingChar">
    <w:name w:val="Tekst opmerking Char"/>
    <w:basedOn w:val="Standaardalinea-lettertype"/>
    <w:link w:val="Tekstopmerking"/>
    <w:uiPriority w:val="99"/>
    <w:rsid w:val="00C06BB5"/>
    <w:rPr>
      <w:rFonts w:cstheme="minorBidi"/>
      <w:color w:val="auto"/>
      <w:sz w:val="20"/>
      <w:szCs w:val="20"/>
      <w:lang w:val="en-US"/>
    </w:rPr>
  </w:style>
  <w:style w:type="character" w:styleId="Voetnootmarkering">
    <w:name w:val="footnote reference"/>
    <w:basedOn w:val="Standaardalinea-lettertype"/>
    <w:uiPriority w:val="99"/>
    <w:semiHidden/>
    <w:unhideWhenUsed/>
    <w:rsid w:val="000D115B"/>
    <w:rPr>
      <w:vertAlign w:val="superscript"/>
    </w:rPr>
  </w:style>
  <w:style w:type="paragraph" w:customStyle="1" w:styleId="Default">
    <w:name w:val="Default"/>
    <w:rsid w:val="000D115B"/>
    <w:pPr>
      <w:autoSpaceDE w:val="0"/>
      <w:autoSpaceDN w:val="0"/>
      <w:adjustRightInd w:val="0"/>
      <w:spacing w:line="240" w:lineRule="auto"/>
    </w:pPr>
    <w:rPr>
      <w:rFonts w:ascii="LKKPB C+ Univers" w:eastAsia="DejaVu Sans" w:hAnsi="LKKPB C+ Univers" w:cs="LKKPB C+ Univers"/>
      <w:kern w:val="0"/>
      <w:sz w:val="24"/>
      <w:szCs w:val="24"/>
      <w:lang w:eastAsia="nl-NL"/>
      <w14:ligatures w14:val="none"/>
    </w:rPr>
  </w:style>
  <w:style w:type="paragraph" w:styleId="Voetnoottekst">
    <w:name w:val="footnote text"/>
    <w:basedOn w:val="Standaard"/>
    <w:link w:val="VoetnoottekstChar"/>
    <w:uiPriority w:val="99"/>
    <w:semiHidden/>
    <w:unhideWhenUsed/>
    <w:rsid w:val="000D115B"/>
    <w:pPr>
      <w:autoSpaceDN w:val="0"/>
      <w:spacing w:line="240" w:lineRule="auto"/>
      <w:textAlignment w:val="baseline"/>
    </w:pPr>
    <w:rPr>
      <w:rFonts w:eastAsia="DejaVu Sans"/>
      <w:sz w:val="20"/>
      <w:szCs w:val="20"/>
      <w:lang w:eastAsia="nl-NL"/>
    </w:rPr>
  </w:style>
  <w:style w:type="character" w:customStyle="1" w:styleId="VoetnoottekstChar">
    <w:name w:val="Voetnoottekst Char"/>
    <w:basedOn w:val="Standaardalinea-lettertype"/>
    <w:link w:val="Voetnoottekst"/>
    <w:uiPriority w:val="99"/>
    <w:semiHidden/>
    <w:rsid w:val="000D115B"/>
    <w:rPr>
      <w:rFonts w:eastAsia="DejaVu Sans"/>
      <w:kern w:val="0"/>
      <w:sz w:val="20"/>
      <w:szCs w:val="20"/>
      <w:lang w:eastAsia="nl-NL"/>
      <w14:ligatures w14:val="none"/>
    </w:rPr>
  </w:style>
  <w:style w:type="paragraph" w:styleId="Revisie">
    <w:name w:val="Revision"/>
    <w:hidden/>
    <w:uiPriority w:val="99"/>
    <w:semiHidden/>
    <w:rsid w:val="001717A1"/>
    <w:pPr>
      <w:spacing w:line="240" w:lineRule="auto"/>
    </w:pPr>
    <w:rPr>
      <w:kern w:val="0"/>
      <w14:ligatures w14:val="none"/>
    </w:rPr>
  </w:style>
  <w:style w:type="paragraph" w:styleId="Onderwerpvanopmerking">
    <w:name w:val="annotation subject"/>
    <w:basedOn w:val="Tekstopmerking"/>
    <w:next w:val="Tekstopmerking"/>
    <w:link w:val="OnderwerpvanopmerkingChar"/>
    <w:uiPriority w:val="99"/>
    <w:semiHidden/>
    <w:unhideWhenUsed/>
    <w:rsid w:val="001717A1"/>
    <w:pPr>
      <w:spacing w:after="0"/>
    </w:pPr>
    <w:rPr>
      <w:rFonts w:cs="Lohit Hindi"/>
      <w:b/>
      <w:bCs/>
      <w:color w:val="000000"/>
      <w:kern w:val="0"/>
      <w:lang w:val="nl-NL"/>
      <w14:ligatures w14:val="none"/>
    </w:rPr>
  </w:style>
  <w:style w:type="character" w:customStyle="1" w:styleId="OnderwerpvanopmerkingChar">
    <w:name w:val="Onderwerp van opmerking Char"/>
    <w:basedOn w:val="TekstopmerkingChar"/>
    <w:link w:val="Onderwerpvanopmerking"/>
    <w:uiPriority w:val="99"/>
    <w:semiHidden/>
    <w:rsid w:val="001717A1"/>
    <w:rPr>
      <w:rFonts w:cstheme="minorBidi"/>
      <w:b/>
      <w:bCs/>
      <w:color w:val="auto"/>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3388</ap:Words>
  <ap:Characters>18638</ap:Characters>
  <ap:DocSecurity>0</ap:DocSecurity>
  <ap:Lines>155</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21983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2024-10-01T13:36:00.0000000Z</dcterms:created>
  <dcterms:modified xsi:type="dcterms:W3CDTF">2024-10-09T15:03:00.0000000Z</dcterms:modified>
  <version/>
  <category/>
</coreProperties>
</file>