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476E" w:rsidR="001C2221" w:rsidP="001C2221" w:rsidRDefault="001C2221" w14:paraId="522E8C96" w14:textId="77777777">
      <w:pPr>
        <w:rPr>
          <w:rFonts w:cstheme="minorHAnsi"/>
        </w:rPr>
      </w:pPr>
    </w:p>
    <w:p w:rsidRPr="00B2476E" w:rsidR="00B2476E" w:rsidRDefault="001C2221" w14:paraId="328A7286" w14:textId="77777777">
      <w:pPr>
        <w:rPr>
          <w:rFonts w:cstheme="minorHAnsi"/>
        </w:rPr>
      </w:pPr>
      <w:r w:rsidRPr="00B2476E">
        <w:rPr>
          <w:rFonts w:cstheme="minorHAnsi"/>
        </w:rPr>
        <w:t>31789</w:t>
      </w:r>
      <w:r w:rsidRPr="00B2476E" w:rsidR="00B2476E">
        <w:rPr>
          <w:rFonts w:cstheme="minorHAnsi"/>
        </w:rPr>
        <w:tab/>
      </w:r>
      <w:r w:rsidRPr="00B2476E" w:rsidR="00B2476E">
        <w:rPr>
          <w:rFonts w:cstheme="minorHAnsi"/>
        </w:rPr>
        <w:tab/>
      </w:r>
      <w:r w:rsidRPr="00B2476E" w:rsidR="00B2476E">
        <w:rPr>
          <w:rFonts w:cstheme="minorHAnsi"/>
        </w:rPr>
        <w:tab/>
        <w:t xml:space="preserve">Staatsdeelnemingen Fortis en ABN AMRO </w:t>
      </w:r>
    </w:p>
    <w:p w:rsidRPr="00B2476E" w:rsidR="00B2476E" w:rsidP="00D80872" w:rsidRDefault="00B2476E" w14:paraId="43221F7E" w14:textId="77777777">
      <w:pPr>
        <w:rPr>
          <w:rFonts w:cstheme="minorHAnsi"/>
        </w:rPr>
      </w:pPr>
      <w:r w:rsidRPr="00B2476E">
        <w:rPr>
          <w:rFonts w:cstheme="minorHAnsi"/>
        </w:rPr>
        <w:t xml:space="preserve">Nr. </w:t>
      </w:r>
      <w:r w:rsidRPr="00B2476E">
        <w:rPr>
          <w:rFonts w:cstheme="minorHAnsi"/>
        </w:rPr>
        <w:t>118</w:t>
      </w:r>
      <w:r w:rsidRPr="00B2476E">
        <w:rPr>
          <w:rFonts w:cstheme="minorHAnsi"/>
        </w:rPr>
        <w:tab/>
      </w:r>
      <w:r w:rsidRPr="00B2476E">
        <w:rPr>
          <w:rFonts w:cstheme="minorHAnsi"/>
        </w:rPr>
        <w:tab/>
      </w:r>
      <w:r w:rsidRPr="00B2476E">
        <w:rPr>
          <w:rFonts w:cstheme="minorHAnsi"/>
        </w:rPr>
        <w:tab/>
        <w:t>Brief van de minister van Financiën</w:t>
      </w:r>
    </w:p>
    <w:p w:rsidRPr="00B2476E" w:rsidR="00B2476E" w:rsidP="001C2221" w:rsidRDefault="00B2476E" w14:paraId="7F6EB171" w14:textId="6989E6F2">
      <w:pPr>
        <w:rPr>
          <w:rFonts w:cstheme="minorHAnsi"/>
        </w:rPr>
      </w:pPr>
      <w:r w:rsidRPr="00B2476E">
        <w:rPr>
          <w:rFonts w:cstheme="minorHAnsi"/>
        </w:rPr>
        <w:t>Aan de Voorzitter van de Tweede Kamer der Staten-Generaal</w:t>
      </w:r>
    </w:p>
    <w:p w:rsidRPr="00B2476E" w:rsidR="00B2476E" w:rsidP="001C2221" w:rsidRDefault="00B2476E" w14:paraId="0CE15719" w14:textId="79277EBE">
      <w:pPr>
        <w:rPr>
          <w:rFonts w:cstheme="minorHAnsi"/>
        </w:rPr>
      </w:pPr>
      <w:r w:rsidRPr="00B2476E">
        <w:rPr>
          <w:rFonts w:cstheme="minorHAnsi"/>
        </w:rPr>
        <w:t>Den Haag, 15 oktober 2024</w:t>
      </w:r>
    </w:p>
    <w:p w:rsidRPr="00B2476E" w:rsidR="001C2221" w:rsidP="001C2221" w:rsidRDefault="001C2221" w14:paraId="4213E591" w14:textId="77777777">
      <w:pPr>
        <w:rPr>
          <w:rFonts w:cstheme="minorHAnsi"/>
        </w:rPr>
      </w:pPr>
    </w:p>
    <w:p w:rsidRPr="00B2476E" w:rsidR="001C2221" w:rsidP="001C2221" w:rsidRDefault="001C2221" w14:paraId="40E27EE1" w14:textId="139123B7">
      <w:pPr>
        <w:rPr>
          <w:rFonts w:cstheme="minorHAnsi"/>
        </w:rPr>
      </w:pPr>
      <w:r w:rsidRPr="00B2476E">
        <w:rPr>
          <w:rFonts w:cstheme="minorHAnsi"/>
        </w:rPr>
        <w:t xml:space="preserve">Met deze brief wil ik u informeren dat ik heb ingestemd met het advies van NLFI om opnieuw gedurende een langere periode dagelijks kleine hoeveelheden certificaten van aandelen in ABN AMRO Bank N.V. (ABN AMRO) te verkopen via de beurs (een zogenoemd </w:t>
      </w:r>
      <w:proofErr w:type="spellStart"/>
      <w:r w:rsidRPr="00B2476E">
        <w:rPr>
          <w:rFonts w:cstheme="minorHAnsi"/>
          <w:i/>
          <w:iCs/>
        </w:rPr>
        <w:t>dribble</w:t>
      </w:r>
      <w:proofErr w:type="spellEnd"/>
      <w:r w:rsidRPr="00B2476E">
        <w:rPr>
          <w:rFonts w:cstheme="minorHAnsi"/>
          <w:i/>
          <w:iCs/>
        </w:rPr>
        <w:t>-out</w:t>
      </w:r>
      <w:r w:rsidRPr="00B2476E">
        <w:rPr>
          <w:rFonts w:cstheme="minorHAnsi"/>
          <w:i/>
          <w:iCs/>
        </w:rPr>
        <w:softHyphen/>
      </w:r>
      <w:r w:rsidRPr="00B2476E">
        <w:rPr>
          <w:rFonts w:cstheme="minorHAnsi"/>
        </w:rPr>
        <w:t xml:space="preserve">-programma). Dit verkoopprogramma start per direct. </w:t>
      </w:r>
    </w:p>
    <w:p w:rsidRPr="00B2476E" w:rsidR="001C2221" w:rsidP="001C2221" w:rsidRDefault="001C2221" w14:paraId="4C2A581A" w14:textId="77777777">
      <w:pPr>
        <w:rPr>
          <w:rFonts w:cstheme="minorHAnsi"/>
        </w:rPr>
      </w:pPr>
    </w:p>
    <w:p w:rsidRPr="00B2476E" w:rsidR="001C2221" w:rsidP="001C2221" w:rsidRDefault="001C2221" w14:paraId="0F82B989" w14:textId="77777777">
      <w:pPr>
        <w:rPr>
          <w:rFonts w:cstheme="minorHAnsi"/>
        </w:rPr>
      </w:pPr>
      <w:r w:rsidRPr="00B2476E">
        <w:rPr>
          <w:rFonts w:cstheme="minorHAnsi"/>
        </w:rPr>
        <w:t>In mijn brief van 11 september 2024 heb ik uw Kamer geïnformeerd dat het belang van de staat, via een verkoopprogramma, was teruggebracht tot 40,5%.</w:t>
      </w:r>
      <w:r w:rsidRPr="00B2476E">
        <w:rPr>
          <w:rStyle w:val="Voetnootmarkering"/>
          <w:rFonts w:cstheme="minorHAnsi"/>
        </w:rPr>
        <w:footnoteReference w:id="1"/>
      </w:r>
      <w:r w:rsidRPr="00B2476E">
        <w:rPr>
          <w:rFonts w:cstheme="minorHAnsi"/>
        </w:rPr>
        <w:t xml:space="preserve"> Tevens heb ik in die brief aangekondigd dat NLFI mij ook de komende periode zou adviseren over de verdere afbouw van het belang in ABN AMRO. </w:t>
      </w:r>
    </w:p>
    <w:p w:rsidRPr="00B2476E" w:rsidR="001C2221" w:rsidP="001C2221" w:rsidRDefault="001C2221" w14:paraId="25147950" w14:textId="77777777">
      <w:pPr>
        <w:rPr>
          <w:rFonts w:cstheme="minorHAnsi"/>
        </w:rPr>
      </w:pPr>
    </w:p>
    <w:p w:rsidRPr="00B2476E" w:rsidR="001C2221" w:rsidP="001C2221" w:rsidRDefault="001C2221" w14:paraId="1D7EC2EA" w14:textId="77777777">
      <w:pPr>
        <w:rPr>
          <w:rFonts w:cstheme="minorHAnsi"/>
        </w:rPr>
      </w:pPr>
      <w:r w:rsidRPr="00B2476E">
        <w:rPr>
          <w:rFonts w:cstheme="minorHAnsi"/>
        </w:rPr>
        <w:t xml:space="preserve">Het verkoopprogramma, dat vandaag start, is erop gericht het belang in ABN AMRO af te bouwen tot circa 30%. Gedetailleerde informatie over het </w:t>
      </w:r>
      <w:proofErr w:type="spellStart"/>
      <w:r w:rsidRPr="00B2476E">
        <w:rPr>
          <w:rFonts w:cstheme="minorHAnsi"/>
          <w:i/>
          <w:iCs/>
        </w:rPr>
        <w:t>dribble</w:t>
      </w:r>
      <w:proofErr w:type="spellEnd"/>
      <w:r w:rsidRPr="00B2476E">
        <w:rPr>
          <w:rFonts w:cstheme="minorHAnsi"/>
          <w:i/>
          <w:iCs/>
        </w:rPr>
        <w:t>-out</w:t>
      </w:r>
      <w:r w:rsidRPr="00B2476E">
        <w:rPr>
          <w:rFonts w:cstheme="minorHAnsi"/>
          <w:i/>
          <w:iCs/>
        </w:rPr>
        <w:softHyphen/>
      </w:r>
      <w:r w:rsidRPr="00B2476E">
        <w:rPr>
          <w:rFonts w:cstheme="minorHAnsi"/>
        </w:rPr>
        <w:t xml:space="preserve">-programma kan niet openbaar worden gemaakt aangezien dat een negatief effect kan hebben op deze transactie dan wel toekomstige transacties en daarmee de belangen van de staat kan schaden. Ik zal u na afronding van het verkoopprogramma informeren over de totale opbrengst en het definitieve aantal verkochte certificaten. </w:t>
      </w:r>
      <w:bookmarkStart w:name="_Hlk179387825" w:id="0"/>
      <w:r w:rsidRPr="00B2476E">
        <w:rPr>
          <w:rFonts w:cstheme="minorHAnsi"/>
        </w:rPr>
        <w:t>De opbrengst van de verkoop is conform begrotingsregels niet kader- en EMU-saldo relevant. De opbrengst zal de staatsschuld doen afnemen, maar zal geen effect hebben op de budgettaire ruimte van het kabinet of op het EMU-saldo</w:t>
      </w:r>
      <w:bookmarkEnd w:id="0"/>
      <w:r w:rsidRPr="00B2476E">
        <w:rPr>
          <w:rFonts w:cstheme="minorHAnsi"/>
        </w:rPr>
        <w:t xml:space="preserve">. </w:t>
      </w:r>
    </w:p>
    <w:p w:rsidRPr="00B2476E" w:rsidR="001C2221" w:rsidP="001C2221" w:rsidRDefault="001C2221" w14:paraId="0E438D5E" w14:textId="77777777">
      <w:pPr>
        <w:rPr>
          <w:rFonts w:cstheme="minorHAnsi"/>
        </w:rPr>
      </w:pPr>
      <w:r w:rsidRPr="00B2476E">
        <w:rPr>
          <w:rFonts w:cstheme="minorHAnsi"/>
        </w:rPr>
        <w:t xml:space="preserve">Ik heb van NLFI twee adviezen ontvangen. Het </w:t>
      </w:r>
      <w:proofErr w:type="spellStart"/>
      <w:r w:rsidRPr="00B2476E">
        <w:rPr>
          <w:rFonts w:cstheme="minorHAnsi"/>
          <w:i/>
          <w:iCs/>
        </w:rPr>
        <w:t>window</w:t>
      </w:r>
      <w:proofErr w:type="spellEnd"/>
      <w:r w:rsidRPr="00B2476E">
        <w:rPr>
          <w:rFonts w:cstheme="minorHAnsi"/>
          <w:i/>
          <w:iCs/>
        </w:rPr>
        <w:t>-advies</w:t>
      </w:r>
      <w:r w:rsidRPr="00B2476E">
        <w:rPr>
          <w:rFonts w:cstheme="minorHAnsi"/>
        </w:rPr>
        <w:t xml:space="preserve"> van NLFI van 21 september 2024 vindt u bijgevoegd. Met dit advies heeft NLFI goedkeuring gevraagd voor het treffen van de voorbereidingen voor een </w:t>
      </w:r>
      <w:proofErr w:type="spellStart"/>
      <w:r w:rsidRPr="00B2476E">
        <w:rPr>
          <w:rFonts w:cstheme="minorHAnsi"/>
          <w:i/>
          <w:iCs/>
        </w:rPr>
        <w:t>dribble</w:t>
      </w:r>
      <w:proofErr w:type="spellEnd"/>
      <w:r w:rsidRPr="00B2476E">
        <w:rPr>
          <w:rFonts w:cstheme="minorHAnsi"/>
          <w:i/>
          <w:iCs/>
        </w:rPr>
        <w:t>-out-</w:t>
      </w:r>
      <w:r w:rsidRPr="00B2476E">
        <w:rPr>
          <w:rFonts w:cstheme="minorHAnsi"/>
        </w:rPr>
        <w:t xml:space="preserve">programma. Het </w:t>
      </w:r>
      <w:r w:rsidRPr="00B2476E">
        <w:rPr>
          <w:rFonts w:cstheme="minorHAnsi"/>
          <w:i/>
          <w:iCs/>
        </w:rPr>
        <w:t>T=nu</w:t>
      </w:r>
      <w:r w:rsidRPr="00B2476E">
        <w:rPr>
          <w:rFonts w:cstheme="minorHAnsi"/>
        </w:rPr>
        <w:t xml:space="preserve"> advies van 9 oktober 2024, waarin NLFI mij heeft geadviseerd om in te stemmen met de specifieke vormgeving en uitvoering van een verkoopprogramma, bevat marktgevoelige en vertrouwelijke informatie en kan daarom niet openbaar worden gemaakt. Het persbericht van NLFI en de beslisnota over de start van het </w:t>
      </w:r>
      <w:proofErr w:type="spellStart"/>
      <w:r w:rsidRPr="00B2476E">
        <w:rPr>
          <w:rFonts w:cstheme="minorHAnsi"/>
          <w:i/>
          <w:iCs/>
        </w:rPr>
        <w:t>dribble</w:t>
      </w:r>
      <w:proofErr w:type="spellEnd"/>
      <w:r w:rsidRPr="00B2476E">
        <w:rPr>
          <w:rFonts w:cstheme="minorHAnsi"/>
          <w:i/>
          <w:iCs/>
        </w:rPr>
        <w:t>-out</w:t>
      </w:r>
      <w:r w:rsidRPr="00B2476E">
        <w:rPr>
          <w:rFonts w:cstheme="minorHAnsi"/>
          <w:i/>
          <w:iCs/>
        </w:rPr>
        <w:softHyphen/>
      </w:r>
      <w:r w:rsidRPr="00B2476E">
        <w:rPr>
          <w:rFonts w:cstheme="minorHAnsi"/>
        </w:rPr>
        <w:t xml:space="preserve">-programma vindt u ook bijgevoegd. Bepaalde bedrijfsvertrouwelijke en marktgevoelige passages kunnen niet openbaar worden gemaakt. Openbaarmaking </w:t>
      </w:r>
      <w:r w:rsidRPr="00B2476E">
        <w:rPr>
          <w:rFonts w:cstheme="minorHAnsi"/>
        </w:rPr>
        <w:lastRenderedPageBreak/>
        <w:t>van deze passages kan een negatief effect hebben op deze transactie dan wel toekomstige transacties en daarmee de belangen van de staat schaden.</w:t>
      </w:r>
    </w:p>
    <w:p w:rsidRPr="00B2476E" w:rsidR="001C2221" w:rsidP="001C2221" w:rsidRDefault="001C2221" w14:paraId="35DDC302" w14:textId="77777777">
      <w:pPr>
        <w:rPr>
          <w:rFonts w:cstheme="minorHAnsi"/>
        </w:rPr>
      </w:pPr>
      <w:r w:rsidRPr="00B2476E">
        <w:rPr>
          <w:rFonts w:cstheme="minorHAnsi"/>
        </w:rPr>
        <w:t>Gedurende de looptijd van het programma wordt de grens van 33</w:t>
      </w:r>
      <w:r w:rsidRPr="00B2476E">
        <w:rPr>
          <w:rFonts w:cstheme="minorHAnsi"/>
          <w:vertAlign w:val="superscript"/>
        </w:rPr>
        <w:t>1</w:t>
      </w:r>
      <w:r w:rsidRPr="00B2476E">
        <w:rPr>
          <w:rFonts w:cstheme="minorHAnsi"/>
        </w:rPr>
        <w:t>/</w:t>
      </w:r>
      <w:r w:rsidRPr="00B2476E">
        <w:rPr>
          <w:rFonts w:cstheme="minorHAnsi"/>
          <w:vertAlign w:val="subscript"/>
        </w:rPr>
        <w:t>3</w:t>
      </w:r>
      <w:r w:rsidRPr="00B2476E">
        <w:rPr>
          <w:rFonts w:cstheme="minorHAnsi"/>
        </w:rPr>
        <w:t xml:space="preserve">% van het aandelenbelang van NLFI in ABN AMRO onderschreden. Voor de beursgang van ABN AMRO is een </w:t>
      </w:r>
      <w:proofErr w:type="spellStart"/>
      <w:r w:rsidRPr="00B2476E">
        <w:rPr>
          <w:rFonts w:cstheme="minorHAnsi"/>
        </w:rPr>
        <w:t>Relationship</w:t>
      </w:r>
      <w:proofErr w:type="spellEnd"/>
      <w:r w:rsidRPr="00B2476E">
        <w:rPr>
          <w:rFonts w:cstheme="minorHAnsi"/>
        </w:rPr>
        <w:t xml:space="preserve"> Agreement tussen NLFI en ABN AMRO gesloten om afspraken te maken over welke bijzondere rechten NLFI als aandeelhouder heeft. Op basis van de in de </w:t>
      </w:r>
      <w:proofErr w:type="spellStart"/>
      <w:r w:rsidRPr="00B2476E">
        <w:rPr>
          <w:rFonts w:cstheme="minorHAnsi"/>
        </w:rPr>
        <w:t>Relationship</w:t>
      </w:r>
      <w:proofErr w:type="spellEnd"/>
      <w:r w:rsidRPr="00B2476E">
        <w:rPr>
          <w:rFonts w:cstheme="minorHAnsi"/>
        </w:rPr>
        <w:t xml:space="preserve"> Agreement gemaakte afspraken tussen NLFI en ABN AMRO leidt de onderschrijding van 33</w:t>
      </w:r>
      <w:r w:rsidRPr="00B2476E">
        <w:rPr>
          <w:rFonts w:cstheme="minorHAnsi"/>
          <w:vertAlign w:val="superscript"/>
        </w:rPr>
        <w:t>1</w:t>
      </w:r>
      <w:r w:rsidRPr="00B2476E">
        <w:rPr>
          <w:rFonts w:cstheme="minorHAnsi"/>
        </w:rPr>
        <w:t>/</w:t>
      </w:r>
      <w:r w:rsidRPr="00B2476E">
        <w:rPr>
          <w:rFonts w:cstheme="minorHAnsi"/>
          <w:vertAlign w:val="subscript"/>
        </w:rPr>
        <w:t>3</w:t>
      </w:r>
      <w:r w:rsidRPr="00B2476E">
        <w:rPr>
          <w:rFonts w:cstheme="minorHAnsi"/>
        </w:rPr>
        <w:t xml:space="preserve">% automatisch tot een verlies van bepaalde bijzondere rechten. Samengevat betreft dit het goedkeuringsrecht voor uitgifte van aandelen en het goedkeuringsrecht voor investeringen met een waarde van minstens 10% van het eigen vermogen. Conform de </w:t>
      </w:r>
      <w:proofErr w:type="spellStart"/>
      <w:r w:rsidRPr="00B2476E">
        <w:rPr>
          <w:rFonts w:cstheme="minorHAnsi"/>
        </w:rPr>
        <w:t>Relationship</w:t>
      </w:r>
      <w:proofErr w:type="spellEnd"/>
      <w:r w:rsidRPr="00B2476E">
        <w:rPr>
          <w:rFonts w:cstheme="minorHAnsi"/>
        </w:rPr>
        <w:t xml:space="preserve"> Agreement behoudt NLFI onder meer de volgende bijzondere rechten: het goedkeuringsrecht van het generieke profiel van de Raad van Commissarissen (RvC), het adviesrecht voor de (her)benoeming van de Raad van Bestuur (RvB, ook wel </w:t>
      </w:r>
      <w:proofErr w:type="spellStart"/>
      <w:r w:rsidRPr="00B2476E">
        <w:rPr>
          <w:rFonts w:cstheme="minorHAnsi"/>
        </w:rPr>
        <w:t>ExBo</w:t>
      </w:r>
      <w:proofErr w:type="spellEnd"/>
      <w:r w:rsidRPr="00B2476E">
        <w:rPr>
          <w:rFonts w:cstheme="minorHAnsi"/>
        </w:rPr>
        <w:t xml:space="preserve"> genoemd), de voorzitter van de RvC en de externe accountant en informatierecht over alles omtrent beloningen voor de RvB. De </w:t>
      </w:r>
      <w:proofErr w:type="spellStart"/>
      <w:r w:rsidRPr="00B2476E">
        <w:rPr>
          <w:rFonts w:cstheme="minorHAnsi"/>
        </w:rPr>
        <w:t>Relationship</w:t>
      </w:r>
      <w:proofErr w:type="spellEnd"/>
      <w:r w:rsidRPr="00B2476E">
        <w:rPr>
          <w:rFonts w:cstheme="minorHAnsi"/>
        </w:rPr>
        <w:t xml:space="preserve"> Agreement komt te vervallen wanneer het aandelenbelang van NLFI de 10% onderschrijdt. </w:t>
      </w:r>
    </w:p>
    <w:p w:rsidRPr="00B2476E" w:rsidR="001C2221" w:rsidP="001C2221" w:rsidRDefault="001C2221" w14:paraId="64298F44" w14:textId="77777777">
      <w:pPr>
        <w:rPr>
          <w:rFonts w:cstheme="minorHAnsi"/>
        </w:rPr>
      </w:pPr>
      <w:r w:rsidRPr="00B2476E">
        <w:rPr>
          <w:rFonts w:cstheme="minorHAnsi"/>
        </w:rPr>
        <w:t>Daarnaast heeft de STAK (Stichting Administratiekantoor Continuïteit ABN AMRO Bank) niet langer meer de instemming nodig van NLFI om de stemvolmachten in te trekken in geval van een vijandige overname.</w:t>
      </w:r>
    </w:p>
    <w:p w:rsidRPr="00B2476E" w:rsidR="001C2221" w:rsidP="001C2221" w:rsidRDefault="001C2221" w14:paraId="679730F6" w14:textId="77777777">
      <w:pPr>
        <w:rPr>
          <w:rFonts w:cstheme="minorHAnsi"/>
        </w:rPr>
      </w:pPr>
      <w:bookmarkStart w:name="_Hlk179289803" w:id="1"/>
      <w:r w:rsidRPr="00B2476E">
        <w:rPr>
          <w:rFonts w:cstheme="minorHAnsi"/>
        </w:rPr>
        <w:t xml:space="preserve">In de </w:t>
      </w:r>
      <w:proofErr w:type="spellStart"/>
      <w:r w:rsidRPr="00B2476E">
        <w:rPr>
          <w:rFonts w:cstheme="minorHAnsi"/>
        </w:rPr>
        <w:t>Relationship</w:t>
      </w:r>
      <w:proofErr w:type="spellEnd"/>
      <w:r w:rsidRPr="00B2476E">
        <w:rPr>
          <w:rFonts w:cstheme="minorHAnsi"/>
        </w:rPr>
        <w:t xml:space="preserve"> Agreement is afgesproken dat bij onderschrijding van 33</w:t>
      </w:r>
      <w:r w:rsidRPr="00B2476E">
        <w:rPr>
          <w:rFonts w:cstheme="minorHAnsi"/>
          <w:vertAlign w:val="superscript"/>
        </w:rPr>
        <w:t>1</w:t>
      </w:r>
      <w:r w:rsidRPr="00B2476E">
        <w:rPr>
          <w:rFonts w:cstheme="minorHAnsi"/>
        </w:rPr>
        <w:t>/</w:t>
      </w:r>
      <w:r w:rsidRPr="00B2476E">
        <w:rPr>
          <w:rFonts w:cstheme="minorHAnsi"/>
          <w:vertAlign w:val="subscript"/>
        </w:rPr>
        <w:t>3</w:t>
      </w:r>
      <w:r w:rsidRPr="00B2476E">
        <w:rPr>
          <w:rFonts w:cstheme="minorHAnsi"/>
        </w:rPr>
        <w:t xml:space="preserve">% van het aandelenbelang van NLFI in ABN AMRO, er tussen ABN AMRO en NLFI in goed vertrouwen nieuwe afspraken worden gemaakt over de informatie- en dialoogpositie van NLFI. ABN AMRO en NLFI hebben hierover inmiddels overeenstemming bereikt. Afgesproken is dat er voor nu niets wijzigt aan de informatie- en dialoogpositie van NLFI, met uitzondering van het vervallen van het informatierecht van NLFI over (des)investeringen van € 50 miljoen of meer. Als het belang van NLFI in ABN AMRO de 15% onderschrijdt gaan NLFI en ABN AMRO opnieuw met elkaar in gesprek over de informatie- en dialoogpositie van NLFI. </w:t>
      </w:r>
      <w:bookmarkEnd w:id="1"/>
      <w:r w:rsidRPr="00B2476E">
        <w:rPr>
          <w:rFonts w:cstheme="minorHAnsi"/>
        </w:rPr>
        <w:t xml:space="preserve">Ik heb met de afspraken tussen NLFI en ABN AMRO ingestemd. Deze afspraken worden vastgelegd en door ABN AMRO en NLFI gepubliceerd op hun respectievelijke websites.    </w:t>
      </w:r>
    </w:p>
    <w:p w:rsidRPr="00B2476E" w:rsidR="001C2221" w:rsidP="001C2221" w:rsidRDefault="001C2221" w14:paraId="234778D9" w14:textId="77777777">
      <w:pPr>
        <w:rPr>
          <w:rFonts w:cstheme="minorHAnsi"/>
        </w:rPr>
      </w:pPr>
      <w:r w:rsidRPr="00B2476E">
        <w:rPr>
          <w:rFonts w:cstheme="minorHAnsi"/>
        </w:rPr>
        <w:t xml:space="preserve">Tevens zend ik u hierbij een vertrouwelijke brief over een aanpassing van de afbouwstrategie ABN AMRO. Deze informatie kan niet openbaar met uw Kamer worden gedeeld, omdat hiermee inzicht wordt gegeven in de afwegingen en strategie van de staat bij de afbouw van het belang van ABN AMRO en daarmee de belangen van de staat kan schaden. Deze brief kan openbaar gemaakt worden pas nadat het laatste aandeel van NLFI in ABN AMRO is verkocht. </w:t>
      </w:r>
    </w:p>
    <w:p w:rsidRPr="00B2476E" w:rsidR="001C2221" w:rsidP="001C2221" w:rsidRDefault="001C2221" w14:paraId="324B78B0" w14:textId="77777777">
      <w:pPr>
        <w:rPr>
          <w:rFonts w:cstheme="minorHAnsi"/>
        </w:rPr>
      </w:pPr>
    </w:p>
    <w:p w:rsidR="00B2476E" w:rsidP="00B2476E" w:rsidRDefault="00B2476E" w14:paraId="34BD1A75" w14:textId="77777777">
      <w:pPr>
        <w:pStyle w:val="Geenafstand"/>
      </w:pPr>
      <w:r>
        <w:t>D</w:t>
      </w:r>
      <w:r w:rsidRPr="00B2476E" w:rsidR="001C2221">
        <w:t>e minister van Financiën,</w:t>
      </w:r>
    </w:p>
    <w:p w:rsidRPr="00B2476E" w:rsidR="0009532B" w:rsidP="00B2476E" w:rsidRDefault="001C2221" w14:paraId="6AD9A3B9" w14:textId="2EFFA89B">
      <w:pPr>
        <w:pStyle w:val="Geenafstand"/>
      </w:pPr>
      <w:r w:rsidRPr="00B2476E">
        <w:t>E. Heinen</w:t>
      </w:r>
    </w:p>
    <w:sectPr w:rsidRPr="00B2476E" w:rsidR="0009532B" w:rsidSect="001C222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4911" w14:textId="77777777" w:rsidR="001C2221" w:rsidRDefault="001C2221" w:rsidP="001C2221">
      <w:pPr>
        <w:spacing w:after="0" w:line="240" w:lineRule="auto"/>
      </w:pPr>
      <w:r>
        <w:separator/>
      </w:r>
    </w:p>
  </w:endnote>
  <w:endnote w:type="continuationSeparator" w:id="0">
    <w:p w14:paraId="4C012D81" w14:textId="77777777" w:rsidR="001C2221" w:rsidRDefault="001C2221" w:rsidP="001C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C3CC" w14:textId="77777777" w:rsidR="001C2221" w:rsidRPr="001C2221" w:rsidRDefault="001C2221" w:rsidP="001C2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5D67" w14:textId="77777777" w:rsidR="001C2221" w:rsidRPr="001C2221" w:rsidRDefault="001C2221" w:rsidP="001C22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3586" w14:textId="77777777" w:rsidR="001C2221" w:rsidRPr="001C2221" w:rsidRDefault="001C2221" w:rsidP="001C22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5BD3" w14:textId="77777777" w:rsidR="001C2221" w:rsidRDefault="001C2221" w:rsidP="001C2221">
      <w:pPr>
        <w:spacing w:after="0" w:line="240" w:lineRule="auto"/>
      </w:pPr>
      <w:r>
        <w:separator/>
      </w:r>
    </w:p>
  </w:footnote>
  <w:footnote w:type="continuationSeparator" w:id="0">
    <w:p w14:paraId="7F27EF2E" w14:textId="77777777" w:rsidR="001C2221" w:rsidRDefault="001C2221" w:rsidP="001C2221">
      <w:pPr>
        <w:spacing w:after="0" w:line="240" w:lineRule="auto"/>
      </w:pPr>
      <w:r>
        <w:continuationSeparator/>
      </w:r>
    </w:p>
  </w:footnote>
  <w:footnote w:id="1">
    <w:p w14:paraId="76D71437" w14:textId="77777777" w:rsidR="001C2221" w:rsidRPr="00B2476E" w:rsidRDefault="001C2221" w:rsidP="001C2221">
      <w:pPr>
        <w:pStyle w:val="Voetnoottekst"/>
        <w:rPr>
          <w:rFonts w:asciiTheme="minorHAnsi" w:hAnsiTheme="minorHAnsi" w:cstheme="minorHAnsi"/>
        </w:rPr>
      </w:pPr>
      <w:r w:rsidRPr="00B2476E">
        <w:rPr>
          <w:rStyle w:val="Voetnootmarkering"/>
          <w:rFonts w:asciiTheme="minorHAnsi" w:hAnsiTheme="minorHAnsi" w:cstheme="minorHAnsi"/>
        </w:rPr>
        <w:footnoteRef/>
      </w:r>
      <w:r w:rsidRPr="00B2476E">
        <w:rPr>
          <w:rFonts w:asciiTheme="minorHAnsi" w:hAnsiTheme="minorHAnsi" w:cstheme="minorHAnsi"/>
        </w:rPr>
        <w:t xml:space="preserve"> Tweede Kamer, vergaderjaar 2023–2024, 31 789, nr. 117.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B909" w14:textId="77777777" w:rsidR="001C2221" w:rsidRPr="001C2221" w:rsidRDefault="001C2221" w:rsidP="001C2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4D74" w14:textId="77777777" w:rsidR="001C2221" w:rsidRPr="001C2221" w:rsidRDefault="001C2221" w:rsidP="001C22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61E7" w14:textId="77777777" w:rsidR="001C2221" w:rsidRPr="001C2221" w:rsidRDefault="001C2221" w:rsidP="001C22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21"/>
    <w:rsid w:val="0009532B"/>
    <w:rsid w:val="001C2221"/>
    <w:rsid w:val="009310C1"/>
    <w:rsid w:val="00B24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3E61"/>
  <w15:chartTrackingRefBased/>
  <w15:docId w15:val="{1B97A473-2B44-401B-BE09-1FA86E4C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1C222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1C222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1C222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1C222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1C222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1C222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C222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C222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C22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222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22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222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222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222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C2221"/>
    <w:rPr>
      <w:vertAlign w:val="superscript"/>
    </w:rPr>
  </w:style>
  <w:style w:type="paragraph" w:styleId="Geenafstand">
    <w:name w:val="No Spacing"/>
    <w:uiPriority w:val="1"/>
    <w:qFormat/>
    <w:rsid w:val="00B24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771</ap:Words>
  <ap:Characters>4242</ap:Characters>
  <ap:DocSecurity>0</ap:DocSecurity>
  <ap:Lines>35</ap:Lines>
  <ap:Paragraphs>10</ap:Paragraphs>
  <ap:ScaleCrop>false</ap:ScaleCrop>
  <ap:LinksUpToDate>false</ap:LinksUpToDate>
  <ap:CharactersWithSpaces>5003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2024-10-16T11:13:00.0000000Z</dcterms:created>
  <dcterms:modified xsi:type="dcterms:W3CDTF">2024-10-16T11:13:00.0000000Z</dcterms:modified>
  <version/>
  <category/>
</coreProperties>
</file>