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2A06" w:rsidP="00FB1DAE" w:rsidRDefault="00FB1DAE" w14:paraId="591E620C" w14:textId="45056D36">
      <w:r>
        <w:rPr>
          <w:b/>
          <w:bCs/>
        </w:rPr>
        <w:t>Wijziging van de Tijdelijke wet Groningen in verband met het herstel van omissies en het aanbrengen van verduidelijkingen</w:t>
      </w:r>
    </w:p>
    <w:p w:rsidR="00F42A06" w:rsidP="00F42A06" w:rsidRDefault="00F42A06" w14:paraId="7DA44CB5" w14:textId="77777777"/>
    <w:p w:rsidR="00F42A06" w:rsidP="00F42A06" w:rsidRDefault="00DC7E25" w14:paraId="231FC09B" w14:textId="77777777">
      <w:pPr>
        <w:rPr>
          <w:b/>
        </w:rPr>
      </w:pPr>
      <w:r>
        <w:rPr>
          <w:b/>
        </w:rPr>
        <w:t>NOTA VAN WIJZIGING</w:t>
      </w:r>
    </w:p>
    <w:p w:rsidR="00FB1DAE" w:rsidP="00F42A06" w:rsidRDefault="00FB1DAE" w14:paraId="142CAFBC" w14:textId="77777777"/>
    <w:p w:rsidR="00F42A06" w:rsidP="00F42A06" w:rsidRDefault="00DC7E25" w14:paraId="115E8655" w14:textId="77777777">
      <w:r>
        <w:tab/>
        <w:t>Het voorstel van wet wordt als volgt gewijzigd:</w:t>
      </w:r>
    </w:p>
    <w:p w:rsidR="00F42A06" w:rsidP="00F42A06" w:rsidRDefault="00F42A06" w14:paraId="725425D8" w14:textId="77777777"/>
    <w:p w:rsidRPr="00FB1DAE" w:rsidR="00FB1DAE" w:rsidP="00FB1DAE" w:rsidRDefault="00DC7E25" w14:paraId="213CCDCD" w14:textId="77777777">
      <w:r>
        <w:t>A</w:t>
      </w:r>
      <w:r w:rsidR="00FB1DAE">
        <w:t xml:space="preserve"> </w:t>
      </w:r>
    </w:p>
    <w:p w:rsidR="0017408C" w:rsidP="00FB1DAE" w:rsidRDefault="0017408C" w14:paraId="2AEF42DF" w14:textId="77777777"/>
    <w:p w:rsidR="0017408C" w:rsidP="0046347E" w:rsidRDefault="0073357B" w14:paraId="62F8F9E2" w14:textId="31654AE3">
      <w:pPr>
        <w:ind w:firstLine="720"/>
      </w:pPr>
      <w:r>
        <w:t xml:space="preserve">In </w:t>
      </w:r>
      <w:r w:rsidR="0017408C">
        <w:t>artikel I</w:t>
      </w:r>
      <w:r>
        <w:t xml:space="preserve"> wordt voor</w:t>
      </w:r>
      <w:r w:rsidR="0017408C">
        <w:t xml:space="preserve"> onderdeel A een onderdeel </w:t>
      </w:r>
      <w:r>
        <w:t>in</w:t>
      </w:r>
      <w:r w:rsidR="0017408C">
        <w:t>gevoegd, luidende:</w:t>
      </w:r>
    </w:p>
    <w:p w:rsidR="0017408C" w:rsidP="00FB1DAE" w:rsidRDefault="0017408C" w14:paraId="2F22E4F4" w14:textId="77777777"/>
    <w:p w:rsidR="0017408C" w:rsidP="00FB1DAE" w:rsidRDefault="0017408C" w14:paraId="0F6AF97A" w14:textId="2BDFDB3C">
      <w:proofErr w:type="spellStart"/>
      <w:r>
        <w:t>aA</w:t>
      </w:r>
      <w:proofErr w:type="spellEnd"/>
    </w:p>
    <w:p w:rsidR="0017408C" w:rsidP="00FB1DAE" w:rsidRDefault="0017408C" w14:paraId="017BA9D9" w14:textId="77777777"/>
    <w:p w:rsidR="0017408C" w:rsidP="0046347E" w:rsidRDefault="0017408C" w14:paraId="7607B7A4" w14:textId="3B9685B4">
      <w:pPr>
        <w:ind w:firstLine="720"/>
      </w:pPr>
      <w:r>
        <w:t xml:space="preserve">In artikel 1 wordt </w:t>
      </w:r>
      <w:r w:rsidR="0002070C">
        <w:t xml:space="preserve">in de begripsomschrijving van </w:t>
      </w:r>
      <w:r w:rsidRPr="0002070C" w:rsidR="0002070C">
        <w:rPr>
          <w:i/>
          <w:iCs/>
        </w:rPr>
        <w:t>Onze Minister</w:t>
      </w:r>
      <w:r w:rsidR="0002070C">
        <w:t xml:space="preserve"> </w:t>
      </w:r>
      <w:r>
        <w:t xml:space="preserve">‘Economische Zaken en Klimaat’ vervangen door ‘Binnenlandse Zaken en Koninkrijksrelaties’. </w:t>
      </w:r>
    </w:p>
    <w:p w:rsidR="0017408C" w:rsidP="00FB1DAE" w:rsidRDefault="0017408C" w14:paraId="6296BF84" w14:textId="77777777"/>
    <w:p w:rsidR="0017408C" w:rsidP="00FB1DAE" w:rsidRDefault="0017408C" w14:paraId="078A9C1D" w14:textId="77777777"/>
    <w:p w:rsidR="000077A8" w:rsidP="000077A8" w:rsidRDefault="0017408C" w14:paraId="45AC3BB5" w14:textId="77777777">
      <w:r>
        <w:t>B</w:t>
      </w:r>
    </w:p>
    <w:p w:rsidR="00FB1DAE" w:rsidP="000077A8" w:rsidRDefault="000077A8" w14:paraId="34AFEE8A" w14:textId="408A636D">
      <w:r>
        <w:t xml:space="preserve">           </w:t>
      </w:r>
      <w:r w:rsidR="00FB1DAE">
        <w:t>In artikel I, onderdeel K</w:t>
      </w:r>
      <w:r w:rsidR="002C1CF8">
        <w:t>,</w:t>
      </w:r>
      <w:r w:rsidR="00FB1DAE">
        <w:t xml:space="preserve"> wordt onder vernummering van het eerste en</w:t>
      </w:r>
      <w:r w:rsidR="000E448A">
        <w:t xml:space="preserve"> </w:t>
      </w:r>
      <w:r w:rsidR="00FB1DAE">
        <w:t xml:space="preserve">tweede </w:t>
      </w:r>
      <w:r w:rsidR="002C1CF8">
        <w:t xml:space="preserve">subonderdeel </w:t>
      </w:r>
      <w:r w:rsidR="00FB1DAE">
        <w:t xml:space="preserve">tot tweede en derde </w:t>
      </w:r>
      <w:r w:rsidR="002C1CF8">
        <w:t xml:space="preserve">subonderdeel </w:t>
      </w:r>
      <w:r w:rsidR="00FB1DAE">
        <w:t xml:space="preserve">een </w:t>
      </w:r>
      <w:r w:rsidR="002C1CF8">
        <w:t xml:space="preserve">subonderdeel </w:t>
      </w:r>
      <w:r w:rsidR="00FB1DAE">
        <w:t xml:space="preserve">ingevoegd, luidende: </w:t>
      </w:r>
    </w:p>
    <w:p w:rsidR="00FB1DAE" w:rsidP="00FB1DAE" w:rsidRDefault="00FB1DAE" w14:paraId="5C5EFF65" w14:textId="77777777"/>
    <w:p w:rsidR="00FB1DAE" w:rsidP="00FB1DAE" w:rsidRDefault="00FB1DAE" w14:paraId="4378A8AC" w14:textId="77777777">
      <w:r>
        <w:t>1. Het tweede lid komt te luiden:</w:t>
      </w:r>
    </w:p>
    <w:p w:rsidR="00FB1DAE" w:rsidP="00FB1DAE" w:rsidRDefault="00FB1DAE" w14:paraId="06EBA64E" w14:textId="77777777"/>
    <w:p w:rsidR="00FB1DAE" w:rsidP="00FB1DAE" w:rsidRDefault="00BF76E1" w14:paraId="1957AD52" w14:textId="6DC97359">
      <w:pPr>
        <w:pStyle w:val="Lijstalinea"/>
        <w:numPr>
          <w:ilvl w:val="0"/>
          <w:numId w:val="5"/>
        </w:numPr>
      </w:pPr>
      <w:r>
        <w:t>M</w:t>
      </w:r>
      <w:r w:rsidR="00FB1DAE">
        <w:t>et</w:t>
      </w:r>
      <w:r w:rsidR="00702467">
        <w:t xml:space="preserve"> ingang van de datum van</w:t>
      </w:r>
      <w:r w:rsidR="00FB1DAE">
        <w:t xml:space="preserve"> inwerkingtreding van hoofdstuk </w:t>
      </w:r>
      <w:r w:rsidR="00702467">
        <w:t>5</w:t>
      </w:r>
      <w:r w:rsidR="00FB1DAE">
        <w:t xml:space="preserve"> </w:t>
      </w:r>
      <w:r>
        <w:t>wordt een krachtens artikel 52g van de Mijnbouwwet</w:t>
      </w:r>
      <w:r w:rsidR="00FB1DAE">
        <w:t>:</w:t>
      </w:r>
    </w:p>
    <w:p w:rsidR="00FB1DAE" w:rsidP="00FB1DAE" w:rsidRDefault="00BF76E1" w14:paraId="53A0D1FE" w14:textId="736EDDF2">
      <w:pPr>
        <w:pStyle w:val="Lijstalinea"/>
        <w:numPr>
          <w:ilvl w:val="1"/>
          <w:numId w:val="5"/>
        </w:numPr>
      </w:pPr>
      <w:r>
        <w:t>vastgesteld risicoprofiel gelijkgesteld met e</w:t>
      </w:r>
      <w:r w:rsidR="00FB1DAE">
        <w:t>en risicoprofiel als bedoeld in artikel 13</w:t>
      </w:r>
      <w:r w:rsidRPr="00FB1DAE" w:rsidR="00FB1DAE">
        <w:t>e</w:t>
      </w:r>
      <w:r w:rsidR="00FB1DAE">
        <w:t>, eerste lid;</w:t>
      </w:r>
    </w:p>
    <w:p w:rsidR="00FB1DAE" w:rsidP="00FB1DAE" w:rsidRDefault="00BF76E1" w14:paraId="5BA4E7BF" w14:textId="0AE4F100">
      <w:pPr>
        <w:pStyle w:val="Lijstalinea"/>
        <w:numPr>
          <w:ilvl w:val="1"/>
          <w:numId w:val="5"/>
        </w:numPr>
      </w:pPr>
      <w:r>
        <w:t xml:space="preserve">vastgestelde </w:t>
      </w:r>
      <w:r w:rsidR="00FB1DAE">
        <w:t>beoordeling of een gebouw voldoet aan de</w:t>
      </w:r>
      <w:r w:rsidR="00702467">
        <w:t xml:space="preserve"> </w:t>
      </w:r>
      <w:r w:rsidR="00FB1DAE">
        <w:t xml:space="preserve">veiligheidsnorm of een besluit daarover </w:t>
      </w:r>
      <w:r>
        <w:t>gelijkgesteld met een beoordeling als bedoeld in artikel 13i, eerste lid</w:t>
      </w:r>
      <w:r w:rsidR="00FB1DAE">
        <w:t>;</w:t>
      </w:r>
    </w:p>
    <w:p w:rsidR="00FB1DAE" w:rsidP="00FB1DAE" w:rsidRDefault="00941600" w14:paraId="605B687F" w14:textId="476C2A83">
      <w:pPr>
        <w:pStyle w:val="Lijstalinea"/>
        <w:numPr>
          <w:ilvl w:val="1"/>
          <w:numId w:val="5"/>
        </w:numPr>
      </w:pPr>
      <w:r>
        <w:t xml:space="preserve">genomen </w:t>
      </w:r>
      <w:r w:rsidR="00FB1DAE">
        <w:t xml:space="preserve">besluit tot versterken of </w:t>
      </w:r>
      <w:r>
        <w:t xml:space="preserve">gesloten </w:t>
      </w:r>
      <w:r w:rsidR="00FB1DAE">
        <w:t xml:space="preserve">overeenkomst tot vergoeding van kosten voor het treffen van versterkingsmaatregelen </w:t>
      </w:r>
      <w:r>
        <w:t>gelijkgesteld met een versterkingsbesluit</w:t>
      </w:r>
      <w:r w:rsidR="00FB1DAE">
        <w:t>; en</w:t>
      </w:r>
      <w:r w:rsidRPr="00941600">
        <w:t xml:space="preserve"> </w:t>
      </w:r>
    </w:p>
    <w:p w:rsidR="00FB1DAE" w:rsidP="00FB1DAE" w:rsidRDefault="00941600" w14:paraId="2DC4AF5F" w14:textId="23D149F0">
      <w:pPr>
        <w:pStyle w:val="Lijstalinea"/>
        <w:numPr>
          <w:ilvl w:val="1"/>
          <w:numId w:val="5"/>
        </w:numPr>
      </w:pPr>
      <w:r>
        <w:t>genomen besluit tot niet-versterken gelijkgesteld met e</w:t>
      </w:r>
      <w:r w:rsidR="00FB1DAE">
        <w:t>en besluit als bedoeld in artikel 13i, zesde lid</w:t>
      </w:r>
      <w:r w:rsidR="008F3194">
        <w:t>,</w:t>
      </w:r>
      <w:r w:rsidR="00FB1DAE">
        <w:t xml:space="preserve"> of 13k, eerste lid.</w:t>
      </w:r>
    </w:p>
    <w:p w:rsidR="0002070C" w:rsidRDefault="0002070C" w14:paraId="6D88A42E" w14:textId="76B53928">
      <w:pPr>
        <w:spacing w:after="200" w:line="276" w:lineRule="auto"/>
      </w:pPr>
      <w:r>
        <w:br w:type="page"/>
      </w:r>
    </w:p>
    <w:p w:rsidR="00F42A06" w:rsidP="00F42A06" w:rsidRDefault="00DC7E25" w14:paraId="5A9EDF6B" w14:textId="77777777">
      <w:pPr>
        <w:rPr>
          <w:b/>
        </w:rPr>
      </w:pPr>
      <w:r>
        <w:rPr>
          <w:b/>
        </w:rPr>
        <w:lastRenderedPageBreak/>
        <w:t>TOELICHTING</w:t>
      </w:r>
    </w:p>
    <w:p w:rsidR="00F42A06" w:rsidP="00F42A06" w:rsidRDefault="00F42A06" w14:paraId="1BEDF4C6" w14:textId="77777777"/>
    <w:p w:rsidR="00F42A06" w:rsidP="00F42A06" w:rsidRDefault="00DC7E25" w14:paraId="12D40ECC" w14:textId="77777777">
      <w:pPr>
        <w:rPr>
          <w:b/>
        </w:rPr>
      </w:pPr>
      <w:r>
        <w:rPr>
          <w:b/>
        </w:rPr>
        <w:t>I Algemeen</w:t>
      </w:r>
    </w:p>
    <w:p w:rsidR="00F42A06" w:rsidP="00F42A06" w:rsidRDefault="00F42A06" w14:paraId="6C486ACB" w14:textId="77777777">
      <w:pPr>
        <w:rPr>
          <w:b/>
        </w:rPr>
      </w:pPr>
    </w:p>
    <w:p w:rsidR="0017408C" w:rsidP="00702467" w:rsidRDefault="00702467" w14:paraId="1BB2C2AB" w14:textId="3541E868">
      <w:pPr>
        <w:ind w:firstLine="720"/>
        <w:rPr>
          <w:bCs/>
        </w:rPr>
      </w:pPr>
      <w:r>
        <w:rPr>
          <w:bCs/>
        </w:rPr>
        <w:t>Met deze nota van wijziging word</w:t>
      </w:r>
      <w:r w:rsidR="0073357B">
        <w:rPr>
          <w:bCs/>
        </w:rPr>
        <w:t>t</w:t>
      </w:r>
      <w:r w:rsidR="000077A8">
        <w:rPr>
          <w:bCs/>
        </w:rPr>
        <w:t xml:space="preserve"> een technische wijziging </w:t>
      </w:r>
      <w:r w:rsidR="0073357B">
        <w:rPr>
          <w:bCs/>
        </w:rPr>
        <w:t xml:space="preserve">doorgevoerd </w:t>
      </w:r>
      <w:r w:rsidR="000077A8">
        <w:rPr>
          <w:bCs/>
        </w:rPr>
        <w:t xml:space="preserve">en </w:t>
      </w:r>
      <w:r>
        <w:rPr>
          <w:bCs/>
        </w:rPr>
        <w:t xml:space="preserve">een additionele omissie </w:t>
      </w:r>
      <w:r w:rsidR="0073357B">
        <w:rPr>
          <w:bCs/>
        </w:rPr>
        <w:t>hersteld in het</w:t>
      </w:r>
      <w:r>
        <w:rPr>
          <w:bCs/>
        </w:rPr>
        <w:t xml:space="preserve"> wetsvoorstel. </w:t>
      </w:r>
    </w:p>
    <w:p w:rsidR="0017408C" w:rsidP="00702467" w:rsidRDefault="0017408C" w14:paraId="439E9494" w14:textId="77777777">
      <w:pPr>
        <w:ind w:firstLine="720"/>
        <w:rPr>
          <w:bCs/>
        </w:rPr>
      </w:pPr>
    </w:p>
    <w:p w:rsidR="0017408C" w:rsidP="00702467" w:rsidRDefault="0017408C" w14:paraId="3DEEAA8E" w14:textId="78EE679A">
      <w:pPr>
        <w:ind w:firstLine="720"/>
        <w:rPr>
          <w:bCs/>
        </w:rPr>
      </w:pPr>
      <w:r>
        <w:rPr>
          <w:bCs/>
        </w:rPr>
        <w:t xml:space="preserve">Met onderdeel A wordt </w:t>
      </w:r>
      <w:r w:rsidR="00C3632C">
        <w:rPr>
          <w:bCs/>
        </w:rPr>
        <w:t xml:space="preserve">een onderdeel </w:t>
      </w:r>
      <w:r w:rsidR="0073357B">
        <w:rPr>
          <w:bCs/>
        </w:rPr>
        <w:t xml:space="preserve">in </w:t>
      </w:r>
      <w:r w:rsidR="00C3632C">
        <w:rPr>
          <w:bCs/>
        </w:rPr>
        <w:t xml:space="preserve">het wetsvoorstel </w:t>
      </w:r>
      <w:r w:rsidR="0073357B">
        <w:rPr>
          <w:bCs/>
        </w:rPr>
        <w:t>in</w:t>
      </w:r>
      <w:r w:rsidR="00C3632C">
        <w:rPr>
          <w:bCs/>
        </w:rPr>
        <w:t>gevoegd om de begripsbepaling</w:t>
      </w:r>
      <w:r w:rsidR="00B50007">
        <w:rPr>
          <w:bCs/>
        </w:rPr>
        <w:t>en</w:t>
      </w:r>
      <w:r w:rsidR="00C3632C">
        <w:rPr>
          <w:bCs/>
        </w:rPr>
        <w:t xml:space="preserve"> van de Tijdelijke wet Groningen (hierna: TwG) aan te passen. Aangezien de portefeuilleverdeling van de bewindspersonen gewijzigd is met het aantreden van </w:t>
      </w:r>
      <w:r w:rsidR="00B50007">
        <w:rPr>
          <w:bCs/>
        </w:rPr>
        <w:t>het</w:t>
      </w:r>
      <w:r w:rsidR="00C3632C">
        <w:rPr>
          <w:bCs/>
        </w:rPr>
        <w:t xml:space="preserve"> kabinet</w:t>
      </w:r>
      <w:r w:rsidR="00B50007">
        <w:rPr>
          <w:bCs/>
        </w:rPr>
        <w:t xml:space="preserve"> Schoof</w:t>
      </w:r>
      <w:r w:rsidR="00C3632C">
        <w:rPr>
          <w:bCs/>
        </w:rPr>
        <w:t>, val</w:t>
      </w:r>
      <w:r w:rsidR="00B50007">
        <w:rPr>
          <w:bCs/>
        </w:rPr>
        <w:t>len de taken en bevoegdheden in</w:t>
      </w:r>
      <w:r w:rsidR="00C3632C">
        <w:rPr>
          <w:bCs/>
        </w:rPr>
        <w:t xml:space="preserve"> de TwG onder de Minister van Binnenlandse Zaken en Koninkrijksrelaties. </w:t>
      </w:r>
      <w:r w:rsidR="00B50007">
        <w:rPr>
          <w:bCs/>
        </w:rPr>
        <w:t xml:space="preserve">In de praktijk worden deze taken en bevoegdheden uitgeoefend door de </w:t>
      </w:r>
      <w:r w:rsidR="00B50007">
        <w:t>Staatssecretaris van Binnenlandse Zaken en Koninkrijksrelaties – Herstel Groningen.</w:t>
      </w:r>
      <w:r w:rsidR="00B50007">
        <w:rPr>
          <w:bCs/>
        </w:rPr>
        <w:t xml:space="preserve"> </w:t>
      </w:r>
      <w:r w:rsidR="00C3632C">
        <w:rPr>
          <w:bCs/>
        </w:rPr>
        <w:t xml:space="preserve">De voorgestelde wijziging weerspiegelt dit door in de </w:t>
      </w:r>
      <w:r w:rsidRPr="0046347E" w:rsidR="00C3632C">
        <w:rPr>
          <w:bCs/>
        </w:rPr>
        <w:t>Tw</w:t>
      </w:r>
      <w:r w:rsidR="00C3632C">
        <w:rPr>
          <w:bCs/>
        </w:rPr>
        <w:t xml:space="preserve">G ‘Onze Minister van Economische </w:t>
      </w:r>
      <w:r w:rsidR="000077A8">
        <w:rPr>
          <w:bCs/>
        </w:rPr>
        <w:t>Z</w:t>
      </w:r>
      <w:r w:rsidR="00C3632C">
        <w:rPr>
          <w:bCs/>
        </w:rPr>
        <w:t xml:space="preserve">aken en Klimaat’ aan te passen naar ‘Onze Minister van Binnenlandse Zaken en Koninkrijksrelaties’. </w:t>
      </w:r>
    </w:p>
    <w:p w:rsidR="0017408C" w:rsidP="00702467" w:rsidRDefault="0017408C" w14:paraId="5EFD8F8D" w14:textId="77777777">
      <w:pPr>
        <w:ind w:firstLine="720"/>
        <w:rPr>
          <w:bCs/>
        </w:rPr>
      </w:pPr>
    </w:p>
    <w:p w:rsidRPr="00702467" w:rsidR="00702467" w:rsidP="00702467" w:rsidRDefault="00C3632C" w14:paraId="01F24516" w14:textId="73CC7167">
      <w:pPr>
        <w:ind w:firstLine="720"/>
        <w:rPr>
          <w:bCs/>
        </w:rPr>
      </w:pPr>
      <w:r>
        <w:rPr>
          <w:bCs/>
        </w:rPr>
        <w:t>Met onderdeel B wordt artikel I</w:t>
      </w:r>
      <w:r w:rsidR="00B50007">
        <w:rPr>
          <w:bCs/>
        </w:rPr>
        <w:t>,</w:t>
      </w:r>
      <w:r>
        <w:rPr>
          <w:bCs/>
        </w:rPr>
        <w:t xml:space="preserve"> onderdeel K</w:t>
      </w:r>
      <w:r w:rsidR="00B50007">
        <w:rPr>
          <w:bCs/>
        </w:rPr>
        <w:t>,</w:t>
      </w:r>
      <w:r>
        <w:rPr>
          <w:bCs/>
        </w:rPr>
        <w:t xml:space="preserve"> van het wetsvoorstel aangepast. In onderdeel K wordt voorgesteld om artikel 22b van de TwG aan te passen. D</w:t>
      </w:r>
      <w:r w:rsidR="0073357B">
        <w:rPr>
          <w:bCs/>
        </w:rPr>
        <w:t>a</w:t>
      </w:r>
      <w:r>
        <w:rPr>
          <w:bCs/>
        </w:rPr>
        <w:t>t artikel</w:t>
      </w:r>
      <w:r w:rsidR="00702467">
        <w:rPr>
          <w:bCs/>
        </w:rPr>
        <w:t xml:space="preserve"> voorziet</w:t>
      </w:r>
      <w:r>
        <w:rPr>
          <w:bCs/>
        </w:rPr>
        <w:t xml:space="preserve"> </w:t>
      </w:r>
      <w:r w:rsidR="00702467">
        <w:rPr>
          <w:bCs/>
        </w:rPr>
        <w:t xml:space="preserve">in </w:t>
      </w:r>
      <w:r>
        <w:rPr>
          <w:bCs/>
        </w:rPr>
        <w:t xml:space="preserve">de </w:t>
      </w:r>
      <w:r w:rsidR="00702467">
        <w:rPr>
          <w:bCs/>
        </w:rPr>
        <w:t>gelijkstelling van risicoprofielen, beoordelingen en besluiten die op grond van artikel 52g van de Mijnbouwwet zijn vastgesteld of genomen</w:t>
      </w:r>
      <w:r w:rsidR="000077A8">
        <w:rPr>
          <w:bCs/>
        </w:rPr>
        <w:t>,</w:t>
      </w:r>
      <w:r w:rsidR="00702467">
        <w:rPr>
          <w:bCs/>
        </w:rPr>
        <w:t xml:space="preserve"> aan risicoprofielen, beoordelingen en besluiten die op grond van hoofdstuk 5 van de </w:t>
      </w:r>
      <w:r>
        <w:rPr>
          <w:bCs/>
        </w:rPr>
        <w:t>TwG</w:t>
      </w:r>
      <w:r w:rsidR="00702467">
        <w:rPr>
          <w:bCs/>
        </w:rPr>
        <w:t xml:space="preserve"> worden vastgesteld of genomen. </w:t>
      </w:r>
      <w:r>
        <w:rPr>
          <w:bCs/>
        </w:rPr>
        <w:t>Met</w:t>
      </w:r>
      <w:r w:rsidR="00702467">
        <w:rPr>
          <w:bCs/>
        </w:rPr>
        <w:t xml:space="preserve"> de </w:t>
      </w:r>
      <w:r>
        <w:rPr>
          <w:bCs/>
        </w:rPr>
        <w:t xml:space="preserve">voorgestelde </w:t>
      </w:r>
      <w:r w:rsidR="00702467">
        <w:rPr>
          <w:bCs/>
        </w:rPr>
        <w:t xml:space="preserve">wijziging </w:t>
      </w:r>
      <w:r>
        <w:rPr>
          <w:bCs/>
        </w:rPr>
        <w:t xml:space="preserve">wordt </w:t>
      </w:r>
      <w:r w:rsidR="00702467">
        <w:rPr>
          <w:bCs/>
        </w:rPr>
        <w:t>de gelijkstelling van een overeenkomst tot vergoeding van kosten voor het treffen van versterkingsmaatregelen (ook wel: een vaststellingsovereenkomst)</w:t>
      </w:r>
      <w:r w:rsidR="000077A8">
        <w:rPr>
          <w:bCs/>
        </w:rPr>
        <w:t>,</w:t>
      </w:r>
      <w:r w:rsidR="00702467">
        <w:rPr>
          <w:bCs/>
        </w:rPr>
        <w:t xml:space="preserve"> aan een versterkingsbesluit</w:t>
      </w:r>
      <w:r>
        <w:rPr>
          <w:bCs/>
        </w:rPr>
        <w:t xml:space="preserve"> </w:t>
      </w:r>
      <w:r w:rsidR="00702467">
        <w:rPr>
          <w:bCs/>
        </w:rPr>
        <w:t>toegevoegd</w:t>
      </w:r>
      <w:r w:rsidR="000077A8">
        <w:rPr>
          <w:bCs/>
        </w:rPr>
        <w:t xml:space="preserve"> aan </w:t>
      </w:r>
      <w:r w:rsidR="0002070C">
        <w:rPr>
          <w:bCs/>
        </w:rPr>
        <w:t>dit artikel</w:t>
      </w:r>
      <w:r w:rsidR="00702467">
        <w:rPr>
          <w:bCs/>
        </w:rPr>
        <w:t xml:space="preserve">. Dit is wenselijk, omdat het voorkomt dat er </w:t>
      </w:r>
      <w:r>
        <w:rPr>
          <w:bCs/>
        </w:rPr>
        <w:t xml:space="preserve">binnen de versterkingsoperatie </w:t>
      </w:r>
      <w:r w:rsidR="00702467">
        <w:rPr>
          <w:bCs/>
        </w:rPr>
        <w:t xml:space="preserve">verschillen </w:t>
      </w:r>
      <w:r w:rsidR="000077A8">
        <w:rPr>
          <w:bCs/>
        </w:rPr>
        <w:t xml:space="preserve">ontstaan </w:t>
      </w:r>
      <w:r w:rsidR="00702467">
        <w:rPr>
          <w:bCs/>
        </w:rPr>
        <w:t xml:space="preserve">tussen inwoners die een vaststellingsovereenkomst hebben ontvangen ten behoeve van de versterking van hun gebouw en andere inwoners die </w:t>
      </w:r>
      <w:r>
        <w:rPr>
          <w:bCs/>
        </w:rPr>
        <w:t xml:space="preserve">in dezelfde periode </w:t>
      </w:r>
      <w:r w:rsidR="00702467">
        <w:rPr>
          <w:bCs/>
        </w:rPr>
        <w:t>een besluit tot versterking hebben ontvangen. Inwoners die een vaststellingsovereenkomst hebben ontvangen komen middels de voorgestelde wijziging in aanmerking voor dezelfde aanvullende vergoedingen als andere inwoners van het aardbevingsgebied die te maken hebben (gehad) met versterking van hun gebouw.</w:t>
      </w:r>
    </w:p>
    <w:p w:rsidR="00F42A06" w:rsidP="00F42A06" w:rsidRDefault="00F42A06" w14:paraId="4651109E" w14:textId="77777777">
      <w:pPr>
        <w:rPr>
          <w:b/>
        </w:rPr>
      </w:pPr>
    </w:p>
    <w:p w:rsidR="00702467" w:rsidP="00F42A06" w:rsidRDefault="00702467" w14:paraId="2EF75D03" w14:textId="77777777">
      <w:pPr>
        <w:rPr>
          <w:b/>
          <w:i/>
        </w:rPr>
      </w:pPr>
    </w:p>
    <w:p w:rsidR="00F42A06" w:rsidP="00F42A06" w:rsidRDefault="00F42A06" w14:paraId="62B7FDE0" w14:textId="77777777"/>
    <w:p w:rsidR="003A565C" w:rsidP="00F42A06" w:rsidRDefault="00702467" w14:paraId="7141DB63" w14:textId="062FB62F">
      <w:r>
        <w:t xml:space="preserve">De Staatssecretaris van </w:t>
      </w:r>
      <w:r w:rsidR="0017408C">
        <w:t>Binnenlandse Zaken en Koninkrijksrelaties</w:t>
      </w:r>
      <w:r w:rsidR="003A565C">
        <w:t>,</w:t>
      </w:r>
    </w:p>
    <w:p w:rsidRPr="003A565C" w:rsidR="00F42A06" w:rsidP="00F42A06" w:rsidRDefault="00B50007" w14:paraId="479366A5" w14:textId="6F6CD009">
      <w:pPr>
        <w:rPr>
          <w:i/>
          <w:iCs/>
        </w:rPr>
      </w:pPr>
      <w:r w:rsidRPr="003A565C">
        <w:rPr>
          <w:i/>
          <w:iCs/>
        </w:rPr>
        <w:t>Herstel Groningen</w:t>
      </w:r>
    </w:p>
    <w:p w:rsidR="0017408C" w:rsidP="00F42A06" w:rsidRDefault="0017408C" w14:paraId="0717DBEA" w14:textId="77777777"/>
    <w:p w:rsidR="00F42A06" w:rsidP="00F42A06" w:rsidRDefault="00F42A06" w14:paraId="7E82EAA0" w14:textId="77777777"/>
    <w:p w:rsidRPr="00F42A06" w:rsidR="00897093" w:rsidP="00F42A06" w:rsidRDefault="00897093" w14:paraId="7F70053E" w14:textId="77777777"/>
    <w:sectPr w:rsidRPr="00F42A06" w:rsidR="00897093" w:rsidSect="00DE555F">
      <w:footerReference w:type="even" r:id="rId7"/>
      <w:footerReference w:type="first" r:id="rId8"/>
      <w:pgSz w:w="11907" w:h="16839" w:code="9"/>
      <w:pgMar w:top="2398" w:right="2818" w:bottom="1077" w:left="1559" w:header="720" w:footer="720" w:gutter="0"/>
      <w:cols w:space="72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36B73" w14:textId="77777777" w:rsidR="005A4144" w:rsidRDefault="005A4144" w:rsidP="00702467">
      <w:pPr>
        <w:spacing w:line="240" w:lineRule="auto"/>
      </w:pPr>
      <w:r>
        <w:separator/>
      </w:r>
    </w:p>
  </w:endnote>
  <w:endnote w:type="continuationSeparator" w:id="0">
    <w:p w14:paraId="047704E7" w14:textId="77777777" w:rsidR="005A4144" w:rsidRDefault="005A4144" w:rsidP="007024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IX Barcode">
    <w:panose1 w:val="020B7200000000000000"/>
    <w:charset w:val="00"/>
    <w:family w:val="swiss"/>
    <w:pitch w:val="variable"/>
    <w:sig w:usb0="8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165F" w14:textId="77777777" w:rsidR="00702467" w:rsidRDefault="00702467">
    <w:pPr>
      <w:pStyle w:val="Voettekst"/>
    </w:pPr>
    <w:r>
      <w:rPr>
        <w:noProof/>
      </w:rPr>
      <mc:AlternateContent>
        <mc:Choice Requires="wps">
          <w:drawing>
            <wp:anchor distT="0" distB="0" distL="0" distR="0" simplePos="0" relativeHeight="251659264" behindDoc="0" locked="0" layoutInCell="1" allowOverlap="1" wp14:anchorId="6870A7AE" wp14:editId="44DDA084">
              <wp:simplePos x="635" y="635"/>
              <wp:positionH relativeFrom="page">
                <wp:align>left</wp:align>
              </wp:positionH>
              <wp:positionV relativeFrom="page">
                <wp:align>bottom</wp:align>
              </wp:positionV>
              <wp:extent cx="443865" cy="443865"/>
              <wp:effectExtent l="0" t="0" r="4445" b="0"/>
              <wp:wrapNone/>
              <wp:docPr id="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24CD77" w14:textId="77777777" w:rsidR="00702467" w:rsidRPr="00702467" w:rsidRDefault="00702467" w:rsidP="00702467">
                          <w:pPr>
                            <w:rPr>
                              <w:rFonts w:ascii="Calibri" w:eastAsia="Calibri" w:hAnsi="Calibri" w:cs="Calibri"/>
                              <w:noProof/>
                              <w:color w:val="000000"/>
                              <w:sz w:val="20"/>
                              <w:szCs w:val="20"/>
                            </w:rPr>
                          </w:pPr>
                          <w:r w:rsidRPr="00702467">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70A7AE" id="_x0000_t202" coordsize="21600,21600" o:spt="202" path="m,l,21600r21600,l21600,xe">
              <v:stroke joinstyle="miter"/>
              <v:path gradientshapeok="t" o:connecttype="rect"/>
            </v:shapetype>
            <v:shape id="Tekstvak 2" o:spid="_x0000_s1026" type="#_x0000_t202" alt="Intern gebruik"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524CD77" w14:textId="77777777" w:rsidR="00702467" w:rsidRPr="00702467" w:rsidRDefault="00702467" w:rsidP="00702467">
                    <w:pPr>
                      <w:rPr>
                        <w:rFonts w:ascii="Calibri" w:eastAsia="Calibri" w:hAnsi="Calibri" w:cs="Calibri"/>
                        <w:noProof/>
                        <w:color w:val="000000"/>
                        <w:sz w:val="20"/>
                        <w:szCs w:val="20"/>
                      </w:rPr>
                    </w:pPr>
                    <w:r w:rsidRPr="00702467">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9F8C0" w14:textId="77777777" w:rsidR="00702467" w:rsidRDefault="00702467">
    <w:pPr>
      <w:pStyle w:val="Voettekst"/>
    </w:pPr>
    <w:r>
      <w:rPr>
        <w:noProof/>
      </w:rPr>
      <mc:AlternateContent>
        <mc:Choice Requires="wps">
          <w:drawing>
            <wp:anchor distT="0" distB="0" distL="0" distR="0" simplePos="0" relativeHeight="251658240" behindDoc="0" locked="0" layoutInCell="1" allowOverlap="1" wp14:anchorId="30B1C2C5" wp14:editId="2E89BD02">
              <wp:simplePos x="635" y="635"/>
              <wp:positionH relativeFrom="page">
                <wp:align>left</wp:align>
              </wp:positionH>
              <wp:positionV relativeFrom="page">
                <wp:align>bottom</wp:align>
              </wp:positionV>
              <wp:extent cx="443865" cy="443865"/>
              <wp:effectExtent l="0" t="0" r="4445" b="0"/>
              <wp:wrapNone/>
              <wp:docPr id="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7A6088" w14:textId="77777777" w:rsidR="00702467" w:rsidRPr="00702467" w:rsidRDefault="00702467" w:rsidP="00702467">
                          <w:pPr>
                            <w:rPr>
                              <w:rFonts w:ascii="Calibri" w:eastAsia="Calibri" w:hAnsi="Calibri" w:cs="Calibri"/>
                              <w:noProof/>
                              <w:color w:val="000000"/>
                              <w:sz w:val="20"/>
                              <w:szCs w:val="20"/>
                            </w:rPr>
                          </w:pPr>
                          <w:r w:rsidRPr="00702467">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B1C2C5" id="_x0000_t202" coordsize="21600,21600" o:spt="202" path="m,l,21600r21600,l21600,xe">
              <v:stroke joinstyle="miter"/>
              <v:path gradientshapeok="t" o:connecttype="rect"/>
            </v:shapetype>
            <v:shape id="Tekstvak 1" o:spid="_x0000_s1027" type="#_x0000_t202" alt="Intern gebruik"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087A6088" w14:textId="77777777" w:rsidR="00702467" w:rsidRPr="00702467" w:rsidRDefault="00702467" w:rsidP="00702467">
                    <w:pPr>
                      <w:rPr>
                        <w:rFonts w:ascii="Calibri" w:eastAsia="Calibri" w:hAnsi="Calibri" w:cs="Calibri"/>
                        <w:noProof/>
                        <w:color w:val="000000"/>
                        <w:sz w:val="20"/>
                        <w:szCs w:val="20"/>
                      </w:rPr>
                    </w:pPr>
                    <w:r w:rsidRPr="00702467">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92760" w14:textId="77777777" w:rsidR="005A4144" w:rsidRDefault="005A4144" w:rsidP="00702467">
      <w:pPr>
        <w:spacing w:line="240" w:lineRule="auto"/>
      </w:pPr>
      <w:r>
        <w:separator/>
      </w:r>
    </w:p>
  </w:footnote>
  <w:footnote w:type="continuationSeparator" w:id="0">
    <w:p w14:paraId="6AEB19FB" w14:textId="77777777" w:rsidR="005A4144" w:rsidRDefault="005A4144" w:rsidP="007024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12E268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44295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4120A4"/>
    <w:multiLevelType w:val="hybridMultilevel"/>
    <w:tmpl w:val="1D8E1FCE"/>
    <w:lvl w:ilvl="0" w:tplc="153E2802">
      <w:start w:val="1"/>
      <w:numFmt w:val="bullet"/>
      <w:pStyle w:val="Lijstopsomteken"/>
      <w:lvlText w:val="•"/>
      <w:lvlJc w:val="left"/>
      <w:pPr>
        <w:tabs>
          <w:tab w:val="num" w:pos="227"/>
        </w:tabs>
        <w:ind w:left="227" w:hanging="227"/>
      </w:pPr>
      <w:rPr>
        <w:rFonts w:ascii="Verdana" w:hAnsi="Verdana" w:hint="default"/>
        <w:sz w:val="18"/>
        <w:szCs w:val="18"/>
      </w:rPr>
    </w:lvl>
    <w:lvl w:ilvl="1" w:tplc="48DA48EC" w:tentative="1">
      <w:start w:val="1"/>
      <w:numFmt w:val="bullet"/>
      <w:lvlText w:val="o"/>
      <w:lvlJc w:val="left"/>
      <w:pPr>
        <w:tabs>
          <w:tab w:val="num" w:pos="1440"/>
        </w:tabs>
        <w:ind w:left="1440" w:hanging="360"/>
      </w:pPr>
      <w:rPr>
        <w:rFonts w:ascii="Courier New" w:hAnsi="Courier New" w:cs="Courier New" w:hint="default"/>
      </w:rPr>
    </w:lvl>
    <w:lvl w:ilvl="2" w:tplc="FF52766C" w:tentative="1">
      <w:start w:val="1"/>
      <w:numFmt w:val="bullet"/>
      <w:lvlText w:val=""/>
      <w:lvlJc w:val="left"/>
      <w:pPr>
        <w:tabs>
          <w:tab w:val="num" w:pos="2160"/>
        </w:tabs>
        <w:ind w:left="2160" w:hanging="360"/>
      </w:pPr>
      <w:rPr>
        <w:rFonts w:ascii="Wingdings" w:hAnsi="Wingdings" w:hint="default"/>
      </w:rPr>
    </w:lvl>
    <w:lvl w:ilvl="3" w:tplc="79E4B930" w:tentative="1">
      <w:start w:val="1"/>
      <w:numFmt w:val="bullet"/>
      <w:lvlText w:val=""/>
      <w:lvlJc w:val="left"/>
      <w:pPr>
        <w:tabs>
          <w:tab w:val="num" w:pos="2880"/>
        </w:tabs>
        <w:ind w:left="2880" w:hanging="360"/>
      </w:pPr>
      <w:rPr>
        <w:rFonts w:ascii="Symbol" w:hAnsi="Symbol" w:hint="default"/>
      </w:rPr>
    </w:lvl>
    <w:lvl w:ilvl="4" w:tplc="0FF802D0" w:tentative="1">
      <w:start w:val="1"/>
      <w:numFmt w:val="bullet"/>
      <w:lvlText w:val="o"/>
      <w:lvlJc w:val="left"/>
      <w:pPr>
        <w:tabs>
          <w:tab w:val="num" w:pos="3600"/>
        </w:tabs>
        <w:ind w:left="3600" w:hanging="360"/>
      </w:pPr>
      <w:rPr>
        <w:rFonts w:ascii="Courier New" w:hAnsi="Courier New" w:cs="Courier New" w:hint="default"/>
      </w:rPr>
    </w:lvl>
    <w:lvl w:ilvl="5" w:tplc="3F04FF5A" w:tentative="1">
      <w:start w:val="1"/>
      <w:numFmt w:val="bullet"/>
      <w:lvlText w:val=""/>
      <w:lvlJc w:val="left"/>
      <w:pPr>
        <w:tabs>
          <w:tab w:val="num" w:pos="4320"/>
        </w:tabs>
        <w:ind w:left="4320" w:hanging="360"/>
      </w:pPr>
      <w:rPr>
        <w:rFonts w:ascii="Wingdings" w:hAnsi="Wingdings" w:hint="default"/>
      </w:rPr>
    </w:lvl>
    <w:lvl w:ilvl="6" w:tplc="A300CDEA" w:tentative="1">
      <w:start w:val="1"/>
      <w:numFmt w:val="bullet"/>
      <w:lvlText w:val=""/>
      <w:lvlJc w:val="left"/>
      <w:pPr>
        <w:tabs>
          <w:tab w:val="num" w:pos="5040"/>
        </w:tabs>
        <w:ind w:left="5040" w:hanging="360"/>
      </w:pPr>
      <w:rPr>
        <w:rFonts w:ascii="Symbol" w:hAnsi="Symbol" w:hint="default"/>
      </w:rPr>
    </w:lvl>
    <w:lvl w:ilvl="7" w:tplc="30489ADE" w:tentative="1">
      <w:start w:val="1"/>
      <w:numFmt w:val="bullet"/>
      <w:lvlText w:val="o"/>
      <w:lvlJc w:val="left"/>
      <w:pPr>
        <w:tabs>
          <w:tab w:val="num" w:pos="5760"/>
        </w:tabs>
        <w:ind w:left="5760" w:hanging="360"/>
      </w:pPr>
      <w:rPr>
        <w:rFonts w:ascii="Courier New" w:hAnsi="Courier New" w:cs="Courier New" w:hint="default"/>
      </w:rPr>
    </w:lvl>
    <w:lvl w:ilvl="8" w:tplc="DB1A0E6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555FEF"/>
    <w:multiLevelType w:val="hybridMultilevel"/>
    <w:tmpl w:val="50F0923E"/>
    <w:lvl w:ilvl="0" w:tplc="0E3A3D5E">
      <w:start w:val="1"/>
      <w:numFmt w:val="bullet"/>
      <w:pStyle w:val="Lijstopsomteken2"/>
      <w:lvlText w:val="–"/>
      <w:lvlJc w:val="left"/>
      <w:pPr>
        <w:tabs>
          <w:tab w:val="num" w:pos="227"/>
        </w:tabs>
        <w:ind w:left="227" w:firstLine="0"/>
      </w:pPr>
      <w:rPr>
        <w:rFonts w:ascii="Verdana" w:hAnsi="Verdana" w:hint="default"/>
      </w:rPr>
    </w:lvl>
    <w:lvl w:ilvl="1" w:tplc="A85EA770" w:tentative="1">
      <w:start w:val="1"/>
      <w:numFmt w:val="bullet"/>
      <w:lvlText w:val="o"/>
      <w:lvlJc w:val="left"/>
      <w:pPr>
        <w:tabs>
          <w:tab w:val="num" w:pos="1440"/>
        </w:tabs>
        <w:ind w:left="1440" w:hanging="360"/>
      </w:pPr>
      <w:rPr>
        <w:rFonts w:ascii="Courier New" w:hAnsi="Courier New" w:cs="Courier New" w:hint="default"/>
      </w:rPr>
    </w:lvl>
    <w:lvl w:ilvl="2" w:tplc="E7789F46" w:tentative="1">
      <w:start w:val="1"/>
      <w:numFmt w:val="bullet"/>
      <w:lvlText w:val=""/>
      <w:lvlJc w:val="left"/>
      <w:pPr>
        <w:tabs>
          <w:tab w:val="num" w:pos="2160"/>
        </w:tabs>
        <w:ind w:left="2160" w:hanging="360"/>
      </w:pPr>
      <w:rPr>
        <w:rFonts w:ascii="Wingdings" w:hAnsi="Wingdings" w:hint="default"/>
      </w:rPr>
    </w:lvl>
    <w:lvl w:ilvl="3" w:tplc="BED21A28" w:tentative="1">
      <w:start w:val="1"/>
      <w:numFmt w:val="bullet"/>
      <w:lvlText w:val=""/>
      <w:lvlJc w:val="left"/>
      <w:pPr>
        <w:tabs>
          <w:tab w:val="num" w:pos="2880"/>
        </w:tabs>
        <w:ind w:left="2880" w:hanging="360"/>
      </w:pPr>
      <w:rPr>
        <w:rFonts w:ascii="Symbol" w:hAnsi="Symbol" w:hint="default"/>
      </w:rPr>
    </w:lvl>
    <w:lvl w:ilvl="4" w:tplc="B51EF082" w:tentative="1">
      <w:start w:val="1"/>
      <w:numFmt w:val="bullet"/>
      <w:lvlText w:val="o"/>
      <w:lvlJc w:val="left"/>
      <w:pPr>
        <w:tabs>
          <w:tab w:val="num" w:pos="3600"/>
        </w:tabs>
        <w:ind w:left="3600" w:hanging="360"/>
      </w:pPr>
      <w:rPr>
        <w:rFonts w:ascii="Courier New" w:hAnsi="Courier New" w:cs="Courier New" w:hint="default"/>
      </w:rPr>
    </w:lvl>
    <w:lvl w:ilvl="5" w:tplc="369C46F0" w:tentative="1">
      <w:start w:val="1"/>
      <w:numFmt w:val="bullet"/>
      <w:lvlText w:val=""/>
      <w:lvlJc w:val="left"/>
      <w:pPr>
        <w:tabs>
          <w:tab w:val="num" w:pos="4320"/>
        </w:tabs>
        <w:ind w:left="4320" w:hanging="360"/>
      </w:pPr>
      <w:rPr>
        <w:rFonts w:ascii="Wingdings" w:hAnsi="Wingdings" w:hint="default"/>
      </w:rPr>
    </w:lvl>
    <w:lvl w:ilvl="6" w:tplc="FA620712" w:tentative="1">
      <w:start w:val="1"/>
      <w:numFmt w:val="bullet"/>
      <w:lvlText w:val=""/>
      <w:lvlJc w:val="left"/>
      <w:pPr>
        <w:tabs>
          <w:tab w:val="num" w:pos="5040"/>
        </w:tabs>
        <w:ind w:left="5040" w:hanging="360"/>
      </w:pPr>
      <w:rPr>
        <w:rFonts w:ascii="Symbol" w:hAnsi="Symbol" w:hint="default"/>
      </w:rPr>
    </w:lvl>
    <w:lvl w:ilvl="7" w:tplc="7E2E3FE8" w:tentative="1">
      <w:start w:val="1"/>
      <w:numFmt w:val="bullet"/>
      <w:lvlText w:val="o"/>
      <w:lvlJc w:val="left"/>
      <w:pPr>
        <w:tabs>
          <w:tab w:val="num" w:pos="5760"/>
        </w:tabs>
        <w:ind w:left="5760" w:hanging="360"/>
      </w:pPr>
      <w:rPr>
        <w:rFonts w:ascii="Courier New" w:hAnsi="Courier New" w:cs="Courier New" w:hint="default"/>
      </w:rPr>
    </w:lvl>
    <w:lvl w:ilvl="8" w:tplc="1F0C7AD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DB586F"/>
    <w:multiLevelType w:val="hybridMultilevel"/>
    <w:tmpl w:val="893C3524"/>
    <w:lvl w:ilvl="0" w:tplc="1FFC8B0A">
      <w:start w:val="2"/>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18992353">
    <w:abstractNumId w:val="1"/>
  </w:num>
  <w:num w:numId="2" w16cid:durableId="1431005619">
    <w:abstractNumId w:val="2"/>
  </w:num>
  <w:num w:numId="3" w16cid:durableId="206571734">
    <w:abstractNumId w:val="0"/>
  </w:num>
  <w:num w:numId="4" w16cid:durableId="1597011353">
    <w:abstractNumId w:val="3"/>
  </w:num>
  <w:num w:numId="5" w16cid:durableId="10408604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55F"/>
    <w:rsid w:val="000077A8"/>
    <w:rsid w:val="0002070C"/>
    <w:rsid w:val="0002675D"/>
    <w:rsid w:val="000E448A"/>
    <w:rsid w:val="00131990"/>
    <w:rsid w:val="0017408C"/>
    <w:rsid w:val="001D2ACF"/>
    <w:rsid w:val="002C1CF8"/>
    <w:rsid w:val="003A565C"/>
    <w:rsid w:val="003E6A41"/>
    <w:rsid w:val="00460116"/>
    <w:rsid w:val="0046347E"/>
    <w:rsid w:val="005A4144"/>
    <w:rsid w:val="00702467"/>
    <w:rsid w:val="0073357B"/>
    <w:rsid w:val="008434D4"/>
    <w:rsid w:val="00871C33"/>
    <w:rsid w:val="0089694D"/>
    <w:rsid w:val="00897093"/>
    <w:rsid w:val="008C730A"/>
    <w:rsid w:val="008F3194"/>
    <w:rsid w:val="00941600"/>
    <w:rsid w:val="009C2DA9"/>
    <w:rsid w:val="00AE2BA2"/>
    <w:rsid w:val="00B50007"/>
    <w:rsid w:val="00BA474E"/>
    <w:rsid w:val="00BF76E1"/>
    <w:rsid w:val="00C3632C"/>
    <w:rsid w:val="00C651AD"/>
    <w:rsid w:val="00D35854"/>
    <w:rsid w:val="00DC7E25"/>
    <w:rsid w:val="00DE555F"/>
    <w:rsid w:val="00F42A06"/>
    <w:rsid w:val="00F92B6F"/>
    <w:rsid w:val="00FB1DA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D04BD"/>
  <w15:docId w15:val="{698BEDF4-EC66-4813-B1DD-B3DAED00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555F"/>
    <w:pPr>
      <w:spacing w:after="0" w:line="240" w:lineRule="atLeast"/>
    </w:pPr>
    <w:rPr>
      <w:rFonts w:ascii="Verdana" w:eastAsia="Times New Roman" w:hAnsi="Verdana" w:cs="Times New Roman"/>
      <w:sz w:val="18"/>
      <w:szCs w:val="24"/>
      <w:lang w:val="nl-NL" w:eastAsia="nl-NL"/>
    </w:rPr>
  </w:style>
  <w:style w:type="paragraph" w:styleId="Kop1">
    <w:name w:val="heading 1"/>
    <w:basedOn w:val="Standaard"/>
    <w:next w:val="Standaard"/>
    <w:link w:val="Kop1Char"/>
    <w:qFormat/>
    <w:rsid w:val="00DE555F"/>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DE555F"/>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DE555F"/>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E555F"/>
    <w:pPr>
      <w:tabs>
        <w:tab w:val="center" w:pos="4536"/>
        <w:tab w:val="right" w:pos="9072"/>
      </w:tabs>
    </w:p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qFormat/>
    <w:rsid w:val="00D1197D"/>
    <w:rPr>
      <w:i/>
      <w:iCs/>
    </w:rPr>
  </w:style>
  <w:style w:type="character" w:styleId="Hyperlink">
    <w:name w:val="Hyperlink"/>
    <w:rsid w:val="00DE555F"/>
    <w:rPr>
      <w:color w:val="0000FF"/>
      <w:u w:val="single"/>
    </w:rPr>
  </w:style>
  <w:style w:type="table" w:styleId="Tabelraster">
    <w:name w:val="Table Grid"/>
    <w:basedOn w:val="Standaardtabel"/>
    <w:rsid w:val="00DE555F"/>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rsid w:val="00DE555F"/>
    <w:rPr>
      <w:color w:val="800080"/>
      <w:u w:val="single"/>
    </w:rPr>
  </w:style>
  <w:style w:type="paragraph" w:styleId="Voettekst">
    <w:name w:val="footer"/>
    <w:basedOn w:val="Standaard"/>
    <w:link w:val="VoettekstChar"/>
    <w:rsid w:val="00DE555F"/>
    <w:pPr>
      <w:tabs>
        <w:tab w:val="center" w:pos="4536"/>
        <w:tab w:val="right" w:pos="9072"/>
      </w:tabs>
    </w:p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customStyle="1" w:styleId="Huisstijl-Adres">
    <w:name w:val="Huisstijl-Adres"/>
    <w:basedOn w:val="Standaard"/>
    <w:link w:val="Huisstijl-AdresChar"/>
    <w:uiPriority w:val="99"/>
    <w:rsid w:val="00DE555F"/>
    <w:pPr>
      <w:tabs>
        <w:tab w:val="left" w:pos="192"/>
      </w:tabs>
      <w:adjustRightInd w:val="0"/>
      <w:spacing w:after="90" w:line="180" w:lineRule="exact"/>
    </w:pPr>
    <w:rPr>
      <w:rFonts w:cs="Verdana"/>
      <w:noProof/>
      <w:sz w:val="13"/>
      <w:szCs w:val="13"/>
    </w:rPr>
  </w:style>
  <w:style w:type="character" w:customStyle="1" w:styleId="Huisstijl-AdresChar">
    <w:name w:val="Huisstijl-Adres Char"/>
    <w:link w:val="Huisstijl-Adres"/>
    <w:uiPriority w:val="99"/>
    <w:locked/>
    <w:rsid w:val="00DE555F"/>
    <w:rPr>
      <w:rFonts w:ascii="Verdana" w:eastAsia="Times New Roman" w:hAnsi="Verdana" w:cs="Verdana"/>
      <w:noProof/>
      <w:sz w:val="13"/>
      <w:szCs w:val="13"/>
      <w:lang w:val="nl-NL" w:eastAsia="nl-NL"/>
    </w:rPr>
  </w:style>
  <w:style w:type="paragraph" w:customStyle="1" w:styleId="Huisstijl-Gegeven">
    <w:name w:val="Huisstijl-Gegeven"/>
    <w:basedOn w:val="Standaard"/>
    <w:link w:val="Huisstijl-GegevenCharChar"/>
    <w:rsid w:val="00DE555F"/>
    <w:pPr>
      <w:spacing w:after="92" w:line="180" w:lineRule="exact"/>
    </w:pPr>
    <w:rPr>
      <w:noProof/>
      <w:sz w:val="13"/>
    </w:rPr>
  </w:style>
  <w:style w:type="character" w:customStyle="1" w:styleId="Huisstijl-GegevenCharChar">
    <w:name w:val="Huisstijl-Gegeven Char Char"/>
    <w:link w:val="Huisstijl-Gegeven"/>
    <w:rsid w:val="00DE555F"/>
    <w:rPr>
      <w:rFonts w:ascii="Verdana" w:eastAsia="Times New Roman" w:hAnsi="Verdana" w:cs="Times New Roman"/>
      <w:noProof/>
      <w:sz w:val="13"/>
      <w:szCs w:val="24"/>
      <w:lang w:val="nl-NL" w:eastAsia="nl-NL"/>
    </w:rPr>
  </w:style>
  <w:style w:type="paragraph" w:customStyle="1" w:styleId="Huisstijl-KixCode">
    <w:name w:val="Huisstijl-KixCode"/>
    <w:basedOn w:val="Standaard"/>
    <w:rsid w:val="00DE555F"/>
    <w:pPr>
      <w:spacing w:before="60" w:line="240" w:lineRule="auto"/>
    </w:pPr>
    <w:rPr>
      <w:rFonts w:ascii="KIX Barcode" w:hAnsi="KIX Barcode"/>
      <w:b/>
      <w:bCs/>
      <w:smallCaps/>
      <w:noProof/>
      <w:sz w:val="24"/>
    </w:rPr>
  </w:style>
  <w:style w:type="paragraph" w:customStyle="1" w:styleId="Huisstijl-Kopje">
    <w:name w:val="Huisstijl-Kopje"/>
    <w:basedOn w:val="Huisstijl-Gegeven"/>
    <w:uiPriority w:val="99"/>
    <w:rsid w:val="00DE555F"/>
    <w:pPr>
      <w:spacing w:after="0"/>
    </w:pPr>
    <w:rPr>
      <w:b/>
    </w:rPr>
  </w:style>
  <w:style w:type="paragraph" w:customStyle="1" w:styleId="Huisstijl-NAW">
    <w:name w:val="Huisstijl-NAW"/>
    <w:basedOn w:val="Standaard"/>
    <w:rsid w:val="00DE555F"/>
    <w:pPr>
      <w:adjustRightInd w:val="0"/>
    </w:pPr>
    <w:rPr>
      <w:rFonts w:cs="Verdana"/>
      <w:noProof/>
      <w:szCs w:val="18"/>
    </w:rPr>
  </w:style>
  <w:style w:type="paragraph" w:customStyle="1" w:styleId="Huisstijl-NotaGegeven">
    <w:name w:val="Huisstijl-NotaGegeven"/>
    <w:basedOn w:val="Standaard"/>
    <w:rsid w:val="00DE555F"/>
    <w:pPr>
      <w:adjustRightInd w:val="0"/>
      <w:spacing w:line="180" w:lineRule="exact"/>
    </w:pPr>
    <w:rPr>
      <w:rFonts w:cs="Verdana"/>
      <w:noProof/>
      <w:sz w:val="13"/>
      <w:szCs w:val="18"/>
    </w:rPr>
  </w:style>
  <w:style w:type="paragraph" w:customStyle="1" w:styleId="Huisstijl-NotaKopje">
    <w:name w:val="Huisstijl-NotaKopje"/>
    <w:basedOn w:val="Huisstijl-NotaGegeven"/>
    <w:next w:val="Huisstijl-NotaGegeven"/>
    <w:rsid w:val="00DE555F"/>
    <w:pPr>
      <w:spacing w:before="160" w:line="240" w:lineRule="exact"/>
    </w:pPr>
  </w:style>
  <w:style w:type="paragraph" w:customStyle="1" w:styleId="Huisstijl-Paginanummering">
    <w:name w:val="Huisstijl-Paginanummering"/>
    <w:basedOn w:val="Standaard"/>
    <w:uiPriority w:val="99"/>
    <w:rsid w:val="00DE555F"/>
    <w:pPr>
      <w:spacing w:line="180" w:lineRule="exact"/>
    </w:pPr>
    <w:rPr>
      <w:noProof/>
      <w:sz w:val="13"/>
    </w:rPr>
  </w:style>
  <w:style w:type="paragraph" w:customStyle="1" w:styleId="Huisstijl-Retouradres">
    <w:name w:val="Huisstijl-Retouradres"/>
    <w:basedOn w:val="Standaard"/>
    <w:uiPriority w:val="99"/>
    <w:rsid w:val="00DE555F"/>
    <w:pPr>
      <w:spacing w:line="180" w:lineRule="exact"/>
    </w:pPr>
    <w:rPr>
      <w:noProof/>
      <w:sz w:val="13"/>
    </w:rPr>
  </w:style>
  <w:style w:type="paragraph" w:customStyle="1" w:styleId="Huisstijl-Rubricering">
    <w:name w:val="Huisstijl-Rubricering"/>
    <w:basedOn w:val="Standaard"/>
    <w:rsid w:val="00DE555F"/>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DE555F"/>
    <w:pPr>
      <w:spacing w:line="180" w:lineRule="exact"/>
    </w:pPr>
    <w:rPr>
      <w:i/>
      <w:noProof/>
      <w:sz w:val="13"/>
    </w:rPr>
  </w:style>
  <w:style w:type="paragraph" w:styleId="Lijstopsomteken">
    <w:name w:val="List Bullet"/>
    <w:basedOn w:val="Standaard"/>
    <w:uiPriority w:val="99"/>
    <w:rsid w:val="00DE555F"/>
    <w:pPr>
      <w:numPr>
        <w:numId w:val="2"/>
      </w:numPr>
    </w:pPr>
    <w:rPr>
      <w:noProof/>
    </w:rPr>
  </w:style>
  <w:style w:type="paragraph" w:styleId="Lijstopsomteken2">
    <w:name w:val="List Bullet 2"/>
    <w:basedOn w:val="Standaard"/>
    <w:rsid w:val="00DE555F"/>
    <w:pPr>
      <w:numPr>
        <w:numId w:val="4"/>
      </w:numPr>
      <w:tabs>
        <w:tab w:val="left" w:pos="454"/>
      </w:tabs>
    </w:pPr>
    <w:rPr>
      <w:noProof/>
    </w:rPr>
  </w:style>
  <w:style w:type="paragraph" w:styleId="Tekstopmerking">
    <w:name w:val="annotation text"/>
    <w:basedOn w:val="Standaard"/>
    <w:link w:val="TekstopmerkingChar"/>
    <w:unhideWhenUsed/>
    <w:rsid w:val="00722DC6"/>
    <w:pPr>
      <w:spacing w:line="240" w:lineRule="auto"/>
    </w:pPr>
    <w:rPr>
      <w:rFonts w:ascii="Times New Roman" w:hAnsi="Times New Roman"/>
      <w:sz w:val="20"/>
      <w:szCs w:val="20"/>
    </w:rPr>
  </w:style>
  <w:style w:type="character" w:customStyle="1" w:styleId="TekstopmerkingChar">
    <w:name w:val="Tekst opmerking Char"/>
    <w:basedOn w:val="Standaardalinea-lettertype"/>
    <w:link w:val="Tekstopmerking"/>
    <w:rsid w:val="00722DC6"/>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semiHidden/>
    <w:unhideWhenUsed/>
    <w:rsid w:val="00722DC6"/>
    <w:rPr>
      <w:sz w:val="16"/>
      <w:szCs w:val="16"/>
    </w:rPr>
  </w:style>
  <w:style w:type="paragraph" w:styleId="Ballontekst">
    <w:name w:val="Balloon Text"/>
    <w:basedOn w:val="Standaard"/>
    <w:link w:val="BallontekstChar"/>
    <w:uiPriority w:val="99"/>
    <w:semiHidden/>
    <w:unhideWhenUsed/>
    <w:rsid w:val="00722DC6"/>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722DC6"/>
    <w:rPr>
      <w:rFonts w:ascii="Segoe UI" w:eastAsia="Times New Roman" w:hAnsi="Segoe UI" w:cs="Segoe UI"/>
      <w:sz w:val="18"/>
      <w:szCs w:val="18"/>
      <w:lang w:val="nl-NL" w:eastAsia="nl-NL"/>
    </w:rPr>
  </w:style>
  <w:style w:type="paragraph" w:styleId="Lijstalinea">
    <w:name w:val="List Paragraph"/>
    <w:basedOn w:val="Standaard"/>
    <w:uiPriority w:val="99"/>
    <w:rsid w:val="00FB1DAE"/>
    <w:pPr>
      <w:ind w:left="720"/>
      <w:contextualSpacing/>
    </w:pPr>
  </w:style>
  <w:style w:type="paragraph" w:styleId="Revisie">
    <w:name w:val="Revision"/>
    <w:hidden/>
    <w:uiPriority w:val="99"/>
    <w:semiHidden/>
    <w:rsid w:val="002C1CF8"/>
    <w:pPr>
      <w:spacing w:after="0" w:line="240" w:lineRule="auto"/>
    </w:pPr>
    <w:rPr>
      <w:rFonts w:ascii="Verdana" w:eastAsia="Times New Roman" w:hAnsi="Verdana" w:cs="Times New Roman"/>
      <w:sz w:val="18"/>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2C1CF8"/>
    <w:rPr>
      <w:rFonts w:ascii="Verdana" w:hAnsi="Verdana"/>
      <w:b/>
      <w:bCs/>
    </w:rPr>
  </w:style>
  <w:style w:type="character" w:customStyle="1" w:styleId="OnderwerpvanopmerkingChar">
    <w:name w:val="Onderwerp van opmerking Char"/>
    <w:basedOn w:val="TekstopmerkingChar"/>
    <w:link w:val="Onderwerpvanopmerking"/>
    <w:uiPriority w:val="99"/>
    <w:semiHidden/>
    <w:rsid w:val="002C1CF8"/>
    <w:rPr>
      <w:rFonts w:ascii="Verdana" w:eastAsia="Times New Roman" w:hAnsi="Verdana"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542</ap:Words>
  <ap:Characters>2983</ap:Characters>
  <ap:DocSecurity>0</ap:DocSecurity>
  <ap:Lines>24</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2024-08-28T13:55:00.0000000Z</dcterms:created>
  <dcterms:modified xsi:type="dcterms:W3CDTF">2024-09-27T11:25:00.0000000Z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meviusm1</vt:lpwstr>
  </property>
  <property fmtid="{D5CDD505-2E9C-101B-9397-08002B2CF9AE}" pid="3" name="Template">
    <vt:lpwstr>Diverse documenten WJZ</vt:lpwstr>
  </property>
  <property fmtid="{D5CDD505-2E9C-101B-9397-08002B2CF9AE}" pid="4" name="TemplateId">
    <vt:lpwstr>99B67C138B7C4E8597B82A4BE2DA43BA</vt:lpwstr>
  </property>
  <property fmtid="{D5CDD505-2E9C-101B-9397-08002B2CF9AE}" pid="5" name="Typist">
    <vt:lpwstr>meviusm1</vt:lpwstr>
  </property>
  <property fmtid="{D5CDD505-2E9C-101B-9397-08002B2CF9AE}" pid="6" name="ClassificationContentMarkingFooterShapeIds">
    <vt:lpwstr>1,2,3</vt:lpwstr>
  </property>
  <property fmtid="{D5CDD505-2E9C-101B-9397-08002B2CF9AE}" pid="7" name="ClassificationContentMarkingFooterFontProps">
    <vt:lpwstr>#000000,10,Calibri</vt:lpwstr>
  </property>
  <property fmtid="{D5CDD505-2E9C-101B-9397-08002B2CF9AE}" pid="8" name="ClassificationContentMarkingFooterText">
    <vt:lpwstr>Intern gebruik</vt:lpwstr>
  </property>
</Properties>
</file>