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7EEE1FB8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3A714F3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27F862AC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1737C7EF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1043E1B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1365135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51FDDF1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A738AE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27A4704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672637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6DA40A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4930908C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02A71D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19168E" w14:paraId="4029585E" w14:textId="302AE32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36 531</w:t>
            </w:r>
          </w:p>
        </w:tc>
        <w:tc>
          <w:tcPr>
            <w:tcW w:w="7371" w:type="dxa"/>
            <w:gridSpan w:val="2"/>
          </w:tcPr>
          <w:p w:rsidRPr="0019168E" w:rsidR="003C21AC" w:rsidP="0019168E" w:rsidRDefault="0019168E" w14:paraId="0D2FED16" w14:textId="459D0B46">
            <w:pPr>
              <w:rPr>
                <w:b/>
                <w:bCs/>
                <w:szCs w:val="24"/>
              </w:rPr>
            </w:pPr>
            <w:r w:rsidRPr="0019168E">
              <w:rPr>
                <w:b/>
                <w:bCs/>
                <w:szCs w:val="24"/>
              </w:rPr>
              <w:t>Uitvoering van verordening (EU) 2022/2065 van het Europees Parlement en de Raad van 19 oktober 2022 betreffende een eengemaakte markt voor digitale diensten en tot wijziging van Richtlijn 2000/31/EG (Uitvoeringswet digitaledienstenverordening)</w:t>
            </w:r>
          </w:p>
        </w:tc>
      </w:tr>
      <w:tr w:rsidR="003C21AC" w:rsidTr="00EA1CE4" w14:paraId="23A0CB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602E9C1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7726B95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C3038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6AA5C44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746906A1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A527C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6106138D" w14:textId="0D58D50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B34E87">
              <w:rPr>
                <w:rFonts w:ascii="Times New Roman" w:hAnsi="Times New Roman"/>
              </w:rPr>
              <w:t>16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082C2E" w14:paraId="4128EE80" w14:textId="71EA1F10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</w:t>
            </w:r>
            <w:r w:rsidR="00DC1E48">
              <w:rPr>
                <w:rFonts w:ascii="Times New Roman" w:hAnsi="Times New Roman"/>
                <w:caps/>
              </w:rPr>
              <w:t>de leden</w:t>
            </w:r>
            <w:r w:rsidRPr="00C035D4" w:rsidR="003C21AC">
              <w:rPr>
                <w:rFonts w:ascii="Times New Roman" w:hAnsi="Times New Roman"/>
                <w:caps/>
              </w:rPr>
              <w:t xml:space="preserve"> </w:t>
            </w:r>
            <w:r w:rsidR="0019168E">
              <w:rPr>
                <w:rFonts w:ascii="Times New Roman" w:hAnsi="Times New Roman"/>
                <w:caps/>
              </w:rPr>
              <w:t>six dijkstra</w:t>
            </w:r>
            <w:r w:rsidR="0038728A">
              <w:rPr>
                <w:rFonts w:ascii="Times New Roman" w:hAnsi="Times New Roman"/>
                <w:caps/>
              </w:rPr>
              <w:t xml:space="preserve"> en van der werf</w:t>
            </w:r>
            <w:r>
              <w:rPr>
                <w:rFonts w:ascii="Times New Roman" w:hAnsi="Times New Roman"/>
                <w:caps/>
              </w:rPr>
              <w:t xml:space="preserve"> ter vervanging van dat gedrukt onder nr. 9</w:t>
            </w:r>
          </w:p>
        </w:tc>
      </w:tr>
      <w:tr w:rsidR="003C21AC" w:rsidTr="00EA1CE4" w14:paraId="5BF4F5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296C854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43422792" w14:textId="3DE4EAE2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B34E87">
              <w:rPr>
                <w:rFonts w:ascii="Times New Roman" w:hAnsi="Times New Roman"/>
                <w:b w:val="0"/>
              </w:rPr>
              <w:t>9</w:t>
            </w:r>
            <w:r w:rsidR="0038728A">
              <w:rPr>
                <w:rFonts w:ascii="Times New Roman" w:hAnsi="Times New Roman"/>
                <w:b w:val="0"/>
              </w:rPr>
              <w:t xml:space="preserve"> oktober 2024</w:t>
            </w:r>
          </w:p>
        </w:tc>
      </w:tr>
      <w:tr w:rsidR="00B01BA6" w:rsidTr="00EA1CE4" w14:paraId="1437C9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5F68604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4242B57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884C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3B4B72ED" w14:textId="03506226">
            <w:pPr>
              <w:ind w:firstLine="284"/>
            </w:pPr>
            <w:r w:rsidRPr="00EA69AC">
              <w:t>De ondergetekende</w:t>
            </w:r>
            <w:r w:rsidR="0038728A">
              <w:t>n</w:t>
            </w:r>
            <w:r w:rsidRPr="00EA69AC">
              <w:t xml:space="preserve"> stel</w:t>
            </w:r>
            <w:r w:rsidR="0038728A">
              <w:t>len</w:t>
            </w:r>
            <w:r w:rsidRPr="00EA69AC">
              <w:t xml:space="preserve"> het volgende amendement voor:</w:t>
            </w:r>
          </w:p>
        </w:tc>
      </w:tr>
    </w:tbl>
    <w:p w:rsidRPr="00EA69AC" w:rsidR="004330ED" w:rsidP="00D774B3" w:rsidRDefault="004330ED" w14:paraId="79C8EA6A" w14:textId="77777777"/>
    <w:p w:rsidRPr="00EA69AC" w:rsidR="004330ED" w:rsidP="00EA1CE4" w:rsidRDefault="004330ED" w14:paraId="2BD5EA55" w14:textId="77777777">
      <w:r w:rsidRPr="00EA69AC">
        <w:t>I</w:t>
      </w:r>
    </w:p>
    <w:p w:rsidRPr="00EA69AC" w:rsidR="005B1DCC" w:rsidP="00BF623B" w:rsidRDefault="005B1DCC" w14:paraId="488B823D" w14:textId="77777777"/>
    <w:p w:rsidR="005B1DCC" w:rsidP="0088452C" w:rsidRDefault="0019168E" w14:paraId="2B104351" w14:textId="56467265">
      <w:pPr>
        <w:ind w:firstLine="284"/>
      </w:pPr>
      <w:r>
        <w:t>Na artikel 2.6 wordt een artikel ingevoegd, luidende:</w:t>
      </w:r>
    </w:p>
    <w:p w:rsidR="0019168E" w:rsidP="0019168E" w:rsidRDefault="0019168E" w14:paraId="6C01A07C" w14:textId="77777777"/>
    <w:p w:rsidRPr="0019168E" w:rsidR="0019168E" w:rsidP="0019168E" w:rsidRDefault="0019168E" w14:paraId="059B6F6F" w14:textId="1F065431">
      <w:pPr>
        <w:rPr>
          <w:b/>
          <w:bCs/>
        </w:rPr>
      </w:pPr>
      <w:r>
        <w:rPr>
          <w:b/>
          <w:bCs/>
        </w:rPr>
        <w:t>Artikel 2.6a (</w:t>
      </w:r>
      <w:r w:rsidR="00A56705">
        <w:rPr>
          <w:b/>
          <w:bCs/>
        </w:rPr>
        <w:t xml:space="preserve">inzichtelijkheid </w:t>
      </w:r>
      <w:r w:rsidR="007E0A1B">
        <w:rPr>
          <w:b/>
          <w:bCs/>
        </w:rPr>
        <w:t>meldingen</w:t>
      </w:r>
      <w:r w:rsidR="00A56705">
        <w:rPr>
          <w:b/>
          <w:bCs/>
        </w:rPr>
        <w:t>)</w:t>
      </w:r>
    </w:p>
    <w:p w:rsidR="0019168E" w:rsidP="00A56705" w:rsidRDefault="0019168E" w14:paraId="6FFF3EBB" w14:textId="77777777"/>
    <w:p w:rsidR="006C36E6" w:rsidP="00C50612" w:rsidRDefault="006C36E6" w14:paraId="6BF06FE8" w14:textId="34FB6D06">
      <w:pPr>
        <w:ind w:firstLine="284"/>
      </w:pPr>
      <w:bookmarkStart w:name="_Hlk178842730" w:id="0"/>
      <w:r>
        <w:t xml:space="preserve">De Autoriteit Consument en Markt </w:t>
      </w:r>
      <w:r w:rsidR="00082C2E">
        <w:t xml:space="preserve">maakt </w:t>
      </w:r>
      <w:r>
        <w:t>jaarlijks een overzicht openbaar van het aantal meldingen als bedoeld in artikel 53 van de digitaledienstenverordening dat zij heeft ontvangen per onder</w:t>
      </w:r>
      <w:r w:rsidR="00B34E87">
        <w:t>werp</w:t>
      </w:r>
      <w:r>
        <w:t xml:space="preserve"> van die verordening.</w:t>
      </w:r>
    </w:p>
    <w:bookmarkEnd w:id="0"/>
    <w:p w:rsidR="006C36E6" w:rsidP="00A56705" w:rsidRDefault="006C36E6" w14:paraId="580A9AF0" w14:textId="77777777"/>
    <w:p w:rsidR="00A56705" w:rsidP="00A56705" w:rsidRDefault="00A56705" w14:paraId="385A04C5" w14:textId="700E930D">
      <w:r>
        <w:t>II</w:t>
      </w:r>
    </w:p>
    <w:p w:rsidR="00A56705" w:rsidP="00A56705" w:rsidRDefault="00A56705" w14:paraId="0F01D333" w14:textId="77777777"/>
    <w:p w:rsidR="00A56705" w:rsidP="00A56705" w:rsidRDefault="00A56705" w14:paraId="02EAAFBB" w14:textId="449E9D72">
      <w:r>
        <w:tab/>
        <w:t xml:space="preserve">Na artikel </w:t>
      </w:r>
      <w:r w:rsidR="00443697">
        <w:t>5.5</w:t>
      </w:r>
      <w:r>
        <w:t xml:space="preserve"> wordt een artikel ingevoegd, luidende:</w:t>
      </w:r>
    </w:p>
    <w:p w:rsidR="00A56705" w:rsidP="00A56705" w:rsidRDefault="00A56705" w14:paraId="0AA5DDB1" w14:textId="77777777"/>
    <w:p w:rsidRPr="00443697" w:rsidR="00443697" w:rsidP="00A56705" w:rsidRDefault="00443697" w14:paraId="01E8BE0D" w14:textId="590F71A6">
      <w:pPr>
        <w:rPr>
          <w:b/>
          <w:bCs/>
        </w:rPr>
      </w:pPr>
      <w:r w:rsidRPr="00443697">
        <w:rPr>
          <w:b/>
          <w:bCs/>
        </w:rPr>
        <w:t>Artikel 5.5a</w:t>
      </w:r>
      <w:r>
        <w:rPr>
          <w:b/>
          <w:bCs/>
        </w:rPr>
        <w:t xml:space="preserve"> (wijziging Uitvoeringswet digitalemarktenverordening)</w:t>
      </w:r>
    </w:p>
    <w:p w:rsidR="00443697" w:rsidP="00A56705" w:rsidRDefault="00443697" w14:paraId="0FAC1AE1" w14:textId="77777777"/>
    <w:p w:rsidR="00D05501" w:rsidP="00C50612" w:rsidRDefault="00D05501" w14:paraId="5D1B62D4" w14:textId="3A2D4D7E">
      <w:r>
        <w:tab/>
        <w:t>Indien het bij koninklijke boodschap van 30 januari 2024 ingediende voorstel van wet tot Uitvoering van verordening (EU) 2022/1925 van het Europees Parlement en de Raad van 14 september 2022 over betwistbare en eerlijke markten in de digitale sector, en tot wijziging van Richtlijnen (EU) 2019/1937 en (EU) 2020/1828 (Uitvoeringswet digitalemarktenverordening) (36495) tot wet is of wordt verheven</w:t>
      </w:r>
      <w:r w:rsidR="00C50612">
        <w:t xml:space="preserve">, </w:t>
      </w:r>
      <w:r>
        <w:t>wordt</w:t>
      </w:r>
      <w:r w:rsidR="00C50612">
        <w:t xml:space="preserve"> na artikel 3 </w:t>
      </w:r>
      <w:r>
        <w:t>van d</w:t>
      </w:r>
      <w:r w:rsidR="00C50612">
        <w:t>ie</w:t>
      </w:r>
      <w:r>
        <w:t xml:space="preserve"> wet een artikel ingevoegd, luidende: </w:t>
      </w:r>
    </w:p>
    <w:p w:rsidR="00C50612" w:rsidP="00C50612" w:rsidRDefault="00C50612" w14:paraId="02F84748" w14:textId="77777777"/>
    <w:p w:rsidR="00C50612" w:rsidP="00C50612" w:rsidRDefault="00C50612" w14:paraId="096282DB" w14:textId="1ADDD850">
      <w:pPr>
        <w:rPr>
          <w:b/>
          <w:bCs/>
        </w:rPr>
      </w:pPr>
      <w:r w:rsidRPr="00C50612">
        <w:rPr>
          <w:b/>
          <w:bCs/>
        </w:rPr>
        <w:t>Artikel 3a (inzichtelijkheid meldingen)</w:t>
      </w:r>
    </w:p>
    <w:p w:rsidRPr="00C50612" w:rsidR="00C50612" w:rsidP="00C50612" w:rsidRDefault="00C50612" w14:paraId="64A6F4AA" w14:textId="77777777">
      <w:pPr>
        <w:rPr>
          <w:b/>
          <w:bCs/>
        </w:rPr>
      </w:pPr>
    </w:p>
    <w:p w:rsidR="007E0A1B" w:rsidP="00D05501" w:rsidRDefault="007E0A1B" w14:paraId="31664114" w14:textId="7FBC1980">
      <w:pPr>
        <w:ind w:firstLine="284"/>
      </w:pPr>
      <w:r w:rsidRPr="007E0A1B">
        <w:t xml:space="preserve">De Autoriteit Consument en Markt maakt jaarlijks een overzicht openbaar van het aantal meldingen </w:t>
      </w:r>
      <w:r>
        <w:t>van niet-naleving van onderscheidenlijk artikel 5, 6 en 7 van de digitalemarktenverordening</w:t>
      </w:r>
      <w:r w:rsidR="00D05501">
        <w:t xml:space="preserve"> dat zij heeft ontvangen.</w:t>
      </w:r>
      <w:r>
        <w:t xml:space="preserve"> </w:t>
      </w:r>
      <w:r w:rsidRPr="00D05501" w:rsidR="00D05501">
        <w:t xml:space="preserve"> </w:t>
      </w:r>
    </w:p>
    <w:p w:rsidR="00D05501" w:rsidP="00D05501" w:rsidRDefault="00D05501" w14:paraId="0D04DFD0" w14:textId="77777777"/>
    <w:p w:rsidRPr="00EA69AC" w:rsidR="003C21AC" w:rsidP="00EA1CE4" w:rsidRDefault="003C21AC" w14:paraId="7270FA5C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7341A237" w14:textId="77777777"/>
    <w:p w:rsidRPr="0078287E" w:rsidR="009B0EE4" w:rsidP="00443697" w:rsidRDefault="00833258" w14:paraId="57157E97" w14:textId="437933DF">
      <w:r w:rsidRPr="0078287E">
        <w:t>Momenteel is in het jaarverslag van de Autoriteit Consument &amp; Markt (ACM) slechts een algemeen overzicht opgenomen van de handhavingsverzoek</w:t>
      </w:r>
      <w:r w:rsidR="007E0A1B">
        <w:t>en</w:t>
      </w:r>
      <w:r w:rsidRPr="0078287E">
        <w:t xml:space="preserve">. </w:t>
      </w:r>
      <w:r w:rsidRPr="0078287E" w:rsidR="007D642B">
        <w:t>Dit overzicht biedt echter weinig</w:t>
      </w:r>
      <w:r w:rsidRPr="0078287E" w:rsidR="00ED3F1D">
        <w:t xml:space="preserve"> concrete</w:t>
      </w:r>
      <w:r w:rsidRPr="0078287E" w:rsidR="007D642B">
        <w:t xml:space="preserve"> informatie </w:t>
      </w:r>
      <w:r w:rsidRPr="0078287E" w:rsidR="007D642B">
        <w:lastRenderedPageBreak/>
        <w:t xml:space="preserve">over welke specifieke </w:t>
      </w:r>
      <w:r w:rsidR="004F48DD">
        <w:t xml:space="preserve">meldingen van niet-naleving </w:t>
      </w:r>
      <w:r w:rsidRPr="0078287E" w:rsidR="007D642B">
        <w:t>consumenten indienen</w:t>
      </w:r>
      <w:r w:rsidRPr="0078287E" w:rsidR="00ED3F1D">
        <w:t xml:space="preserve"> en waar consumenten tegen aanlopen.</w:t>
      </w:r>
      <w:r w:rsidRPr="0078287E" w:rsidR="007D642B">
        <w:t xml:space="preserve"> </w:t>
      </w:r>
      <w:r w:rsidRPr="0078287E" w:rsidR="00ED3F1D">
        <w:t>De Tweede Kamer en Eerste Kamer k</w:t>
      </w:r>
      <w:r w:rsidR="004F48DD">
        <w:t>u</w:t>
      </w:r>
      <w:r w:rsidRPr="0078287E" w:rsidR="00ED3F1D">
        <w:t>n</w:t>
      </w:r>
      <w:r w:rsidR="004F48DD">
        <w:t>nen</w:t>
      </w:r>
      <w:r w:rsidRPr="0078287E" w:rsidR="00ED3F1D">
        <w:t xml:space="preserve"> ook onmogelijk conclusies trekken uit deze informatie om bijvoorbeeld beleid op te ontwikkelen.</w:t>
      </w:r>
    </w:p>
    <w:p w:rsidRPr="0078287E" w:rsidR="009B0EE4" w:rsidP="00443697" w:rsidRDefault="009B0EE4" w14:paraId="52A66978" w14:textId="77777777"/>
    <w:p w:rsidRPr="0078287E" w:rsidR="00ED3F1D" w:rsidP="00443697" w:rsidRDefault="00833258" w14:paraId="2B443F87" w14:textId="779B02D1">
      <w:r w:rsidRPr="0078287E">
        <w:t xml:space="preserve">Met name </w:t>
      </w:r>
      <w:r w:rsidRPr="0078287E" w:rsidR="007D642B">
        <w:t xml:space="preserve">bij </w:t>
      </w:r>
      <w:r w:rsidRPr="0078287E">
        <w:t xml:space="preserve">de digitale dienstensector </w:t>
      </w:r>
      <w:r w:rsidRPr="0078287E" w:rsidR="007D642B">
        <w:t xml:space="preserve">bieden </w:t>
      </w:r>
      <w:r w:rsidR="004F48DD">
        <w:t xml:space="preserve">meldingen van niet-naleving </w:t>
      </w:r>
      <w:r w:rsidRPr="0078287E" w:rsidR="007D642B">
        <w:t>waardevolle informatie</w:t>
      </w:r>
      <w:r w:rsidRPr="0078287E" w:rsidR="009B0EE4">
        <w:t xml:space="preserve">. Consumenten krijgen vaak </w:t>
      </w:r>
      <w:r w:rsidRPr="0078287E" w:rsidR="00ED3F1D">
        <w:t>slechts moeilijk</w:t>
      </w:r>
      <w:r w:rsidRPr="0078287E" w:rsidR="009B0EE4">
        <w:t xml:space="preserve"> contact met de </w:t>
      </w:r>
      <w:r w:rsidRPr="0078287E" w:rsidR="007D642B">
        <w:t xml:space="preserve">digitale dienstenverstrekker, waardoor ze aangewezen zijn op de ACM. </w:t>
      </w:r>
      <w:r w:rsidRPr="0078287E" w:rsidR="009B0EE4">
        <w:t xml:space="preserve">De </w:t>
      </w:r>
      <w:r w:rsidR="004F48DD">
        <w:t>meldingen</w:t>
      </w:r>
      <w:r w:rsidRPr="0078287E" w:rsidR="009B0EE4">
        <w:t xml:space="preserve"> bieden daarom een omvattend beeld over hoe de</w:t>
      </w:r>
      <w:r w:rsidRPr="0078287E" w:rsidR="009B0EE4">
        <w:rPr>
          <w:b/>
          <w:bCs/>
        </w:rPr>
        <w:t xml:space="preserve"> </w:t>
      </w:r>
      <w:r w:rsidRPr="0078287E" w:rsidR="00ED3F1D">
        <w:rPr>
          <w:szCs w:val="24"/>
        </w:rPr>
        <w:t>digitaledienstenverordening</w:t>
      </w:r>
      <w:r w:rsidRPr="0078287E" w:rsidR="00ED3F1D">
        <w:t xml:space="preserve"> </w:t>
      </w:r>
      <w:r w:rsidRPr="0078287E" w:rsidR="009B0EE4">
        <w:t xml:space="preserve">in de praktijk wordt toegepast. </w:t>
      </w:r>
      <w:r w:rsidRPr="0078287E" w:rsidR="00ED3F1D">
        <w:t>In dat kader is het bruikbaar als in</w:t>
      </w:r>
      <w:r w:rsidRPr="0078287E" w:rsidR="009B0EE4">
        <w:t xml:space="preserve"> het jaarverslag van de ACM per wetsonderdeel van de </w:t>
      </w:r>
      <w:r w:rsidRPr="0078287E" w:rsidR="009B0EE4">
        <w:rPr>
          <w:szCs w:val="24"/>
        </w:rPr>
        <w:t>digitaledienstenverordening</w:t>
      </w:r>
      <w:r w:rsidRPr="0078287E" w:rsidR="009B0EE4">
        <w:t xml:space="preserve"> uitgesplitst wordt hoeveel </w:t>
      </w:r>
      <w:r w:rsidR="00C50612">
        <w:t>meldingen als bedoeld in artikel 53 van die verordening</w:t>
      </w:r>
      <w:r w:rsidRPr="0078287E" w:rsidR="009B0EE4">
        <w:t xml:space="preserve"> </w:t>
      </w:r>
      <w:r w:rsidR="00C50612">
        <w:t xml:space="preserve">– waaronder ook meldingen vallen die bestemd zijn voor de AP – </w:t>
      </w:r>
      <w:r w:rsidRPr="0078287E" w:rsidR="009B0EE4">
        <w:t>daarover zijn ontvangen. Op basis van deze gegevens kan er een fijnmaziger beeld ontstaan over welke problemen consumenten ervaren en welke wetsonderdelen nog onvoldoende worden nageleefd.</w:t>
      </w:r>
    </w:p>
    <w:p w:rsidRPr="0078287E" w:rsidR="00ED3F1D" w:rsidP="00443697" w:rsidRDefault="00ED3F1D" w14:paraId="332B7932" w14:textId="77777777"/>
    <w:p w:rsidRPr="0078287E" w:rsidR="00ED3F1D" w:rsidP="00443697" w:rsidRDefault="00ED3F1D" w14:paraId="2696E129" w14:textId="63F4004E">
      <w:r w:rsidRPr="0078287E">
        <w:t xml:space="preserve">Het voorgaande geldt ook voor de digitalemarktenverordening. Ook hiervoor is het nodig om een uitgebreider beeld te krijgen over waar de </w:t>
      </w:r>
      <w:r w:rsidR="003A5FA8">
        <w:t>meldingen van niet-naleving</w:t>
      </w:r>
      <w:r w:rsidRPr="0078287E">
        <w:t xml:space="preserve"> specifiek betrekking op hebben. De indiener</w:t>
      </w:r>
      <w:r w:rsidR="0038728A">
        <w:t>s</w:t>
      </w:r>
      <w:r w:rsidRPr="0078287E">
        <w:t xml:space="preserve"> zie</w:t>
      </w:r>
      <w:r w:rsidR="0038728A">
        <w:t>n</w:t>
      </w:r>
      <w:r w:rsidRPr="0078287E" w:rsidR="00900545">
        <w:t xml:space="preserve">, mede </w:t>
      </w:r>
      <w:r w:rsidRPr="0078287E">
        <w:t>gelet op de beperkte materiële reikwijdte van d</w:t>
      </w:r>
      <w:r w:rsidRPr="0078287E" w:rsidR="00B708A8">
        <w:t>it amendement</w:t>
      </w:r>
      <w:r w:rsidRPr="0078287E" w:rsidR="00900545">
        <w:t>,</w:t>
      </w:r>
      <w:r w:rsidRPr="0078287E">
        <w:t xml:space="preserve"> voldoende reden </w:t>
      </w:r>
      <w:r w:rsidRPr="0078287E" w:rsidR="00900545">
        <w:t>een vergelijkbare bepaling op te nemen voor d</w:t>
      </w:r>
      <w:r w:rsidRPr="0078287E">
        <w:t>e digitalemarktenverordening.</w:t>
      </w:r>
    </w:p>
    <w:p w:rsidRPr="009B0EE4" w:rsidR="00443697" w:rsidP="00443697" w:rsidRDefault="009B0EE4" w14:paraId="499BFA59" w14:textId="5821DFE3">
      <w:pPr>
        <w:rPr>
          <w:highlight w:val="yellow"/>
        </w:rPr>
      </w:pPr>
      <w:r>
        <w:rPr>
          <w:highlight w:val="yellow"/>
        </w:rPr>
        <w:t xml:space="preserve"> </w:t>
      </w:r>
    </w:p>
    <w:p w:rsidR="00B4708A" w:rsidP="00EA1CE4" w:rsidRDefault="00443697" w14:paraId="2D6F2155" w14:textId="1C181A68">
      <w:r>
        <w:t>Six Dijkstra</w:t>
      </w:r>
    </w:p>
    <w:p w:rsidRPr="00EA69AC" w:rsidR="0038728A" w:rsidP="00EA1CE4" w:rsidRDefault="0038728A" w14:paraId="1A2EA4E5" w14:textId="0DC63158">
      <w:r>
        <w:t>Van der Werf</w:t>
      </w:r>
    </w:p>
    <w:sectPr w:rsidRPr="00EA69AC" w:rsidR="0038728A" w:rsidSect="00EA1CE4">
      <w:footerReference w:type="even" r:id="rId7"/>
      <w:footerReference w:type="default" r:id="rId8"/>
      <w:footerReference w:type="first" r:id="rId9"/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1A20" w14:textId="77777777" w:rsidR="0078168B" w:rsidRDefault="0078168B">
      <w:pPr>
        <w:spacing w:line="20" w:lineRule="exact"/>
      </w:pPr>
    </w:p>
  </w:endnote>
  <w:endnote w:type="continuationSeparator" w:id="0">
    <w:p w14:paraId="1DB46872" w14:textId="77777777" w:rsidR="0078168B" w:rsidRDefault="0078168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1E4C7F" w14:textId="77777777" w:rsidR="0078168B" w:rsidRDefault="0078168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C108" w14:textId="381DAFE2" w:rsidR="00BB1AA3" w:rsidRDefault="00BB1AA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F14B50" wp14:editId="6E633E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810143196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08B78" w14:textId="7F436909" w:rsidR="00BB1AA3" w:rsidRPr="00BB1AA3" w:rsidRDefault="00BB1AA3" w:rsidP="00BB1A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B1A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14B5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" filled="f" stroked="f">
              <v:textbox style="mso-fit-shape-to-text:t" inset="20pt,0,0,15pt">
                <w:txbxContent>
                  <w:p w14:paraId="77908B78" w14:textId="7F436909" w:rsidR="00BB1AA3" w:rsidRPr="00BB1AA3" w:rsidRDefault="00BB1AA3" w:rsidP="00BB1A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B1A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87AA" w14:textId="4F367AC9" w:rsidR="00BB1AA3" w:rsidRDefault="00BB1AA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1155F2" wp14:editId="16D31394">
              <wp:simplePos x="62865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470187167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7AFA6" w14:textId="31797C25" w:rsidR="00BB1AA3" w:rsidRPr="00BB1AA3" w:rsidRDefault="00BB1AA3" w:rsidP="00BB1A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155F2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textbox style="mso-fit-shape-to-text:t" inset="20pt,0,0,15pt">
                <w:txbxContent>
                  <w:p w14:paraId="1C77AFA6" w14:textId="31797C25" w:rsidR="00BB1AA3" w:rsidRPr="00BB1AA3" w:rsidRDefault="00BB1AA3" w:rsidP="00BB1A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7F10" w14:textId="56CB62CB" w:rsidR="00BB1AA3" w:rsidRDefault="00BB1AA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9F4DD" wp14:editId="3B43CD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633694625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6C31E" w14:textId="72181EF3" w:rsidR="00BB1AA3" w:rsidRPr="00BB1AA3" w:rsidRDefault="00BB1AA3" w:rsidP="00BB1A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B1A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9F4D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7Q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pOx+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Ci2q7Q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2826C31E" w14:textId="72181EF3" w:rsidR="00BB1AA3" w:rsidRPr="00BB1AA3" w:rsidRDefault="00BB1AA3" w:rsidP="00BB1A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B1A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3172" w14:textId="77777777" w:rsidR="0078168B" w:rsidRDefault="0078168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A1BE34" w14:textId="77777777" w:rsidR="0078168B" w:rsidRDefault="0078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148D"/>
    <w:multiLevelType w:val="multilevel"/>
    <w:tmpl w:val="24B8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843FC"/>
    <w:multiLevelType w:val="multilevel"/>
    <w:tmpl w:val="D05A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011146">
    <w:abstractNumId w:val="1"/>
  </w:num>
  <w:num w:numId="2" w16cid:durableId="57370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8E"/>
    <w:rsid w:val="00014323"/>
    <w:rsid w:val="0007471A"/>
    <w:rsid w:val="00082C2E"/>
    <w:rsid w:val="000D17BF"/>
    <w:rsid w:val="000F226A"/>
    <w:rsid w:val="00157CAF"/>
    <w:rsid w:val="001656EE"/>
    <w:rsid w:val="0016653D"/>
    <w:rsid w:val="0019168E"/>
    <w:rsid w:val="001D56AF"/>
    <w:rsid w:val="001E0E21"/>
    <w:rsid w:val="001F2A80"/>
    <w:rsid w:val="00212E0A"/>
    <w:rsid w:val="002153B0"/>
    <w:rsid w:val="0021777F"/>
    <w:rsid w:val="00241DD0"/>
    <w:rsid w:val="002A0713"/>
    <w:rsid w:val="002B5E04"/>
    <w:rsid w:val="002E6452"/>
    <w:rsid w:val="003027A1"/>
    <w:rsid w:val="0038728A"/>
    <w:rsid w:val="003A5FA8"/>
    <w:rsid w:val="003C21AC"/>
    <w:rsid w:val="003C5218"/>
    <w:rsid w:val="003C7876"/>
    <w:rsid w:val="003E2308"/>
    <w:rsid w:val="003E2F98"/>
    <w:rsid w:val="0042574B"/>
    <w:rsid w:val="004330ED"/>
    <w:rsid w:val="00443697"/>
    <w:rsid w:val="00481C91"/>
    <w:rsid w:val="00485552"/>
    <w:rsid w:val="004911E3"/>
    <w:rsid w:val="00497D57"/>
    <w:rsid w:val="004A1E29"/>
    <w:rsid w:val="004A7DD4"/>
    <w:rsid w:val="004B50D8"/>
    <w:rsid w:val="004B5B90"/>
    <w:rsid w:val="004C01BB"/>
    <w:rsid w:val="004C4791"/>
    <w:rsid w:val="004D2FBC"/>
    <w:rsid w:val="004F48DD"/>
    <w:rsid w:val="00501109"/>
    <w:rsid w:val="005266DD"/>
    <w:rsid w:val="005703C9"/>
    <w:rsid w:val="00597703"/>
    <w:rsid w:val="005A6097"/>
    <w:rsid w:val="005B1DCC"/>
    <w:rsid w:val="005B7323"/>
    <w:rsid w:val="005C25B9"/>
    <w:rsid w:val="006267E6"/>
    <w:rsid w:val="006558D2"/>
    <w:rsid w:val="00672D25"/>
    <w:rsid w:val="006738BC"/>
    <w:rsid w:val="006C36E6"/>
    <w:rsid w:val="006D3E69"/>
    <w:rsid w:val="006E0971"/>
    <w:rsid w:val="007709F6"/>
    <w:rsid w:val="0078168B"/>
    <w:rsid w:val="0078287E"/>
    <w:rsid w:val="00783215"/>
    <w:rsid w:val="007965FC"/>
    <w:rsid w:val="007D2608"/>
    <w:rsid w:val="007D642B"/>
    <w:rsid w:val="007E0A1B"/>
    <w:rsid w:val="008164E5"/>
    <w:rsid w:val="00830081"/>
    <w:rsid w:val="00833258"/>
    <w:rsid w:val="008467D7"/>
    <w:rsid w:val="00852541"/>
    <w:rsid w:val="00865D47"/>
    <w:rsid w:val="0088452C"/>
    <w:rsid w:val="008D7DCB"/>
    <w:rsid w:val="00900545"/>
    <w:rsid w:val="009055DB"/>
    <w:rsid w:val="00905ECB"/>
    <w:rsid w:val="0096165D"/>
    <w:rsid w:val="00993E91"/>
    <w:rsid w:val="009A409F"/>
    <w:rsid w:val="009B0EE4"/>
    <w:rsid w:val="009B5845"/>
    <w:rsid w:val="009C0C1F"/>
    <w:rsid w:val="00A10505"/>
    <w:rsid w:val="00A1288B"/>
    <w:rsid w:val="00A53203"/>
    <w:rsid w:val="00A56705"/>
    <w:rsid w:val="00A772EB"/>
    <w:rsid w:val="00AD46F4"/>
    <w:rsid w:val="00B01BA6"/>
    <w:rsid w:val="00B100DE"/>
    <w:rsid w:val="00B22AC5"/>
    <w:rsid w:val="00B34E87"/>
    <w:rsid w:val="00B4708A"/>
    <w:rsid w:val="00B708A8"/>
    <w:rsid w:val="00BB1AA3"/>
    <w:rsid w:val="00BF623B"/>
    <w:rsid w:val="00C035D4"/>
    <w:rsid w:val="00C44315"/>
    <w:rsid w:val="00C50612"/>
    <w:rsid w:val="00C51BBE"/>
    <w:rsid w:val="00C64292"/>
    <w:rsid w:val="00C679BF"/>
    <w:rsid w:val="00C81BBD"/>
    <w:rsid w:val="00CD3132"/>
    <w:rsid w:val="00CE27CD"/>
    <w:rsid w:val="00D05501"/>
    <w:rsid w:val="00D134F3"/>
    <w:rsid w:val="00D47D01"/>
    <w:rsid w:val="00D774B3"/>
    <w:rsid w:val="00DC1E48"/>
    <w:rsid w:val="00DD18E0"/>
    <w:rsid w:val="00DD35A5"/>
    <w:rsid w:val="00DE2948"/>
    <w:rsid w:val="00DF68BE"/>
    <w:rsid w:val="00DF712A"/>
    <w:rsid w:val="00E1549A"/>
    <w:rsid w:val="00E25DF4"/>
    <w:rsid w:val="00E3485D"/>
    <w:rsid w:val="00E6619B"/>
    <w:rsid w:val="00E908D7"/>
    <w:rsid w:val="00EA1CE4"/>
    <w:rsid w:val="00EA69AC"/>
    <w:rsid w:val="00EB40A1"/>
    <w:rsid w:val="00EC3112"/>
    <w:rsid w:val="00ED3F1D"/>
    <w:rsid w:val="00ED5E57"/>
    <w:rsid w:val="00EE1BD8"/>
    <w:rsid w:val="00EF34AB"/>
    <w:rsid w:val="00FA5BBE"/>
    <w:rsid w:val="00F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7F10E6"/>
  <w15:docId w15:val="{43B06E27-5C1B-4CBB-B301-1CA78585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paragraph" w:styleId="Kop4">
    <w:name w:val="heading 4"/>
    <w:basedOn w:val="Standaard"/>
    <w:link w:val="Kop4Char"/>
    <w:uiPriority w:val="9"/>
    <w:qFormat/>
    <w:rsid w:val="0019168E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19168E"/>
    <w:rPr>
      <w:b/>
      <w:bCs/>
      <w:sz w:val="24"/>
      <w:szCs w:val="24"/>
    </w:rPr>
  </w:style>
  <w:style w:type="paragraph" w:customStyle="1" w:styleId="action--relations">
    <w:name w:val="action--relations"/>
    <w:basedOn w:val="Standaard"/>
    <w:rsid w:val="0019168E"/>
    <w:pPr>
      <w:widowControl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19168E"/>
    <w:rPr>
      <w:color w:val="0000FF"/>
      <w:u w:val="single"/>
    </w:rPr>
  </w:style>
  <w:style w:type="paragraph" w:customStyle="1" w:styleId="action--permalink">
    <w:name w:val="action--permalink"/>
    <w:basedOn w:val="Standaard"/>
    <w:rsid w:val="0019168E"/>
    <w:pPr>
      <w:widowControl/>
      <w:spacing w:before="100" w:beforeAutospacing="1" w:after="100" w:afterAutospacing="1"/>
    </w:pPr>
    <w:rPr>
      <w:szCs w:val="24"/>
    </w:rPr>
  </w:style>
  <w:style w:type="paragraph" w:customStyle="1" w:styleId="action--version">
    <w:name w:val="action--version"/>
    <w:basedOn w:val="Standaard"/>
    <w:rsid w:val="0019168E"/>
    <w:pPr>
      <w:widowControl/>
      <w:spacing w:before="100" w:beforeAutospacing="1" w:after="100" w:afterAutospacing="1"/>
    </w:pPr>
    <w:rPr>
      <w:szCs w:val="24"/>
    </w:rPr>
  </w:style>
  <w:style w:type="paragraph" w:customStyle="1" w:styleId="action--compare">
    <w:name w:val="action--compare"/>
    <w:basedOn w:val="Standaard"/>
    <w:rsid w:val="0019168E"/>
    <w:pPr>
      <w:widowControl/>
      <w:spacing w:before="100" w:beforeAutospacing="1" w:after="100" w:afterAutospacing="1"/>
    </w:pPr>
    <w:rPr>
      <w:szCs w:val="24"/>
    </w:rPr>
  </w:style>
  <w:style w:type="paragraph" w:customStyle="1" w:styleId="action--print">
    <w:name w:val="action--print"/>
    <w:basedOn w:val="Standaard"/>
    <w:rsid w:val="0019168E"/>
    <w:pPr>
      <w:widowControl/>
      <w:spacing w:before="100" w:beforeAutospacing="1" w:after="100" w:afterAutospacing="1"/>
    </w:pPr>
    <w:rPr>
      <w:szCs w:val="24"/>
    </w:rPr>
  </w:style>
  <w:style w:type="paragraph" w:customStyle="1" w:styleId="action--download">
    <w:name w:val="action--download"/>
    <w:basedOn w:val="Standaard"/>
    <w:rsid w:val="0019168E"/>
    <w:pPr>
      <w:widowControl/>
      <w:spacing w:before="100" w:beforeAutospacing="1" w:after="100" w:afterAutospacing="1"/>
    </w:pPr>
    <w:rPr>
      <w:szCs w:val="24"/>
    </w:rPr>
  </w:style>
  <w:style w:type="paragraph" w:customStyle="1" w:styleId="lid">
    <w:name w:val="lid"/>
    <w:basedOn w:val="Standaard"/>
    <w:rsid w:val="0019168E"/>
    <w:pPr>
      <w:widowControl/>
      <w:spacing w:before="100" w:beforeAutospacing="1" w:after="100" w:afterAutospacing="1"/>
    </w:pPr>
    <w:rPr>
      <w:szCs w:val="24"/>
    </w:rPr>
  </w:style>
  <w:style w:type="character" w:customStyle="1" w:styleId="lidnr">
    <w:name w:val="lidnr"/>
    <w:basedOn w:val="Standaardalinea-lettertype"/>
    <w:rsid w:val="0019168E"/>
  </w:style>
  <w:style w:type="character" w:styleId="Verwijzingopmerking">
    <w:name w:val="annotation reference"/>
    <w:basedOn w:val="Standaardalinea-lettertype"/>
    <w:semiHidden/>
    <w:unhideWhenUsed/>
    <w:rsid w:val="0044369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4369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443697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436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43697"/>
    <w:rPr>
      <w:b/>
      <w:bCs/>
    </w:rPr>
  </w:style>
  <w:style w:type="paragraph" w:styleId="Revisie">
    <w:name w:val="Revision"/>
    <w:hidden/>
    <w:uiPriority w:val="99"/>
    <w:semiHidden/>
    <w:rsid w:val="00014323"/>
    <w:rPr>
      <w:sz w:val="24"/>
    </w:rPr>
  </w:style>
  <w:style w:type="paragraph" w:styleId="Lijstalinea">
    <w:name w:val="List Paragraph"/>
    <w:basedOn w:val="Standaard"/>
    <w:uiPriority w:val="34"/>
    <w:qFormat/>
    <w:rsid w:val="00D0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55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462</ap:Words>
  <ap:Characters>2890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3346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2024-10-09T08:42:00.0000000Z</dcterms:created>
  <dcterms:modified xsi:type="dcterms:W3CDTF">2024-10-09T08:52:00.0000000Z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616033a1,6be497dc,57a1469f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