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054BD" w:rsidTr="00D9561B" w14:paraId="7F40AF9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92EAF" w14:paraId="357070B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92EAF" w14:paraId="35A098E3" w14:textId="77777777">
            <w:r>
              <w:t>Postbus 20018</w:t>
            </w:r>
          </w:p>
          <w:p w:rsidR="008E3932" w:rsidP="00D9561B" w:rsidRDefault="00B92EAF" w14:paraId="6D15FABA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054BD" w:rsidTr="00FF66F9" w14:paraId="2870025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92EAF" w14:paraId="6F9D6E8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E56E99" w14:paraId="05A51053" w14:textId="5DA069A7">
            <w:pPr>
              <w:rPr>
                <w:lang w:eastAsia="en-US"/>
              </w:rPr>
            </w:pPr>
            <w:r>
              <w:rPr>
                <w:lang w:eastAsia="en-US"/>
              </w:rPr>
              <w:t>8 oktober 2024</w:t>
            </w:r>
          </w:p>
        </w:tc>
      </w:tr>
      <w:tr w:rsidR="00C054BD" w:rsidTr="00FF66F9" w14:paraId="76D32D8F" w14:textId="77777777">
        <w:trPr>
          <w:trHeight w:val="368"/>
        </w:trPr>
        <w:tc>
          <w:tcPr>
            <w:tcW w:w="929" w:type="dxa"/>
          </w:tcPr>
          <w:p w:rsidR="0005404B" w:rsidP="00FF66F9" w:rsidRDefault="00B92EAF" w14:paraId="6C159FC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92EAF" w14:paraId="14A0C5D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Herziening EU Actieplan digitaal onderwijs 2021-2027</w:t>
            </w:r>
          </w:p>
        </w:tc>
      </w:tr>
    </w:tbl>
    <w:p w:rsidR="00C054BD" w:rsidRDefault="001C2C36" w14:paraId="1E87C056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054BD" w:rsidTr="00A421A1" w14:paraId="4931AC06" w14:textId="77777777">
        <w:tc>
          <w:tcPr>
            <w:tcW w:w="2160" w:type="dxa"/>
          </w:tcPr>
          <w:p w:rsidRPr="00F53C9D" w:rsidR="006205C0" w:rsidP="00686AED" w:rsidRDefault="00B92EAF" w14:paraId="58EA609B" w14:textId="77777777">
            <w:pPr>
              <w:pStyle w:val="Colofonkop"/>
              <w:framePr w:hSpace="0" w:wrap="auto" w:hAnchor="text" w:vAnchor="margin" w:xAlign="left" w:yAlign="inline"/>
            </w:pPr>
            <w:r>
              <w:t>Internationaal Beleid</w:t>
            </w:r>
          </w:p>
          <w:p w:rsidR="006205C0" w:rsidP="00A421A1" w:rsidRDefault="00B92EAF" w14:paraId="3289117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92EAF" w14:paraId="4F6F14E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92EAF" w14:paraId="738207F5" w14:textId="77777777">
            <w:pPr>
              <w:pStyle w:val="Huisstijl-Gegeven"/>
              <w:spacing w:after="0"/>
            </w:pPr>
            <w:r>
              <w:t>Postbus 16375</w:t>
            </w:r>
          </w:p>
          <w:p w:rsidRPr="00A96075" w:rsidR="004425A7" w:rsidP="00E972A2" w:rsidRDefault="00B92EAF" w14:paraId="5E782F9F" w14:textId="77777777">
            <w:pPr>
              <w:pStyle w:val="Huisstijl-Gegeven"/>
              <w:spacing w:after="0"/>
              <w:rPr>
                <w:lang w:val="de-DE"/>
              </w:rPr>
            </w:pPr>
            <w:r w:rsidRPr="00A96075">
              <w:rPr>
                <w:lang w:val="de-DE"/>
              </w:rPr>
              <w:t>2500 BJ Den Haag</w:t>
            </w:r>
          </w:p>
          <w:p w:rsidRPr="00A96075" w:rsidR="004425A7" w:rsidP="00E972A2" w:rsidRDefault="00B92EAF" w14:paraId="43C7DD13" w14:textId="77777777">
            <w:pPr>
              <w:pStyle w:val="Huisstijl-Gegeven"/>
              <w:spacing w:after="90"/>
              <w:rPr>
                <w:lang w:val="de-DE"/>
              </w:rPr>
            </w:pPr>
            <w:r w:rsidRPr="00A96075">
              <w:rPr>
                <w:lang w:val="de-DE"/>
              </w:rPr>
              <w:t>www.rijksoverheid.nl</w:t>
            </w:r>
          </w:p>
          <w:p w:rsidRPr="00D86CC6" w:rsidR="006205C0" w:rsidP="00A421A1" w:rsidRDefault="00B92EAF" w14:paraId="6578F47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7BE632A4" w14:textId="6357A63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054BD" w:rsidTr="00A421A1" w14:paraId="700CEE8F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1A1322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054BD" w:rsidTr="00A421A1" w14:paraId="745024F1" w14:textId="77777777">
        <w:trPr>
          <w:trHeight w:val="450"/>
        </w:trPr>
        <w:tc>
          <w:tcPr>
            <w:tcW w:w="2160" w:type="dxa"/>
          </w:tcPr>
          <w:p w:rsidR="00F51A76" w:rsidP="00A421A1" w:rsidRDefault="00B92EAF" w14:paraId="3B28C43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92EAF" w14:paraId="25FCF502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47918042</w:t>
            </w:r>
          </w:p>
        </w:tc>
      </w:tr>
      <w:tr w:rsidR="00C054BD" w:rsidTr="00D130C0" w14:paraId="1C8830A0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B92EAF" w14:paraId="41A61BE0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C054BD" w:rsidTr="00D130C0" w14:paraId="2E98EB0E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9E49FD" w14:paraId="2FBE3235" w14:textId="4BF017A5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B92EAF" w:rsidP="00B92EAF" w:rsidRDefault="00265BFB" w14:paraId="2F69ED99" w14:textId="41F15766">
      <w:pPr>
        <w:jc w:val="both"/>
      </w:pPr>
      <w:bookmarkStart w:name="_Hlk175831914" w:id="0"/>
      <w:r>
        <w:t>Het EU Actieplan digitaal onderwijs 2021-2027 (hierna “DEAP”) is een actieprogramma van de Europese Commissie dat als doel heeft om onderwijs- en opleidingsstelsels van de EU-lidstaten te ondersteunen bij de digitale transitie</w:t>
      </w:r>
      <w:r w:rsidR="00945285">
        <w:t xml:space="preserve"> en </w:t>
      </w:r>
      <w:r>
        <w:t>een Europese Onderwijsruimte</w:t>
      </w:r>
      <w:r w:rsidR="00F96CBE">
        <w:rPr>
          <w:rStyle w:val="Voetnootmarkering"/>
        </w:rPr>
        <w:footnoteReference w:id="1"/>
      </w:r>
      <w:r>
        <w:t xml:space="preserve"> te </w:t>
      </w:r>
      <w:r w:rsidR="00945285">
        <w:t>helpen realiseren</w:t>
      </w:r>
      <w:r>
        <w:t xml:space="preserve">. </w:t>
      </w:r>
      <w:r w:rsidR="00B92EAF">
        <w:t xml:space="preserve">De Commissie heeft </w:t>
      </w:r>
      <w:r w:rsidR="001A3A59">
        <w:t xml:space="preserve">onlangs een uitvraag gedaan voor ideeën voor een </w:t>
      </w:r>
      <w:r w:rsidR="00B92EAF">
        <w:t xml:space="preserve">tussentijdse </w:t>
      </w:r>
      <w:r w:rsidR="001A3A59">
        <w:t>actualisering v</w:t>
      </w:r>
      <w:r w:rsidR="00B92EAF">
        <w:t xml:space="preserve">an </w:t>
      </w:r>
      <w:r>
        <w:t xml:space="preserve">dit </w:t>
      </w:r>
      <w:r w:rsidR="00945285">
        <w:t>actieplan</w:t>
      </w:r>
      <w:r>
        <w:t xml:space="preserve"> voor de resterende looptijd. </w:t>
      </w:r>
      <w:r w:rsidR="001A3A59">
        <w:t>Hierover is een Nederlands position paper opgesteld</w:t>
      </w:r>
      <w:r w:rsidR="00945285">
        <w:t>.</w:t>
      </w:r>
      <w:r w:rsidR="00EE17D1">
        <w:t xml:space="preserve"> </w:t>
      </w:r>
      <w:r w:rsidR="001A3A59">
        <w:t xml:space="preserve">Zoals gebruikelijk in het kader van </w:t>
      </w:r>
      <w:r w:rsidR="00B92EAF">
        <w:t xml:space="preserve">de afspraken over informatievoorziening </w:t>
      </w:r>
      <w:r w:rsidR="00945285">
        <w:t>aan</w:t>
      </w:r>
      <w:r w:rsidR="00B92EAF">
        <w:t xml:space="preserve"> de Kamer </w:t>
      </w:r>
      <w:r w:rsidR="001A3A59">
        <w:t>sturen wij u hierbij een afschrift van de</w:t>
      </w:r>
      <w:r w:rsidR="002A1494">
        <w:t>ze</w:t>
      </w:r>
      <w:r w:rsidR="001A3A59">
        <w:t xml:space="preserve"> reactie</w:t>
      </w:r>
      <w:r w:rsidR="00EE17D1">
        <w:t>.</w:t>
      </w:r>
      <w:r w:rsidR="00945285">
        <w:t xml:space="preserve"> </w:t>
      </w:r>
      <w:r>
        <w:t xml:space="preserve">Graag licht ik </w:t>
      </w:r>
      <w:r w:rsidR="00945285">
        <w:t>dez</w:t>
      </w:r>
      <w:r>
        <w:t>e reactie</w:t>
      </w:r>
      <w:r w:rsidR="00945285">
        <w:t xml:space="preserve"> hierna</w:t>
      </w:r>
      <w:r>
        <w:t xml:space="preserve"> toe. </w:t>
      </w:r>
    </w:p>
    <w:bookmarkEnd w:id="0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92EAF" w:rsidTr="00082EF9" w14:paraId="253CE76A" w14:textId="77777777">
        <w:tc>
          <w:tcPr>
            <w:tcW w:w="2160" w:type="dxa"/>
          </w:tcPr>
          <w:p w:rsidRPr="00A32073" w:rsidR="00B92EAF" w:rsidP="00082EF9" w:rsidRDefault="00B92EAF" w14:paraId="43A17CC8" w14:textId="324376ED">
            <w:pPr>
              <w:spacing w:line="180" w:lineRule="exact"/>
              <w:jc w:val="both"/>
              <w:rPr>
                <w:sz w:val="13"/>
                <w:szCs w:val="13"/>
              </w:rPr>
            </w:pPr>
          </w:p>
        </w:tc>
      </w:tr>
      <w:tr w:rsidR="00B92EAF" w:rsidTr="00082EF9" w14:paraId="415F3A94" w14:textId="77777777">
        <w:trPr>
          <w:trHeight w:val="200" w:hRule="exact"/>
        </w:trPr>
        <w:tc>
          <w:tcPr>
            <w:tcW w:w="2160" w:type="dxa"/>
          </w:tcPr>
          <w:p w:rsidRPr="00356D2B" w:rsidR="00B92EAF" w:rsidP="00082EF9" w:rsidRDefault="00B92EAF" w14:paraId="2C86906C" w14:textId="77777777">
            <w:pPr>
              <w:spacing w:after="90" w:line="180" w:lineRule="exact"/>
              <w:jc w:val="both"/>
              <w:rPr>
                <w:sz w:val="13"/>
                <w:szCs w:val="13"/>
              </w:rPr>
            </w:pPr>
          </w:p>
        </w:tc>
      </w:tr>
      <w:tr w:rsidR="00B92EAF" w:rsidTr="00082EF9" w14:paraId="2AF64E99" w14:textId="77777777">
        <w:trPr>
          <w:trHeight w:val="450"/>
        </w:trPr>
        <w:tc>
          <w:tcPr>
            <w:tcW w:w="2160" w:type="dxa"/>
          </w:tcPr>
          <w:p w:rsidRPr="00FA7882" w:rsidR="00B92EAF" w:rsidP="005B0F12" w:rsidRDefault="00B92EAF" w14:paraId="10AF2A4C" w14:textId="6B1C845F">
            <w:pPr>
              <w:spacing w:line="180" w:lineRule="exact"/>
              <w:jc w:val="both"/>
              <w:rPr>
                <w:sz w:val="13"/>
                <w:szCs w:val="13"/>
              </w:rPr>
            </w:pPr>
          </w:p>
        </w:tc>
      </w:tr>
      <w:tr w:rsidR="00B92EAF" w:rsidTr="00082EF9" w14:paraId="07EDD475" w14:textId="77777777">
        <w:trPr>
          <w:trHeight w:val="113"/>
        </w:trPr>
        <w:tc>
          <w:tcPr>
            <w:tcW w:w="2160" w:type="dxa"/>
          </w:tcPr>
          <w:p w:rsidRPr="00C5333A" w:rsidR="00B92EAF" w:rsidP="00082EF9" w:rsidRDefault="00B92EAF" w14:paraId="463204C5" w14:textId="400F2074">
            <w:pPr>
              <w:tabs>
                <w:tab w:val="center" w:pos="1080"/>
              </w:tabs>
              <w:spacing w:line="180" w:lineRule="exact"/>
              <w:jc w:val="both"/>
              <w:rPr>
                <w:sz w:val="13"/>
                <w:szCs w:val="13"/>
              </w:rPr>
            </w:pPr>
          </w:p>
        </w:tc>
      </w:tr>
      <w:tr w:rsidR="00B92EAF" w:rsidTr="00082EF9" w14:paraId="6F151BFF" w14:textId="77777777">
        <w:trPr>
          <w:trHeight w:val="113"/>
        </w:trPr>
        <w:tc>
          <w:tcPr>
            <w:tcW w:w="2160" w:type="dxa"/>
          </w:tcPr>
          <w:p w:rsidRPr="00D74F66" w:rsidR="00B92EAF" w:rsidP="00082EF9" w:rsidRDefault="00B92EAF" w14:paraId="49FC4CA4" w14:textId="77777777">
            <w:pPr>
              <w:spacing w:after="90" w:line="180" w:lineRule="exact"/>
              <w:jc w:val="both"/>
              <w:rPr>
                <w:sz w:val="13"/>
              </w:rPr>
            </w:pPr>
          </w:p>
        </w:tc>
      </w:tr>
    </w:tbl>
    <w:p w:rsidR="00B92EAF" w:rsidP="00B92EAF" w:rsidRDefault="00B92EAF" w14:paraId="17DFFF79" w14:textId="77777777">
      <w:pPr>
        <w:jc w:val="both"/>
      </w:pPr>
    </w:p>
    <w:p w:rsidRPr="00310F07" w:rsidR="00B92EAF" w:rsidP="00B92EAF" w:rsidRDefault="00B92EAF" w14:paraId="7A888358" w14:textId="03BB413A">
      <w:pPr>
        <w:jc w:val="both"/>
        <w:rPr>
          <w:b/>
          <w:bCs/>
        </w:rPr>
      </w:pPr>
      <w:r w:rsidRPr="00310F07">
        <w:rPr>
          <w:b/>
          <w:bCs/>
        </w:rPr>
        <w:t>Nederlands standpunt</w:t>
      </w:r>
      <w:r w:rsidR="00A96075">
        <w:rPr>
          <w:b/>
          <w:bCs/>
        </w:rPr>
        <w:t xml:space="preserve"> DEAP in</w:t>
      </w:r>
      <w:r w:rsidRPr="00310F07">
        <w:rPr>
          <w:b/>
          <w:bCs/>
        </w:rPr>
        <w:t xml:space="preserve"> 2020</w:t>
      </w:r>
    </w:p>
    <w:p w:rsidR="00B92EAF" w:rsidP="00B92EAF" w:rsidRDefault="00B92EAF" w14:paraId="6223B244" w14:textId="412E5650">
      <w:pPr>
        <w:jc w:val="both"/>
      </w:pPr>
      <w:r>
        <w:t>De Nederlandse reactie op het oorspronkelijke Actieplan uit 2020</w:t>
      </w:r>
      <w:r w:rsidR="00EE17D1">
        <w:rPr>
          <w:rStyle w:val="Voetnootmarkering"/>
        </w:rPr>
        <w:footnoteReference w:id="2"/>
      </w:r>
      <w:r>
        <w:t xml:space="preserve"> was overwegend positief, met steun voor initiatieven zoals de ‘Europe</w:t>
      </w:r>
      <w:r w:rsidR="00DB4A3B">
        <w:t>an</w:t>
      </w:r>
      <w:r>
        <w:t xml:space="preserve"> Digital </w:t>
      </w:r>
      <w:r w:rsidR="00DB4A3B">
        <w:t>Education Hub</w:t>
      </w:r>
      <w:r>
        <w:t xml:space="preserve">’, evidence-based policymaking en het gebruik van Erasmus+ voor het bevorderen van digitaal onderwijs. De focus op AI en data in het onderwijs, met aandacht voor publieke waarden en gegevensbeheer werd </w:t>
      </w:r>
      <w:r w:rsidR="00945285">
        <w:t xml:space="preserve"> </w:t>
      </w:r>
      <w:r>
        <w:t>gesteund</w:t>
      </w:r>
      <w:r w:rsidR="00265BFB">
        <w:t xml:space="preserve">. </w:t>
      </w:r>
      <w:r w:rsidR="00EE17D1">
        <w:t>Ook d</w:t>
      </w:r>
      <w:r w:rsidR="00945285">
        <w:t>e</w:t>
      </w:r>
      <w:r>
        <w:t xml:space="preserve"> ontwikkeling van een Europees kader voor gecertificeerde online content</w:t>
      </w:r>
      <w:r w:rsidR="00265BFB">
        <w:t xml:space="preserve"> werd verwelkomd</w:t>
      </w:r>
      <w:r>
        <w:t>, mits daarin de nadruk zou liggen op</w:t>
      </w:r>
      <w:r w:rsidR="00DB4A3B">
        <w:t xml:space="preserve"> het langs technische weg vergemakkelijken van de </w:t>
      </w:r>
      <w:r w:rsidR="00F96CBE">
        <w:t>uitwisseling</w:t>
      </w:r>
      <w:r w:rsidR="00DB4A3B">
        <w:t xml:space="preserve"> van leermiddelen</w:t>
      </w:r>
      <w:r w:rsidR="00F96CBE">
        <w:t xml:space="preserve"> </w:t>
      </w:r>
      <w:r w:rsidR="00DB4A3B">
        <w:t>(</w:t>
      </w:r>
      <w:r>
        <w:t>interoperabiliteit</w:t>
      </w:r>
      <w:r w:rsidR="00DB4A3B">
        <w:t>)</w:t>
      </w:r>
      <w:r>
        <w:t xml:space="preserve"> en </w:t>
      </w:r>
      <w:r w:rsidR="00265BFB">
        <w:t xml:space="preserve"> </w:t>
      </w:r>
      <w:r>
        <w:t>geen sprake zou zijn van  inhoudelijke beoordeling van onderwijsinhoud op EU-niveau. Daarnaast werd geconstateerd dat</w:t>
      </w:r>
      <w:r w:rsidR="00945285">
        <w:t xml:space="preserve"> </w:t>
      </w:r>
      <w:r>
        <w:t xml:space="preserve">er in de </w:t>
      </w:r>
      <w:r w:rsidR="00945285">
        <w:t xml:space="preserve">voorgestelde </w:t>
      </w:r>
      <w:r>
        <w:t xml:space="preserve">acties aandacht ontbrak voor de EdTech sector en </w:t>
      </w:r>
      <w:r w:rsidR="00945285">
        <w:t xml:space="preserve">er </w:t>
      </w:r>
      <w:r>
        <w:t>werd ook gepleit voor een strategie om technologische soevereiniteit en publieke waarden in Europa te waarborgen.</w:t>
      </w:r>
    </w:p>
    <w:p w:rsidRPr="008F0B05" w:rsidR="00B92EAF" w:rsidP="00B92EAF" w:rsidRDefault="00B92EAF" w14:paraId="0E7AB8BE" w14:textId="77777777">
      <w:pPr>
        <w:jc w:val="both"/>
        <w:rPr>
          <w:b/>
          <w:bCs/>
        </w:rPr>
      </w:pPr>
    </w:p>
    <w:p w:rsidRPr="008F0B05" w:rsidR="00B92EAF" w:rsidP="00B92EAF" w:rsidRDefault="00945285" w14:paraId="150E02EE" w14:textId="110FEE63">
      <w:pPr>
        <w:jc w:val="both"/>
        <w:rPr>
          <w:b/>
          <w:bCs/>
        </w:rPr>
      </w:pPr>
      <w:r>
        <w:rPr>
          <w:b/>
          <w:bCs/>
        </w:rPr>
        <w:t xml:space="preserve">Nederlandse reactie consultatie </w:t>
      </w:r>
      <w:r w:rsidR="00B92EAF">
        <w:rPr>
          <w:b/>
          <w:bCs/>
        </w:rPr>
        <w:t>2024</w:t>
      </w:r>
    </w:p>
    <w:p w:rsidR="00265BFB" w:rsidP="00B92EAF" w:rsidRDefault="00B92EAF" w14:paraId="5DA3E18E" w14:textId="285DE1B1">
      <w:pPr>
        <w:jc w:val="both"/>
      </w:pPr>
      <w:r>
        <w:t>In</w:t>
      </w:r>
      <w:r w:rsidR="00945285">
        <w:t xml:space="preserve"> het</w:t>
      </w:r>
      <w:r>
        <w:t xml:space="preserve"> position paper wordt </w:t>
      </w:r>
      <w:r w:rsidR="00265BFB">
        <w:t>opnieuw</w:t>
      </w:r>
      <w:r>
        <w:t xml:space="preserve"> steun uitgesproken voor het Actieplan</w:t>
      </w:r>
      <w:r w:rsidR="00EE17D1">
        <w:t xml:space="preserve">, </w:t>
      </w:r>
      <w:r w:rsidR="00977430">
        <w:t>gezien onder meer de bijdrage aan het bevorderen en beschermen van fundamentele en democratische waarden,</w:t>
      </w:r>
      <w:r w:rsidR="00BC56CF">
        <w:t xml:space="preserve"> </w:t>
      </w:r>
      <w:r w:rsidR="00EE17D1">
        <w:t xml:space="preserve">en </w:t>
      </w:r>
      <w:r w:rsidR="00977430">
        <w:t xml:space="preserve">ook </w:t>
      </w:r>
      <w:r w:rsidR="00EE17D1">
        <w:t>waardering voor de tot dusverre bereikte resultaten</w:t>
      </w:r>
      <w:r>
        <w:t xml:space="preserve">. Wel wordt er een aantal </w:t>
      </w:r>
      <w:r w:rsidR="00945285">
        <w:t xml:space="preserve">procesmatige en inhoudelijke </w:t>
      </w:r>
      <w:r>
        <w:t>verbeterpunten voorgesteld</w:t>
      </w:r>
      <w:r w:rsidR="00945285">
        <w:t xml:space="preserve"> v</w:t>
      </w:r>
      <w:r>
        <w:t>oor de resterende looptijd</w:t>
      </w:r>
      <w:r w:rsidR="00945285">
        <w:t xml:space="preserve">. </w:t>
      </w:r>
      <w:r>
        <w:t xml:space="preserve"> </w:t>
      </w:r>
    </w:p>
    <w:p w:rsidR="00265BFB" w:rsidP="00B92EAF" w:rsidRDefault="00265BFB" w14:paraId="5AB0A981" w14:textId="77777777">
      <w:pPr>
        <w:jc w:val="both"/>
      </w:pPr>
    </w:p>
    <w:p w:rsidR="00B92EAF" w:rsidP="00B92EAF" w:rsidRDefault="00B92EAF" w14:paraId="559316E3" w14:textId="09014AC5">
      <w:pPr>
        <w:jc w:val="both"/>
      </w:pPr>
      <w:r>
        <w:t xml:space="preserve">Procesmatig moet het DEAP </w:t>
      </w:r>
      <w:bookmarkStart w:name="_Hlk175910305" w:id="1"/>
      <w:r>
        <w:t xml:space="preserve">rekening houden met de autonomie van onderwijsinstellingen en -professionals en toepasbaar zijn op alle onderwijssectoren, </w:t>
      </w:r>
      <w:r w:rsidR="00265BFB">
        <w:t>en moet</w:t>
      </w:r>
      <w:r w:rsidR="00A96075">
        <w:t xml:space="preserve"> minder nadruk </w:t>
      </w:r>
      <w:r w:rsidR="00265BFB">
        <w:t xml:space="preserve">liggen </w:t>
      </w:r>
      <w:r w:rsidR="00A96075">
        <w:t xml:space="preserve">op </w:t>
      </w:r>
      <w:r>
        <w:t xml:space="preserve">interventies op individueel instellings- of lerarenniveau. Daarnaast moet er sterker worden ingezet op communicatie aan het onderwijsveld over het plan, </w:t>
      </w:r>
      <w:r w:rsidR="00265BFB">
        <w:t xml:space="preserve">en </w:t>
      </w:r>
      <w:r>
        <w:t xml:space="preserve">op </w:t>
      </w:r>
      <w:r w:rsidR="00265BFB">
        <w:t>mee</w:t>
      </w:r>
      <w:r w:rsidR="00B153A1">
        <w:t>r</w:t>
      </w:r>
      <w:r w:rsidR="00265BFB">
        <w:t xml:space="preserve"> </w:t>
      </w:r>
      <w:r w:rsidR="00F96CBE">
        <w:t>synergie</w:t>
      </w:r>
      <w:r>
        <w:t xml:space="preserve"> met Europese programma’s als Erasmus+, Horizon Europe en Digital Europe. </w:t>
      </w:r>
    </w:p>
    <w:bookmarkEnd w:id="1"/>
    <w:p w:rsidR="00B92EAF" w:rsidP="00B92EAF" w:rsidRDefault="00B92EAF" w14:paraId="06E1E5AC" w14:textId="77777777">
      <w:pPr>
        <w:jc w:val="both"/>
      </w:pPr>
    </w:p>
    <w:p w:rsidR="00B92EAF" w:rsidP="00B92EAF" w:rsidRDefault="00B92EAF" w14:paraId="2334BDD8" w14:textId="472717A8">
      <w:pPr>
        <w:jc w:val="both"/>
      </w:pPr>
      <w:r>
        <w:t>Inhoudelijk word</w:t>
      </w:r>
      <w:r w:rsidR="00265BFB">
        <w:t>en</w:t>
      </w:r>
      <w:r>
        <w:t xml:space="preserve"> drie nieuwe prioriteiten </w:t>
      </w:r>
      <w:r w:rsidR="00265BFB">
        <w:t xml:space="preserve">bepleit. Ten eerste </w:t>
      </w:r>
      <w:r>
        <w:t>het waarborgen van publieke, fundamentele waarden in relatie tot digitalisering, en in het bijzonder privac</w:t>
      </w:r>
      <w:r w:rsidR="00265BFB">
        <w:t xml:space="preserve">y. Ten tweede </w:t>
      </w:r>
      <w:r>
        <w:t>het stimuleren van alternatieven voor Big Tech platforms in het onderwijs om een gelijk speelveld te creëren en meer autonomie voor onderwijsinstellingen te bewerkstelligen</w:t>
      </w:r>
      <w:r w:rsidR="00265BFB">
        <w:t>. En ten derde</w:t>
      </w:r>
      <w:r>
        <w:t xml:space="preserve"> het aanpakken van standaardisatie op Europees niveau om te komen tot grensoverschrijdende interoperabiliteit tussen onderwijssystemen.</w:t>
      </w:r>
      <w:r w:rsidR="00945285">
        <w:t xml:space="preserve"> </w:t>
      </w:r>
      <w:r>
        <w:t xml:space="preserve">Dit zijn drie onderling samenhangende onderwerpen waarvoor EU-samenwerking een duidelijke meerwaarde heeft ten opzichte van </w:t>
      </w:r>
      <w:r w:rsidR="00B153A1">
        <w:t xml:space="preserve">losse, </w:t>
      </w:r>
      <w:r>
        <w:t xml:space="preserve">nationale </w:t>
      </w:r>
      <w:r w:rsidR="00B153A1">
        <w:t>actieplannen</w:t>
      </w:r>
      <w:r>
        <w:t xml:space="preserve">. Voor het realiseren van een gelijk speelveld tussen leveranciers van digitaal onderwijs en een goed presterend Europees digitaal onderwijsecosysteem is het </w:t>
      </w:r>
      <w:r w:rsidR="00DB4A3B">
        <w:t xml:space="preserve">van groot belang dat </w:t>
      </w:r>
      <w:r>
        <w:t xml:space="preserve">onafhankelijke </w:t>
      </w:r>
      <w:r w:rsidR="00DB4A3B">
        <w:t xml:space="preserve">technische </w:t>
      </w:r>
      <w:r>
        <w:t xml:space="preserve">oplossingen en waardegedreven, open source </w:t>
      </w:r>
      <w:r w:rsidR="00F96CBE">
        <w:t xml:space="preserve">digitale toepassingen voor het </w:t>
      </w:r>
      <w:r>
        <w:t>onderwijs</w:t>
      </w:r>
      <w:r w:rsidR="00F96CBE">
        <w:t xml:space="preserve"> worden gestimuleerd</w:t>
      </w:r>
      <w:r>
        <w:t xml:space="preserve">. </w:t>
      </w:r>
    </w:p>
    <w:p w:rsidR="00B92EAF" w:rsidP="00B92EAF" w:rsidRDefault="00B92EAF" w14:paraId="3963D073" w14:textId="77777777">
      <w:pPr>
        <w:jc w:val="both"/>
      </w:pPr>
      <w:r w:rsidRPr="007851C4">
        <w:t xml:space="preserve"> </w:t>
      </w:r>
    </w:p>
    <w:p w:rsidR="00F96CBE" w:rsidP="00B92EAF" w:rsidRDefault="00B92EAF" w14:paraId="12151581" w14:textId="77777777">
      <w:pPr>
        <w:jc w:val="both"/>
      </w:pPr>
      <w:r>
        <w:t>Daarnaast wordt er in het position paper ingezet op blijvende en verdiepende aandacht voor AI-ontwikkelingen en</w:t>
      </w:r>
      <w:r w:rsidR="00B153A1">
        <w:t xml:space="preserve"> de</w:t>
      </w:r>
      <w:r>
        <w:t xml:space="preserve"> impact</w:t>
      </w:r>
      <w:r w:rsidR="00B153A1">
        <w:t xml:space="preserve"> daarvan</w:t>
      </w:r>
      <w:r>
        <w:t xml:space="preserve"> op het onderwijsveld</w:t>
      </w:r>
      <w:r w:rsidR="00265BFB">
        <w:t>, in lijn met de Nederlandse inbreng i</w:t>
      </w:r>
      <w:r>
        <w:t>n  de OJCS Raad van 13 mei 2024</w:t>
      </w:r>
      <w:r>
        <w:rPr>
          <w:rStyle w:val="Voetnootmarkering"/>
        </w:rPr>
        <w:footnoteReference w:id="3"/>
      </w:r>
      <w:r>
        <w:t xml:space="preserve">. </w:t>
      </w:r>
      <w:r w:rsidR="00F96CBE">
        <w:br/>
      </w:r>
    </w:p>
    <w:p w:rsidR="00F96CBE" w:rsidP="00B92EAF" w:rsidRDefault="00B92EAF" w14:paraId="4DBFC3DD" w14:textId="529F2B44">
      <w:pPr>
        <w:jc w:val="both"/>
      </w:pPr>
      <w:r>
        <w:t xml:space="preserve">Ook wordt er geconcludeerd dat het </w:t>
      </w:r>
      <w:r w:rsidR="00265BFB">
        <w:t xml:space="preserve">Nederlandse </w:t>
      </w:r>
      <w:r>
        <w:t>onderwijsveld de oprichting van de Digital Education Hub als de meest waardevolle actie uit het DEAP ziet.</w:t>
      </w:r>
      <w:r w:rsidR="00A96075">
        <w:t xml:space="preserve"> </w:t>
      </w:r>
      <w:r w:rsidRPr="00F96CBE" w:rsidR="00DB4A3B">
        <w:t xml:space="preserve">De Hub helpt </w:t>
      </w:r>
      <w:r w:rsidR="00DB4A3B">
        <w:t xml:space="preserve">onderwijsinstellingen en -professionals </w:t>
      </w:r>
      <w:r w:rsidRPr="00F96CBE" w:rsidR="00DB4A3B">
        <w:t xml:space="preserve">uit de Europese lidstaten om de digitale onderwijspraktijk te versterken. </w:t>
      </w:r>
      <w:r w:rsidR="00DB4A3B">
        <w:t>Zij kunnen er</w:t>
      </w:r>
      <w:r w:rsidRPr="00F96CBE" w:rsidR="00DB4A3B">
        <w:t xml:space="preserve"> terecht voor advies over digitaal onderwijs, om goede voorbeelden te delen en om workshops, clinics en webinars te volgen.</w:t>
      </w:r>
      <w:r w:rsidR="00DB4A3B">
        <w:t xml:space="preserve"> Vanuit Nederland is bijvoorbeeld SURF </w:t>
      </w:r>
      <w:r w:rsidR="00F96CBE">
        <w:t xml:space="preserve">in de hub </w:t>
      </w:r>
      <w:r w:rsidR="00DB4A3B">
        <w:t xml:space="preserve">actief op het gebied van interoperabiliteit in het hoger onderwijs. </w:t>
      </w:r>
    </w:p>
    <w:p w:rsidR="00F96CBE" w:rsidP="00B92EAF" w:rsidRDefault="00F96CBE" w14:paraId="358E6CC8" w14:textId="77777777">
      <w:pPr>
        <w:jc w:val="both"/>
      </w:pPr>
    </w:p>
    <w:p w:rsidR="005B0F12" w:rsidP="00B92EAF" w:rsidRDefault="00A96075" w14:paraId="4540A278" w14:textId="182A4878">
      <w:pPr>
        <w:jc w:val="both"/>
        <w:rPr>
          <w:szCs w:val="18"/>
        </w:rPr>
      </w:pPr>
      <w:r>
        <w:t xml:space="preserve">Tenslotte is aangegeven dat in de resterende looptijd </w:t>
      </w:r>
      <w:r w:rsidR="001E02AA">
        <w:t xml:space="preserve">geen extra </w:t>
      </w:r>
      <w:r>
        <w:t>aandacht aan digitale vaardigheden hoeft te worden gegeven, omdat hierover eind 2023 al Raadsaanbevelingen zijn aangenomen</w:t>
      </w:r>
      <w:r w:rsidR="00100F6B">
        <w:rPr>
          <w:rStyle w:val="Voetnootmarkering"/>
        </w:rPr>
        <w:footnoteReference w:id="4"/>
      </w:r>
      <w:r>
        <w:t>.</w:t>
      </w:r>
      <w:r w:rsidR="00977430">
        <w:t xml:space="preserve"> Het is nu vooral van belang dat alle EU-lidstaten hieraan in hun nationale beleid invulling geven, en de resultaten daarvan </w:t>
      </w:r>
      <w:r w:rsidR="00354EB5">
        <w:t xml:space="preserve">zoals ook beoogd </w:t>
      </w:r>
      <w:r w:rsidR="00977430">
        <w:t xml:space="preserve">op EU-niveau worden gemonitord. </w:t>
      </w:r>
      <w:r w:rsidR="00354EB5">
        <w:t>Dat is onder meer van belang</w:t>
      </w:r>
      <w:r w:rsidR="00977430">
        <w:t xml:space="preserve"> </w:t>
      </w:r>
      <w:r w:rsidRPr="00BC56CF" w:rsidR="00977430">
        <w:t xml:space="preserve">omdat </w:t>
      </w:r>
      <w:r w:rsidR="00644939">
        <w:t xml:space="preserve">in de huidige </w:t>
      </w:r>
      <w:r w:rsidRPr="00BC56CF" w:rsidR="00977430">
        <w:rPr>
          <w:szCs w:val="18"/>
        </w:rPr>
        <w:t>geopolitieke</w:t>
      </w:r>
      <w:r w:rsidR="00644939">
        <w:rPr>
          <w:szCs w:val="18"/>
        </w:rPr>
        <w:t xml:space="preserve"> context steeds vaker sprake is van h</w:t>
      </w:r>
      <w:r w:rsidR="00977430">
        <w:rPr>
          <w:szCs w:val="18"/>
        </w:rPr>
        <w:t xml:space="preserve">et manipuleren van informatie door buitenlandse mogendheden </w:t>
      </w:r>
      <w:r w:rsidR="00644939">
        <w:rPr>
          <w:szCs w:val="18"/>
        </w:rPr>
        <w:t>en dit vraagt o</w:t>
      </w:r>
      <w:r w:rsidR="00977430">
        <w:rPr>
          <w:szCs w:val="18"/>
        </w:rPr>
        <w:t xml:space="preserve">m </w:t>
      </w:r>
      <w:r w:rsidR="00644939">
        <w:rPr>
          <w:szCs w:val="18"/>
        </w:rPr>
        <w:t xml:space="preserve">grotere </w:t>
      </w:r>
      <w:r w:rsidR="00977430">
        <w:rPr>
          <w:szCs w:val="18"/>
        </w:rPr>
        <w:t>maatschappelijke weerbaarheid waaraan betere digitale en mediageletterdheid ook bijdr</w:t>
      </w:r>
      <w:r w:rsidR="00644939">
        <w:rPr>
          <w:szCs w:val="18"/>
        </w:rPr>
        <w:t>agen</w:t>
      </w:r>
      <w:r w:rsidR="00977430">
        <w:rPr>
          <w:szCs w:val="18"/>
        </w:rPr>
        <w:t xml:space="preserve">. </w:t>
      </w:r>
    </w:p>
    <w:p w:rsidR="005B0F12" w:rsidRDefault="005B0F12" w14:paraId="33969CAE" w14:textId="77777777">
      <w:pPr>
        <w:spacing w:line="240" w:lineRule="auto"/>
        <w:rPr>
          <w:szCs w:val="18"/>
        </w:rPr>
      </w:pPr>
      <w:r>
        <w:rPr>
          <w:szCs w:val="18"/>
        </w:rPr>
        <w:br w:type="page"/>
      </w:r>
    </w:p>
    <w:p w:rsidRPr="00977430" w:rsidR="00B92EAF" w:rsidP="00B92EAF" w:rsidRDefault="00B92EAF" w14:paraId="487EE1F0" w14:textId="77777777">
      <w:pPr>
        <w:jc w:val="both"/>
      </w:pPr>
    </w:p>
    <w:p w:rsidRPr="00977430" w:rsidR="00B92EAF" w:rsidP="00B92EAF" w:rsidRDefault="00B92EAF" w14:paraId="5BA5B580" w14:textId="77777777">
      <w:pPr>
        <w:jc w:val="both"/>
      </w:pPr>
    </w:p>
    <w:p w:rsidRPr="008F0B05" w:rsidR="00B92EAF" w:rsidP="00EE17D1" w:rsidRDefault="00B92EAF" w14:paraId="7F30DC84" w14:textId="73221E34">
      <w:pPr>
        <w:spacing w:line="240" w:lineRule="auto"/>
        <w:rPr>
          <w:b/>
          <w:bCs/>
        </w:rPr>
      </w:pPr>
      <w:r w:rsidRPr="008F0B05">
        <w:rPr>
          <w:b/>
          <w:bCs/>
        </w:rPr>
        <w:t>Vervolgproces</w:t>
      </w:r>
    </w:p>
    <w:p w:rsidR="00B92EAF" w:rsidP="00B92EAF" w:rsidRDefault="00B92EAF" w14:paraId="1088BF2C" w14:textId="5DC6CB5A">
      <w:pPr>
        <w:jc w:val="both"/>
      </w:pPr>
      <w:r>
        <w:t xml:space="preserve">Het definitieve evaluatierapport </w:t>
      </w:r>
      <w:r w:rsidR="00A96075">
        <w:t xml:space="preserve">en </w:t>
      </w:r>
      <w:r w:rsidR="00945285">
        <w:t xml:space="preserve">daaruit afgeleide </w:t>
      </w:r>
      <w:r w:rsidR="00A96075">
        <w:t xml:space="preserve">aanpassingsvoorstellen </w:t>
      </w:r>
      <w:r>
        <w:t>van de Europese Commissie wordt in het voorjaar van 2025 verwacht</w:t>
      </w:r>
      <w:r w:rsidR="00A96075">
        <w:t xml:space="preserve">, en deze zullen dan worden beoordeeld </w:t>
      </w:r>
      <w:r>
        <w:t xml:space="preserve">in samenhang met de Europese ambities van het kabinet. </w:t>
      </w:r>
    </w:p>
    <w:p w:rsidR="00B92EAF" w:rsidP="00B92EAF" w:rsidRDefault="00B92EAF" w14:paraId="691AC157" w14:textId="77777777">
      <w:pPr>
        <w:jc w:val="both"/>
      </w:pPr>
    </w:p>
    <w:p w:rsidR="005B0F12" w:rsidP="00B92EAF" w:rsidRDefault="005B0F12" w14:paraId="3DA433EF" w14:textId="77777777">
      <w:pPr>
        <w:jc w:val="both"/>
      </w:pPr>
    </w:p>
    <w:p w:rsidR="00B92EAF" w:rsidP="00B92EAF" w:rsidRDefault="00B92EAF" w14:paraId="427815F3" w14:textId="77777777">
      <w:pPr>
        <w:jc w:val="both"/>
      </w:pPr>
      <w:r>
        <w:t>De minister van Onderwijs, Cultuur en Wetenschap,</w:t>
      </w:r>
    </w:p>
    <w:p w:rsidR="00B92EAF" w:rsidP="00B92EAF" w:rsidRDefault="00B92EAF" w14:paraId="13EEE1F9" w14:textId="77777777">
      <w:pPr>
        <w:jc w:val="both"/>
      </w:pPr>
    </w:p>
    <w:p w:rsidR="00EE17D1" w:rsidP="00B92EAF" w:rsidRDefault="00EE17D1" w14:paraId="6E4BA14B" w14:textId="77777777">
      <w:pPr>
        <w:jc w:val="both"/>
      </w:pPr>
    </w:p>
    <w:p w:rsidR="00577439" w:rsidP="00B92EAF" w:rsidRDefault="00577439" w14:paraId="6F1C0B54" w14:textId="77777777">
      <w:pPr>
        <w:jc w:val="both"/>
      </w:pPr>
    </w:p>
    <w:p w:rsidR="00B92EAF" w:rsidP="00B92EAF" w:rsidRDefault="00B92EAF" w14:paraId="120BFCAC" w14:textId="77777777">
      <w:pPr>
        <w:jc w:val="both"/>
      </w:pPr>
    </w:p>
    <w:p w:rsidR="00B92EAF" w:rsidP="00B92EAF" w:rsidRDefault="00B92EAF" w14:paraId="70E918B1" w14:textId="77777777">
      <w:pPr>
        <w:pStyle w:val="standaard-tekst"/>
        <w:jc w:val="both"/>
      </w:pPr>
      <w:r>
        <w:t>Eppo Bruins</w:t>
      </w:r>
    </w:p>
    <w:p w:rsidR="00B92EAF" w:rsidP="00B92EAF" w:rsidRDefault="00B92EAF" w14:paraId="39651FB5" w14:textId="77777777">
      <w:pPr>
        <w:jc w:val="both"/>
      </w:pPr>
    </w:p>
    <w:p w:rsidR="00577439" w:rsidP="00B92EAF" w:rsidRDefault="00577439" w14:paraId="72A72F4F" w14:textId="77777777">
      <w:pPr>
        <w:jc w:val="both"/>
      </w:pPr>
    </w:p>
    <w:p w:rsidR="00B92EAF" w:rsidP="00B92EAF" w:rsidRDefault="00B92EAF" w14:paraId="777E41AF" w14:textId="77777777">
      <w:pPr>
        <w:pStyle w:val="standaard-tekst"/>
        <w:jc w:val="both"/>
      </w:pPr>
      <w:r>
        <w:t>De staatssecretaris van Onderwijs, Cultuur en Wetenschap,</w:t>
      </w:r>
    </w:p>
    <w:p w:rsidR="00B92EAF" w:rsidP="00B92EAF" w:rsidRDefault="00B92EAF" w14:paraId="52CA78EF" w14:textId="77777777">
      <w:pPr>
        <w:jc w:val="both"/>
      </w:pPr>
    </w:p>
    <w:p w:rsidR="00577439" w:rsidP="00B92EAF" w:rsidRDefault="00577439" w14:paraId="7306C927" w14:textId="77777777">
      <w:pPr>
        <w:jc w:val="both"/>
      </w:pPr>
    </w:p>
    <w:p w:rsidR="00B92EAF" w:rsidP="00B92EAF" w:rsidRDefault="00B92EAF" w14:paraId="3C8E3819" w14:textId="77777777">
      <w:pPr>
        <w:jc w:val="both"/>
      </w:pPr>
    </w:p>
    <w:p w:rsidR="00B92EAF" w:rsidP="00B92EAF" w:rsidRDefault="00B92EAF" w14:paraId="370AF7AA" w14:textId="77777777">
      <w:pPr>
        <w:jc w:val="both"/>
      </w:pPr>
    </w:p>
    <w:p w:rsidRPr="00820DDA" w:rsidR="00820DDA" w:rsidP="00EE17D1" w:rsidRDefault="00B92EAF" w14:paraId="630C321A" w14:textId="0FC70878">
      <w:pPr>
        <w:spacing w:line="240" w:lineRule="auto"/>
      </w:pPr>
      <w:r>
        <w:t>Mariëlle Paul</w:t>
      </w:r>
    </w:p>
    <w:sectPr w:rsidRPr="00820DDA" w:rsidR="00820DDA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7D6A" w14:textId="77777777" w:rsidR="00DC691C" w:rsidRDefault="00B92EAF">
      <w:r>
        <w:separator/>
      </w:r>
    </w:p>
    <w:p w14:paraId="0A253C94" w14:textId="77777777" w:rsidR="00DC691C" w:rsidRDefault="00DC691C"/>
  </w:endnote>
  <w:endnote w:type="continuationSeparator" w:id="0">
    <w:p w14:paraId="5D3CCEDB" w14:textId="77777777" w:rsidR="00DC691C" w:rsidRDefault="00B92EAF">
      <w:r>
        <w:continuationSeparator/>
      </w:r>
    </w:p>
    <w:p w14:paraId="00D89D3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699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054BD" w14:paraId="41AE5B1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40DA31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A36C19D" w14:textId="73392CF0" w:rsidR="002F71BB" w:rsidRPr="004C7E1D" w:rsidRDefault="00B92EA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E49FD">
            <w:rPr>
              <w:szCs w:val="13"/>
            </w:rPr>
            <w:t>3</w:t>
          </w:r>
          <w:r w:rsidRPr="004C7E1D">
            <w:rPr>
              <w:szCs w:val="13"/>
            </w:rPr>
            <w:fldChar w:fldCharType="end"/>
          </w:r>
        </w:p>
      </w:tc>
    </w:tr>
  </w:tbl>
  <w:p w14:paraId="58EA080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054BD" w14:paraId="2B54187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52AA3B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FD862D2" w14:textId="088103F6" w:rsidR="00D17084" w:rsidRPr="004C7E1D" w:rsidRDefault="00B92EA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E49FD">
            <w:rPr>
              <w:szCs w:val="13"/>
            </w:rPr>
            <w:t>3</w:t>
          </w:r>
          <w:r w:rsidRPr="004C7E1D">
            <w:rPr>
              <w:szCs w:val="13"/>
            </w:rPr>
            <w:fldChar w:fldCharType="end"/>
          </w:r>
        </w:p>
      </w:tc>
    </w:tr>
  </w:tbl>
  <w:p w14:paraId="543C332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F2E0" w14:textId="77777777" w:rsidR="00DC691C" w:rsidRDefault="00B92EAF">
      <w:r>
        <w:separator/>
      </w:r>
    </w:p>
    <w:p w14:paraId="017456A4" w14:textId="77777777" w:rsidR="00DC691C" w:rsidRDefault="00DC691C"/>
  </w:footnote>
  <w:footnote w:type="continuationSeparator" w:id="0">
    <w:p w14:paraId="3357EBFB" w14:textId="77777777" w:rsidR="00DC691C" w:rsidRDefault="00B92EAF">
      <w:r>
        <w:continuationSeparator/>
      </w:r>
    </w:p>
    <w:p w14:paraId="4F04DCFE" w14:textId="77777777" w:rsidR="00DC691C" w:rsidRDefault="00DC691C"/>
  </w:footnote>
  <w:footnote w:id="1">
    <w:p w14:paraId="62B2B619" w14:textId="618B8096" w:rsidR="00F96CBE" w:rsidRDefault="00F96CBE">
      <w:pPr>
        <w:pStyle w:val="Voetnoottekst"/>
      </w:pPr>
      <w:r>
        <w:rPr>
          <w:rStyle w:val="Voetnootmarkering"/>
        </w:rPr>
        <w:footnoteRef/>
      </w:r>
      <w:r>
        <w:t xml:space="preserve"> Kamerstuk</w:t>
      </w:r>
      <w:r w:rsidR="000832CD">
        <w:t>ken</w:t>
      </w:r>
      <w:r>
        <w:t xml:space="preserve"> 22 112, nr. 3774</w:t>
      </w:r>
      <w:r w:rsidR="000832CD">
        <w:t>, 21 501-34, nr. 397</w:t>
      </w:r>
    </w:p>
  </w:footnote>
  <w:footnote w:id="2">
    <w:p w14:paraId="09BD9941" w14:textId="77777777" w:rsidR="00EE17D1" w:rsidRDefault="00EE17D1" w:rsidP="00EE17D1">
      <w:pPr>
        <w:pStyle w:val="Voetnoottekst"/>
      </w:pPr>
      <w:r>
        <w:rPr>
          <w:rStyle w:val="Voetnootmarkering"/>
        </w:rPr>
        <w:footnoteRef/>
      </w:r>
      <w:r>
        <w:t xml:space="preserve"> Kamerstuk </w:t>
      </w:r>
      <w:r w:rsidRPr="00A13CB8">
        <w:t>22</w:t>
      </w:r>
      <w:r>
        <w:t xml:space="preserve"> </w:t>
      </w:r>
      <w:r w:rsidRPr="00A13CB8">
        <w:t>112, nr. 2966</w:t>
      </w:r>
      <w:r>
        <w:t>.</w:t>
      </w:r>
    </w:p>
  </w:footnote>
  <w:footnote w:id="3">
    <w:p w14:paraId="7F3DAA93" w14:textId="77777777" w:rsidR="00B92EAF" w:rsidRDefault="00B92EAF" w:rsidP="00B92EAF">
      <w:pPr>
        <w:pStyle w:val="Voetnoottekst"/>
      </w:pPr>
      <w:r>
        <w:rPr>
          <w:rStyle w:val="Voetnootmarkering"/>
        </w:rPr>
        <w:footnoteRef/>
      </w:r>
      <w:r>
        <w:t xml:space="preserve"> Kamerstuk 21 501-34, nr. 418.</w:t>
      </w:r>
    </w:p>
  </w:footnote>
  <w:footnote w:id="4">
    <w:p w14:paraId="60B5B78E" w14:textId="4A20937E" w:rsidR="00100F6B" w:rsidRDefault="00100F6B">
      <w:pPr>
        <w:pStyle w:val="Voetnoottekst"/>
      </w:pPr>
      <w:r>
        <w:rPr>
          <w:rStyle w:val="Voetnootmarkering"/>
        </w:rPr>
        <w:footnoteRef/>
      </w:r>
      <w:r>
        <w:t xml:space="preserve"> Kamerstuk 21 501-34, nr. 41.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054BD" w14:paraId="09921CE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9B75704" w14:textId="77777777" w:rsidR="00527BD4" w:rsidRPr="00275984" w:rsidRDefault="00527BD4" w:rsidP="00BF4427">
          <w:pPr>
            <w:pStyle w:val="Huisstijl-Rubricering"/>
          </w:pPr>
        </w:p>
      </w:tc>
    </w:tr>
  </w:tbl>
  <w:p w14:paraId="456BABD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054BD" w14:paraId="4CB10663" w14:textId="77777777" w:rsidTr="003B528D">
      <w:tc>
        <w:tcPr>
          <w:tcW w:w="2160" w:type="dxa"/>
          <w:shd w:val="clear" w:color="auto" w:fill="auto"/>
        </w:tcPr>
        <w:p w14:paraId="4EAC8D2E" w14:textId="77777777" w:rsidR="002F71BB" w:rsidRPr="000407BB" w:rsidRDefault="00B92EA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054BD" w14:paraId="7132E9E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E4ED44A" w14:textId="5A8DBD40" w:rsidR="00E35CF4" w:rsidRPr="005D283A" w:rsidRDefault="005B0F12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4811794</w:t>
          </w:r>
        </w:p>
      </w:tc>
    </w:tr>
  </w:tbl>
  <w:p w14:paraId="4945418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054BD" w14:paraId="2BE70B7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63B52E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CE7D75C" w14:textId="77777777" w:rsidR="00704845" w:rsidRDefault="00B92EA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7B7B74A" wp14:editId="6DFF5B8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3DB8CC" w14:textId="77777777" w:rsidR="00483ECA" w:rsidRDefault="00483ECA" w:rsidP="00D037A9"/>
      </w:tc>
    </w:tr>
  </w:tbl>
  <w:p w14:paraId="59AF347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054BD" w:rsidRPr="00BC56CF" w14:paraId="0D4C2E7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17C6C1C" w14:textId="77777777" w:rsidR="00527BD4" w:rsidRPr="00A96075" w:rsidRDefault="00B92EAF" w:rsidP="00210BA3">
          <w:pPr>
            <w:pStyle w:val="Huisstijl-Adres"/>
            <w:spacing w:after="0"/>
            <w:rPr>
              <w:lang w:val="de-DE"/>
            </w:rPr>
          </w:pPr>
          <w:r w:rsidRPr="00A96075">
            <w:rPr>
              <w:lang w:val="de-DE"/>
            </w:rPr>
            <w:t xml:space="preserve">&gt;Retouradres Postbus 16375 2500 BJ Den Haag </w:t>
          </w:r>
        </w:p>
      </w:tc>
    </w:tr>
    <w:tr w:rsidR="00C054BD" w:rsidRPr="00BC56CF" w14:paraId="7D55418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E9F38DD" w14:textId="77777777" w:rsidR="00093ABC" w:rsidRPr="00A96075" w:rsidRDefault="00093ABC" w:rsidP="00963440">
          <w:pPr>
            <w:rPr>
              <w:lang w:val="de-DE"/>
            </w:rPr>
          </w:pPr>
        </w:p>
      </w:tc>
    </w:tr>
    <w:tr w:rsidR="00C054BD" w:rsidRPr="00BC56CF" w14:paraId="22356D66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ABF2684" w14:textId="77777777" w:rsidR="00A604D3" w:rsidRPr="00A96075" w:rsidRDefault="00A604D3" w:rsidP="00963440">
          <w:pPr>
            <w:rPr>
              <w:lang w:val="de-DE"/>
            </w:rPr>
          </w:pPr>
        </w:p>
      </w:tc>
    </w:tr>
    <w:tr w:rsidR="00C054BD" w:rsidRPr="00BC56CF" w14:paraId="3BF9F5C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6B2948E" w14:textId="77777777" w:rsidR="00892BA5" w:rsidRPr="00A96075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  <w:lang w:val="de-DE"/>
            </w:rPr>
          </w:pPr>
        </w:p>
      </w:tc>
    </w:tr>
  </w:tbl>
  <w:p w14:paraId="7F55FC26" w14:textId="77777777" w:rsidR="006F273B" w:rsidRPr="00A96075" w:rsidRDefault="006F273B" w:rsidP="00BC4AE3">
    <w:pPr>
      <w:pStyle w:val="Koptekst"/>
      <w:rPr>
        <w:lang w:val="de-DE"/>
      </w:rPr>
    </w:pPr>
  </w:p>
  <w:p w14:paraId="20B7347E" w14:textId="77777777" w:rsidR="00153BD0" w:rsidRPr="00A96075" w:rsidRDefault="00153BD0" w:rsidP="00BC4AE3">
    <w:pPr>
      <w:pStyle w:val="Koptekst"/>
      <w:rPr>
        <w:lang w:val="de-DE"/>
      </w:rPr>
    </w:pPr>
  </w:p>
  <w:p w14:paraId="2F6594D3" w14:textId="77777777" w:rsidR="0044605E" w:rsidRPr="00A96075" w:rsidRDefault="0044605E" w:rsidP="00BC4AE3">
    <w:pPr>
      <w:pStyle w:val="Koptekst"/>
      <w:rPr>
        <w:lang w:val="de-DE"/>
      </w:rPr>
    </w:pPr>
  </w:p>
  <w:p w14:paraId="670B2E54" w14:textId="77777777" w:rsidR="0044605E" w:rsidRPr="00A96075" w:rsidRDefault="0044605E" w:rsidP="00BC4AE3">
    <w:pPr>
      <w:pStyle w:val="Koptekst"/>
      <w:rPr>
        <w:lang w:val="de-DE"/>
      </w:rPr>
    </w:pPr>
  </w:p>
  <w:p w14:paraId="32FD37E4" w14:textId="77777777" w:rsidR="0044605E" w:rsidRPr="00A96075" w:rsidRDefault="0044605E" w:rsidP="00BC4AE3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AF667E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B081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E7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69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E2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DAA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81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A5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06C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AC2F07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6484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826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69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64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6B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65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0D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CC7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9568586">
    <w:abstractNumId w:val="10"/>
  </w:num>
  <w:num w:numId="2" w16cid:durableId="262154359">
    <w:abstractNumId w:val="7"/>
  </w:num>
  <w:num w:numId="3" w16cid:durableId="558517329">
    <w:abstractNumId w:val="6"/>
  </w:num>
  <w:num w:numId="4" w16cid:durableId="179316826">
    <w:abstractNumId w:val="5"/>
  </w:num>
  <w:num w:numId="5" w16cid:durableId="107744604">
    <w:abstractNumId w:val="4"/>
  </w:num>
  <w:num w:numId="6" w16cid:durableId="738133593">
    <w:abstractNumId w:val="8"/>
  </w:num>
  <w:num w:numId="7" w16cid:durableId="1563179410">
    <w:abstractNumId w:val="3"/>
  </w:num>
  <w:num w:numId="8" w16cid:durableId="2104259383">
    <w:abstractNumId w:val="2"/>
  </w:num>
  <w:num w:numId="9" w16cid:durableId="256907977">
    <w:abstractNumId w:val="1"/>
  </w:num>
  <w:num w:numId="10" w16cid:durableId="1944796869">
    <w:abstractNumId w:val="0"/>
  </w:num>
  <w:num w:numId="11" w16cid:durableId="368721077">
    <w:abstractNumId w:val="9"/>
  </w:num>
  <w:num w:numId="12" w16cid:durableId="1399938599">
    <w:abstractNumId w:val="11"/>
  </w:num>
  <w:num w:numId="13" w16cid:durableId="1752434405">
    <w:abstractNumId w:val="13"/>
  </w:num>
  <w:num w:numId="14" w16cid:durableId="9420640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32CD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0F6B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3A59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02AA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5BFB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1494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5066"/>
    <w:rsid w:val="00322836"/>
    <w:rsid w:val="00334154"/>
    <w:rsid w:val="003341D0"/>
    <w:rsid w:val="003372C4"/>
    <w:rsid w:val="00340ADE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4EB5"/>
    <w:rsid w:val="00356D2B"/>
    <w:rsid w:val="00361A56"/>
    <w:rsid w:val="0036252A"/>
    <w:rsid w:val="00364D9D"/>
    <w:rsid w:val="00371048"/>
    <w:rsid w:val="003716D4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439"/>
    <w:rsid w:val="00577559"/>
    <w:rsid w:val="0058000E"/>
    <w:rsid w:val="005819CE"/>
    <w:rsid w:val="0058298D"/>
    <w:rsid w:val="00590595"/>
    <w:rsid w:val="00593C2B"/>
    <w:rsid w:val="00595231"/>
    <w:rsid w:val="00595CBB"/>
    <w:rsid w:val="00596166"/>
    <w:rsid w:val="00596EBB"/>
    <w:rsid w:val="00597F64"/>
    <w:rsid w:val="005A1AF5"/>
    <w:rsid w:val="005A207F"/>
    <w:rsid w:val="005A2F35"/>
    <w:rsid w:val="005A7512"/>
    <w:rsid w:val="005B0F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4939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589E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5CC4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5285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77430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9FD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6075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53A1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2EAF"/>
    <w:rsid w:val="00B93893"/>
    <w:rsid w:val="00BA439D"/>
    <w:rsid w:val="00BA7E0A"/>
    <w:rsid w:val="00BB61B0"/>
    <w:rsid w:val="00BC0D9E"/>
    <w:rsid w:val="00BC3B53"/>
    <w:rsid w:val="00BC3B96"/>
    <w:rsid w:val="00BC4AE3"/>
    <w:rsid w:val="00BC56CF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35D"/>
    <w:rsid w:val="00BF5675"/>
    <w:rsid w:val="00C054BD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38C9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40ED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4A3B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6E99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17D1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96CBE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855DE5"/>
  <w15:docId w15:val="{71D832C2-0CEC-44A6-8771-6128408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Voetnootmarkering">
    <w:name w:val="footnote reference"/>
    <w:basedOn w:val="Standaardalinea-lettertype"/>
    <w:rsid w:val="00B92EAF"/>
    <w:rPr>
      <w:vertAlign w:val="superscript"/>
    </w:rPr>
  </w:style>
  <w:style w:type="paragraph" w:styleId="Revisie">
    <w:name w:val="Revision"/>
    <w:hidden/>
    <w:uiPriority w:val="99"/>
    <w:semiHidden/>
    <w:rsid w:val="0058000E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58000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800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8000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800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58000E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770</ap:Words>
  <ap:Characters>4771</ap:Characters>
  <ap:DocSecurity>0</ap:DocSecurity>
  <ap:Lines>39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2024-10-08T12:31:00.0000000Z</lastPrinted>
  <dcterms:created xsi:type="dcterms:W3CDTF">2024-10-08T12:32:00.0000000Z</dcterms:created>
  <dcterms:modified xsi:type="dcterms:W3CDTF">2024-10-08T14:43:00.0000000Z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O200WAR</vt:lpwstr>
  </property>
  <property fmtid="{D5CDD505-2E9C-101B-9397-08002B2CF9AE}" pid="3" name="Author">
    <vt:lpwstr>O200WAR</vt:lpwstr>
  </property>
  <property fmtid="{D5CDD505-2E9C-101B-9397-08002B2CF9AE}" pid="4" name="cs_objectid">
    <vt:lpwstr>48218380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Herziening EU Actieplan digitaal onderwijs 2021-2027</vt:lpwstr>
  </property>
  <property fmtid="{D5CDD505-2E9C-101B-9397-08002B2CF9AE}" pid="9" name="ocw_directie">
    <vt:lpwstr>IB/EUROPA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O200WAR</vt:lpwstr>
  </property>
</Properties>
</file>