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7FAB" w:rsidR="002E1880" w:rsidRDefault="002E1880" w14:paraId="66CE5941" w14:textId="77777777">
      <w:bookmarkStart w:name="_GoBack" w:id="0"/>
      <w:bookmarkEnd w:id="0"/>
      <w:r w:rsidRPr="00197FAB">
        <w:t xml:space="preserve">Geachte voorzitter, </w:t>
      </w:r>
    </w:p>
    <w:p w:rsidRPr="00197FAB" w:rsidR="002E1880" w:rsidRDefault="002E1880" w14:paraId="475E42CF" w14:textId="77777777"/>
    <w:p w:rsidRPr="00197FAB" w:rsidR="00B45290" w:rsidRDefault="002E1880" w14:paraId="6D8198C4" w14:textId="41E0AC42">
      <w:r w:rsidRPr="00197FAB">
        <w:t xml:space="preserve">Met deze brief geef ik invulling aan </w:t>
      </w:r>
      <w:r w:rsidRPr="00197FAB" w:rsidR="00B40151">
        <w:t>twee</w:t>
      </w:r>
      <w:r w:rsidRPr="00197FAB">
        <w:t xml:space="preserve"> moties</w:t>
      </w:r>
      <w:r w:rsidRPr="00197FAB" w:rsidR="00B40151">
        <w:t>,</w:t>
      </w:r>
      <w:r w:rsidRPr="00197FAB" w:rsidR="00976EF9">
        <w:t xml:space="preserve"> </w:t>
      </w:r>
      <w:r w:rsidR="00D715A3">
        <w:t>twee</w:t>
      </w:r>
      <w:r w:rsidRPr="00197FAB" w:rsidR="00976EF9">
        <w:t xml:space="preserve"> toezegging</w:t>
      </w:r>
      <w:r w:rsidR="00D715A3">
        <w:t>en</w:t>
      </w:r>
      <w:r w:rsidRPr="00197FAB" w:rsidR="00976EF9">
        <w:t>,</w:t>
      </w:r>
      <w:r w:rsidRPr="00197FAB" w:rsidR="00B40151">
        <w:t xml:space="preserve"> </w:t>
      </w:r>
      <w:r w:rsidRPr="00197FAB" w:rsidR="00976EF9">
        <w:t xml:space="preserve">een </w:t>
      </w:r>
      <w:r w:rsidRPr="00197FAB" w:rsidR="00B40151">
        <w:t>vraag</w:t>
      </w:r>
      <w:r w:rsidRPr="00197FAB">
        <w:t xml:space="preserve"> en bied ik u </w:t>
      </w:r>
      <w:r w:rsidRPr="00197FAB" w:rsidR="00B40151">
        <w:t>drie</w:t>
      </w:r>
      <w:r w:rsidRPr="00197FAB">
        <w:t xml:space="preserve"> rapporten aan. Dit in aanvulling op </w:t>
      </w:r>
      <w:r w:rsidR="00761ED2">
        <w:t>de eerdere</w:t>
      </w:r>
      <w:r w:rsidR="005445B6">
        <w:t xml:space="preserve"> Kamer</w:t>
      </w:r>
      <w:r w:rsidRPr="00197FAB">
        <w:t xml:space="preserve">brief van 17 juni 2024, waarin de Kamer </w:t>
      </w:r>
      <w:r w:rsidR="0042691A">
        <w:t>is geïnformeerd</w:t>
      </w:r>
      <w:r w:rsidRPr="00197FAB">
        <w:t xml:space="preserve"> over de voortgang van duurzaam vervoer en een beschrijving </w:t>
      </w:r>
      <w:r w:rsidR="0042691A">
        <w:t>is gegeven</w:t>
      </w:r>
      <w:r w:rsidRPr="00197FAB">
        <w:t xml:space="preserve"> van de aanvullende maatregelen uit de voorjaarsbesluitvorming</w:t>
      </w:r>
      <w:r w:rsidRPr="00197FAB">
        <w:rPr>
          <w:rStyle w:val="FootnoteReference"/>
        </w:rPr>
        <w:footnoteReference w:id="1"/>
      </w:r>
      <w:r w:rsidRPr="00197FAB">
        <w:t xml:space="preserve">. </w:t>
      </w:r>
    </w:p>
    <w:p w:rsidRPr="00197FAB" w:rsidR="00B45290" w:rsidRDefault="00B45290" w14:paraId="52908E2B" w14:textId="77777777"/>
    <w:p w:rsidRPr="00197FAB" w:rsidR="00B45290" w:rsidRDefault="002E1880" w14:paraId="2F0CF508" w14:textId="77777777">
      <w:r w:rsidRPr="00197FAB">
        <w:t>Specifiek betreft het</w:t>
      </w:r>
      <w:r w:rsidRPr="00197FAB" w:rsidR="00B45290">
        <w:t>:</w:t>
      </w:r>
    </w:p>
    <w:p w:rsidRPr="00197FAB" w:rsidR="00B45290" w:rsidP="00B45290" w:rsidRDefault="00A95058" w14:paraId="17D3BC8C" w14:textId="3A9D8469">
      <w:pPr>
        <w:pStyle w:val="ListParagraph"/>
        <w:numPr>
          <w:ilvl w:val="0"/>
          <w:numId w:val="25"/>
        </w:numPr>
      </w:pPr>
      <w:bookmarkStart w:name="_Hlk177566953" w:id="1"/>
      <w:r w:rsidRPr="00197FAB">
        <w:t>D</w:t>
      </w:r>
      <w:r w:rsidRPr="00197FAB" w:rsidR="002E1880">
        <w:t>e motie</w:t>
      </w:r>
      <w:r w:rsidRPr="00197FAB" w:rsidR="00976EF9">
        <w:t xml:space="preserve"> </w:t>
      </w:r>
      <w:r w:rsidRPr="00197FAB" w:rsidR="002E1880">
        <w:t xml:space="preserve">van lid Nijboer </w:t>
      </w:r>
      <w:r w:rsidR="00E71BCC">
        <w:t xml:space="preserve">(GL-PvdA) </w:t>
      </w:r>
      <w:r w:rsidRPr="00197FAB" w:rsidR="002E1880">
        <w:t>c.s</w:t>
      </w:r>
      <w:r w:rsidR="00E71BCC">
        <w:t>.</w:t>
      </w:r>
      <w:r w:rsidRPr="00197FAB" w:rsidR="002E1880">
        <w:t xml:space="preserve"> </w:t>
      </w:r>
      <w:r w:rsidRPr="00197FAB" w:rsidR="002E1B61">
        <w:t>van 1 juli 2021 over de vergelijking van de ‘Total Cost of Ownership’ in de showroom en online</w:t>
      </w:r>
      <w:r w:rsidR="006F3AD2">
        <w:t xml:space="preserve">, en de toezegging om de visie van de autobranche over TCO met de Kamer te </w:t>
      </w:r>
      <w:r w:rsidR="00653540">
        <w:t>delen.</w:t>
      </w:r>
    </w:p>
    <w:p w:rsidRPr="00197FAB" w:rsidR="00B45290" w:rsidP="00B45290" w:rsidRDefault="00A95058" w14:paraId="6138D490" w14:textId="5BDA09E1">
      <w:pPr>
        <w:pStyle w:val="ListParagraph"/>
        <w:numPr>
          <w:ilvl w:val="0"/>
          <w:numId w:val="25"/>
        </w:numPr>
      </w:pPr>
      <w:r w:rsidRPr="00197FAB">
        <w:t>D</w:t>
      </w:r>
      <w:r w:rsidRPr="00197FAB" w:rsidR="00B40151">
        <w:t xml:space="preserve">e motie van de leden </w:t>
      </w:r>
      <w:bookmarkStart w:name="_Hlk178082482" w:id="2"/>
      <w:r w:rsidRPr="00197FAB" w:rsidR="00B40151">
        <w:t>Kröger (GL-PvdA) en De Hoop (GL-PvdA)</w:t>
      </w:r>
      <w:r w:rsidRPr="00197FAB" w:rsidR="00B40151">
        <w:rPr>
          <w:rStyle w:val="FootnoteReference"/>
        </w:rPr>
        <w:footnoteReference w:id="2"/>
      </w:r>
      <w:r w:rsidRPr="00197FAB" w:rsidR="00B45290">
        <w:t xml:space="preserve"> </w:t>
      </w:r>
      <w:bookmarkEnd w:id="2"/>
      <w:r w:rsidRPr="00197FAB" w:rsidR="00B45290">
        <w:t>betreft;</w:t>
      </w:r>
      <w:r w:rsidRPr="00197FAB" w:rsidR="00B40151">
        <w:t xml:space="preserve"> </w:t>
      </w:r>
      <w:r w:rsidRPr="00197FAB" w:rsidR="00B45290">
        <w:t xml:space="preserve">onderzoek </w:t>
      </w:r>
      <w:r w:rsidRPr="00197FAB" w:rsidR="00B40151">
        <w:t>met welke top tien instrumenten de groei van (elektrische) deelmobiliteit ruimtelijk, wettelijk of fiscaal bevorderd kan worden.</w:t>
      </w:r>
      <w:r w:rsidRPr="00197FAB" w:rsidR="00B45290">
        <w:t xml:space="preserve"> </w:t>
      </w:r>
    </w:p>
    <w:p w:rsidRPr="00197FAB" w:rsidR="002E1880" w:rsidP="00B45290" w:rsidRDefault="00B45290" w14:paraId="7C99812C" w14:textId="013C5ADD">
      <w:pPr>
        <w:pStyle w:val="ListParagraph"/>
        <w:numPr>
          <w:ilvl w:val="0"/>
          <w:numId w:val="25"/>
        </w:numPr>
      </w:pPr>
      <w:r w:rsidRPr="00197FAB">
        <w:t xml:space="preserve">Tevens wordt antwoord gegeven op de vraag van lid van Dijk (NSC) </w:t>
      </w:r>
      <w:r w:rsidR="005445B6">
        <w:t xml:space="preserve">hoe </w:t>
      </w:r>
      <w:r w:rsidRPr="00197FAB">
        <w:t xml:space="preserve">het ‘ontwerpbesluit tot wijziging van het RVV 1990 en BABW in verband met de uitbreiding van nul-emissiezones naar taxi’s en invoering van een nieuw verkeersbord en bijbehorende onderborden voor milieuzones en nul-emissiezones’ </w:t>
      </w:r>
      <w:r w:rsidR="005445B6">
        <w:t>past binnen mijn beleidsvoornemens.</w:t>
      </w:r>
    </w:p>
    <w:p w:rsidRPr="00197FAB" w:rsidR="00B45290" w:rsidP="00B45290" w:rsidRDefault="00C35C44" w14:paraId="0D4F62B3" w14:textId="793CD63F">
      <w:pPr>
        <w:pStyle w:val="ListParagraph"/>
        <w:numPr>
          <w:ilvl w:val="0"/>
          <w:numId w:val="25"/>
        </w:numPr>
      </w:pPr>
      <w:r w:rsidRPr="00197FAB">
        <w:t xml:space="preserve">Ten slotte </w:t>
      </w:r>
      <w:r w:rsidR="0042691A">
        <w:t>wordt</w:t>
      </w:r>
      <w:r w:rsidR="005E522B">
        <w:t xml:space="preserve"> </w:t>
      </w:r>
      <w:r w:rsidR="0042691A">
        <w:t>de Kamer</w:t>
      </w:r>
      <w:r w:rsidR="005E522B">
        <w:t xml:space="preserve"> een korte update </w:t>
      </w:r>
      <w:r w:rsidR="0042691A">
        <w:t xml:space="preserve">geboden </w:t>
      </w:r>
      <w:r w:rsidR="005E522B">
        <w:t>over de toezegging om de Kamer te informeren over</w:t>
      </w:r>
      <w:r w:rsidR="00443B6C">
        <w:t xml:space="preserve"> het plan van aanpak voor</w:t>
      </w:r>
      <w:r w:rsidR="005E522B">
        <w:t xml:space="preserve"> </w:t>
      </w:r>
      <w:r w:rsidRPr="005E522B" w:rsidR="005E522B">
        <w:t>de verduurzaming van geconditioneerd vervoer</w:t>
      </w:r>
      <w:r w:rsidR="00443B6C">
        <w:t>. Ik deel</w:t>
      </w:r>
      <w:r w:rsidRPr="00197FAB">
        <w:t xml:space="preserve"> </w:t>
      </w:r>
      <w:r w:rsidR="005E522B">
        <w:t xml:space="preserve">daarbij </w:t>
      </w:r>
      <w:r w:rsidRPr="00197FAB">
        <w:t xml:space="preserve">de rapporten </w:t>
      </w:r>
      <w:bookmarkStart w:name="_Hlk177724065" w:id="3"/>
      <w:r w:rsidRPr="00E71BCC" w:rsidR="00E71BCC">
        <w:rPr>
          <w:i/>
          <w:iCs/>
        </w:rPr>
        <w:t>T</w:t>
      </w:r>
      <w:r w:rsidRPr="00197FAB" w:rsidR="00147A19">
        <w:rPr>
          <w:i/>
          <w:iCs/>
        </w:rPr>
        <w:t>ransitie in de praktijk. De weg naar zero-emissie koelinstallaties in transport</w:t>
      </w:r>
      <w:r w:rsidRPr="00197FAB">
        <w:t xml:space="preserve"> en</w:t>
      </w:r>
      <w:r w:rsidRPr="00197FAB" w:rsidR="00147A19">
        <w:t xml:space="preserve"> </w:t>
      </w:r>
      <w:r w:rsidRPr="00197FAB" w:rsidR="00147A19">
        <w:rPr>
          <w:i/>
          <w:iCs/>
        </w:rPr>
        <w:t>Real-world emissions of temperature-controlled road transport in the Netherlands.</w:t>
      </w:r>
      <w:r w:rsidRPr="00197FAB" w:rsidR="00147A19">
        <w:t xml:space="preserve"> </w:t>
      </w:r>
      <w:bookmarkEnd w:id="3"/>
    </w:p>
    <w:bookmarkEnd w:id="1"/>
    <w:p w:rsidRPr="00197FAB" w:rsidR="002E1880" w:rsidRDefault="002E1880" w14:paraId="3E4F692C" w14:textId="77777777"/>
    <w:p w:rsidRPr="00197FAB" w:rsidR="002E1B61" w:rsidP="00147A19" w:rsidRDefault="00C35C44" w14:paraId="40058B6B" w14:textId="401A8578">
      <w:pPr>
        <w:rPr>
          <w:b/>
          <w:bCs/>
        </w:rPr>
      </w:pPr>
      <w:bookmarkStart w:name="_Hlk178586816" w:id="4"/>
      <w:bookmarkStart w:name="_Hlk178599738" w:id="5"/>
      <w:r w:rsidRPr="00197FAB">
        <w:rPr>
          <w:b/>
          <w:bCs/>
        </w:rPr>
        <w:t xml:space="preserve">Motie vergelijking </w:t>
      </w:r>
      <w:r w:rsidRPr="00197FAB" w:rsidR="002E1B61">
        <w:rPr>
          <w:b/>
          <w:bCs/>
        </w:rPr>
        <w:t>TCO in de showroom en online</w:t>
      </w:r>
    </w:p>
    <w:p w:rsidRPr="00197FAB" w:rsidR="002E1B61" w:rsidP="00147A19" w:rsidRDefault="002E1B61" w14:paraId="567014AC" w14:textId="28F5B10F">
      <w:pPr>
        <w:rPr>
          <w:color w:val="auto"/>
          <w14:ligatures w14:val="standardContextual"/>
        </w:rPr>
      </w:pPr>
      <w:r w:rsidRPr="00197FAB">
        <w:t>Op 17</w:t>
      </w:r>
      <w:r w:rsidRPr="00197FAB">
        <w:rPr>
          <w14:ligatures w14:val="standardContextual"/>
        </w:rPr>
        <w:t xml:space="preserve"> juni 2024 informeerde</w:t>
      </w:r>
      <w:r w:rsidRPr="00197FAB">
        <w:rPr>
          <w:rStyle w:val="FootnoteReference"/>
          <w14:ligatures w14:val="standardContextual"/>
        </w:rPr>
        <w:footnoteReference w:id="3"/>
      </w:r>
      <w:r w:rsidRPr="00197FAB">
        <w:rPr>
          <w14:ligatures w14:val="standardContextual"/>
        </w:rPr>
        <w:t xml:space="preserve"> mijn voorganger </w:t>
      </w:r>
      <w:r w:rsidR="0042691A">
        <w:rPr>
          <w14:ligatures w14:val="standardContextual"/>
        </w:rPr>
        <w:t>de</w:t>
      </w:r>
      <w:r w:rsidRPr="00197FAB">
        <w:rPr>
          <w14:ligatures w14:val="standardContextual"/>
        </w:rPr>
        <w:t xml:space="preserve"> Kamer over de voortgang van de in het Klimaatakkoord </w:t>
      </w:r>
      <w:r w:rsidR="00417D75">
        <w:rPr>
          <w14:ligatures w14:val="standardContextual"/>
        </w:rPr>
        <w:t xml:space="preserve">gemaakte afspraak over de </w:t>
      </w:r>
      <w:r w:rsidRPr="00197FAB">
        <w:rPr>
          <w14:ligatures w14:val="standardContextual"/>
        </w:rPr>
        <w:t xml:space="preserve">beoogde prijsvergelijking in de showroom en online van elektrische auto’s met auto’s op fossiele brandstoffen </w:t>
      </w:r>
      <w:r w:rsidRPr="00197FAB">
        <w:rPr>
          <w14:ligatures w14:val="standardContextual"/>
        </w:rPr>
        <w:lastRenderedPageBreak/>
        <w:t>en de daarnaar verwijzende motie van lid Nijboer</w:t>
      </w:r>
      <w:r w:rsidR="00E71BCC">
        <w:rPr>
          <w14:ligatures w14:val="standardContextual"/>
        </w:rPr>
        <w:t xml:space="preserve"> (GL-PvdA)</w:t>
      </w:r>
      <w:r w:rsidRPr="00197FAB">
        <w:rPr>
          <w14:ligatures w14:val="standardContextual"/>
        </w:rPr>
        <w:t xml:space="preserve"> c.s. van 1 juli 2021</w:t>
      </w:r>
      <w:r w:rsidRPr="00197FAB">
        <w:rPr>
          <w:rStyle w:val="FootnoteReference"/>
          <w14:ligatures w14:val="standardContextual"/>
        </w:rPr>
        <w:footnoteReference w:id="4"/>
      </w:r>
      <w:r w:rsidR="00EC71AB">
        <w:rPr>
          <w14:ligatures w14:val="standardContextual"/>
        </w:rPr>
        <w:t>, waarin de regering verzocht wordt om t</w:t>
      </w:r>
      <w:r w:rsidRPr="00EC71AB" w:rsidR="00EC71AB">
        <w:rPr>
          <w14:ligatures w14:val="standardContextual"/>
        </w:rPr>
        <w:t>e bewerkstelligen dat in de showroom en online ook altijd de totale kosten van eigendom worden gecommuniceerd</w:t>
      </w:r>
      <w:r w:rsidR="00EC71AB">
        <w:rPr>
          <w14:ligatures w14:val="standardContextual"/>
        </w:rPr>
        <w:t>.</w:t>
      </w:r>
      <w:r w:rsidRPr="00EC71AB" w:rsidR="00EC71AB">
        <w:rPr>
          <w14:ligatures w14:val="standardContextual"/>
        </w:rPr>
        <w:t xml:space="preserve"> </w:t>
      </w:r>
      <w:r w:rsidRPr="00197FAB">
        <w:rPr>
          <w14:ligatures w14:val="standardContextual"/>
        </w:rPr>
        <w:t xml:space="preserve">Zoals daarbij </w:t>
      </w:r>
      <w:r w:rsidR="00EC71AB">
        <w:rPr>
          <w14:ligatures w14:val="standardContextual"/>
        </w:rPr>
        <w:t xml:space="preserve">in 2023 is </w:t>
      </w:r>
      <w:r w:rsidRPr="00197FAB">
        <w:rPr>
          <w14:ligatures w14:val="standardContextual"/>
        </w:rPr>
        <w:t>toegezegd</w:t>
      </w:r>
      <w:r w:rsidR="00EC71AB">
        <w:rPr>
          <w14:ligatures w14:val="standardContextual"/>
        </w:rPr>
        <w:t>,</w:t>
      </w:r>
      <w:r w:rsidRPr="00197FAB">
        <w:rPr>
          <w14:ligatures w14:val="standardContextual"/>
        </w:rPr>
        <w:t xml:space="preserve"> deel ik hiermee de visie van de autobranche </w:t>
      </w:r>
      <w:bookmarkStart w:name="_Hlk178082217" w:id="6"/>
      <w:r w:rsidRPr="00197FAB">
        <w:rPr>
          <w14:ligatures w14:val="standardContextual"/>
        </w:rPr>
        <w:t xml:space="preserve">(BOVAG, RAI Vereniging en de VNA) </w:t>
      </w:r>
      <w:bookmarkEnd w:id="6"/>
      <w:r w:rsidRPr="00197FAB">
        <w:rPr>
          <w14:ligatures w14:val="standardContextual"/>
        </w:rPr>
        <w:t>en de ANWB</w:t>
      </w:r>
      <w:r w:rsidRPr="00197FAB">
        <w:rPr>
          <w:color w:val="FF0000"/>
          <w14:ligatures w14:val="standardContextual"/>
        </w:rPr>
        <w:t xml:space="preserve"> </w:t>
      </w:r>
      <w:r w:rsidRPr="00197FAB">
        <w:rPr>
          <w14:ligatures w14:val="standardContextual"/>
        </w:rPr>
        <w:t>op deze afspraak</w:t>
      </w:r>
      <w:r w:rsidRPr="00197FAB">
        <w:rPr>
          <w:rStyle w:val="FootnoteReference"/>
          <w14:ligatures w14:val="standardContextual"/>
        </w:rPr>
        <w:footnoteReference w:id="5"/>
      </w:r>
      <w:r w:rsidRPr="00197FAB" w:rsidR="00147A19">
        <w:rPr>
          <w14:ligatures w14:val="standardContextual"/>
        </w:rPr>
        <w:t>.</w:t>
      </w:r>
    </w:p>
    <w:p w:rsidRPr="00197FAB" w:rsidR="002E1B61" w:rsidP="002E1B61" w:rsidRDefault="002E1B61" w14:paraId="24D5DC15" w14:textId="48066565">
      <w:pPr>
        <w:spacing w:after="160" w:line="252" w:lineRule="auto"/>
        <w:rPr>
          <w14:ligatures w14:val="standardContextual"/>
        </w:rPr>
      </w:pPr>
      <w:r w:rsidRPr="00197FAB">
        <w:rPr>
          <w14:ligatures w14:val="standardContextual"/>
        </w:rPr>
        <w:t xml:space="preserve">De aanname onder deze afspraak in het Klimaatakkoord was dat het kenbaar maken van de totale kosten van eigendom (hierna: Total Cost of Ownership, TCO), uitgedrukt in een maandprijs, de verkoop van elektrische personenauto’s zou stimuleren. </w:t>
      </w:r>
      <w:r w:rsidR="002A4C08">
        <w:rPr>
          <w14:ligatures w14:val="standardContextual"/>
        </w:rPr>
        <w:t xml:space="preserve">Aangezien </w:t>
      </w:r>
      <w:r w:rsidRPr="00197FAB">
        <w:rPr>
          <w14:ligatures w14:val="standardContextual"/>
        </w:rPr>
        <w:t>subsidiëring en fiscale stimulering van emissieloos rijden na 2024 sterk wordt afgebouwd is de kans</w:t>
      </w:r>
      <w:r w:rsidR="002A4C08">
        <w:rPr>
          <w14:ligatures w14:val="standardContextual"/>
        </w:rPr>
        <w:t>,</w:t>
      </w:r>
      <w:r w:rsidRPr="00197FAB">
        <w:rPr>
          <w14:ligatures w14:val="standardContextual"/>
        </w:rPr>
        <w:t xml:space="preserve"> dat de TCO van een elektrische auto ongunstiger is c.q. zal zijn dan die van een brandstofauto, </w:t>
      </w:r>
      <w:r w:rsidR="002A4C08">
        <w:rPr>
          <w14:ligatures w14:val="standardContextual"/>
        </w:rPr>
        <w:t>groter</w:t>
      </w:r>
      <w:r w:rsidRPr="00197FAB" w:rsidR="002A4C08">
        <w:rPr>
          <w14:ligatures w14:val="standardContextual"/>
        </w:rPr>
        <w:t xml:space="preserve"> </w:t>
      </w:r>
      <w:r w:rsidRPr="00197FAB">
        <w:rPr>
          <w14:ligatures w14:val="standardContextual"/>
        </w:rPr>
        <w:t xml:space="preserve">dan in 2019 werd aangenomen. </w:t>
      </w:r>
    </w:p>
    <w:bookmarkEnd w:id="4"/>
    <w:p w:rsidRPr="00197FAB" w:rsidR="002E1B61" w:rsidP="002E1B61" w:rsidRDefault="00BD26C0" w14:paraId="3B68E40D" w14:textId="1AFAA81C">
      <w:pPr>
        <w:spacing w:after="160" w:line="252" w:lineRule="auto"/>
        <w:rPr>
          <w14:ligatures w14:val="standardContextual"/>
        </w:rPr>
      </w:pPr>
      <w:r>
        <w:rPr>
          <w14:ligatures w14:val="standardContextual"/>
        </w:rPr>
        <w:t xml:space="preserve">De autobranche schrijft in hun brief aan het ministerie dat zij van mening is </w:t>
      </w:r>
      <w:r w:rsidRPr="00197FAB" w:rsidR="002E1B61">
        <w:rPr>
          <w14:ligatures w14:val="standardContextual"/>
        </w:rPr>
        <w:t xml:space="preserve">dat de Klimaatakkoordafspraak achterhaald is. </w:t>
      </w:r>
      <w:r w:rsidR="006000CE">
        <w:rPr>
          <w14:ligatures w14:val="standardContextual"/>
        </w:rPr>
        <w:t>D</w:t>
      </w:r>
      <w:r w:rsidRPr="00197FAB" w:rsidR="002E1B61">
        <w:rPr>
          <w14:ligatures w14:val="standardContextual"/>
        </w:rPr>
        <w:t xml:space="preserve">e TCO zou </w:t>
      </w:r>
      <w:r w:rsidR="006000CE">
        <w:rPr>
          <w14:ligatures w14:val="standardContextual"/>
        </w:rPr>
        <w:t>op</w:t>
      </w:r>
      <w:r w:rsidRPr="00197FAB" w:rsidR="006000CE">
        <w:rPr>
          <w14:ligatures w14:val="standardContextual"/>
        </w:rPr>
        <w:t xml:space="preserve"> </w:t>
      </w:r>
      <w:r w:rsidRPr="00197FAB" w:rsidR="002E1B61">
        <w:rPr>
          <w14:ligatures w14:val="standardContextual"/>
        </w:rPr>
        <w:t xml:space="preserve">zichzelf niet doorslaggevend zijn voor de aanschafkeuze </w:t>
      </w:r>
      <w:r w:rsidR="006000CE">
        <w:rPr>
          <w14:ligatures w14:val="standardContextual"/>
        </w:rPr>
        <w:t xml:space="preserve">(in de showroom). Bovendien kan </w:t>
      </w:r>
      <w:r w:rsidRPr="00197FAB" w:rsidR="002E1B61">
        <w:rPr>
          <w14:ligatures w14:val="standardContextual"/>
        </w:rPr>
        <w:t xml:space="preserve">de consument online al ruime toegang tot kosteninformatie </w:t>
      </w:r>
      <w:r w:rsidR="006000CE">
        <w:rPr>
          <w14:ligatures w14:val="standardContextual"/>
        </w:rPr>
        <w:t>verkrijgen</w:t>
      </w:r>
      <w:r w:rsidRPr="00197FAB" w:rsidR="002E1B61">
        <w:rPr>
          <w14:ligatures w14:val="standardContextual"/>
        </w:rPr>
        <w:t xml:space="preserve">. </w:t>
      </w:r>
    </w:p>
    <w:p w:rsidRPr="00197FAB" w:rsidR="002E1B61" w:rsidP="002E1B61" w:rsidRDefault="002E1B61" w14:paraId="42019912" w14:textId="43D85BD3">
      <w:pPr>
        <w:spacing w:after="160" w:line="252" w:lineRule="auto"/>
        <w:rPr>
          <w14:ligatures w14:val="standardContextual"/>
        </w:rPr>
      </w:pPr>
      <w:r w:rsidRPr="00197FAB">
        <w:rPr>
          <w14:ligatures w14:val="standardContextual"/>
        </w:rPr>
        <w:t>De stelling dat de TCO niet doorslaggevend zou zijn voor de autokeuze heeft TNO onderzocht. Tijdens dit onderzoek</w:t>
      </w:r>
      <w:r w:rsidRPr="00197FAB" w:rsidR="004A56CD">
        <w:rPr>
          <w:rStyle w:val="FootnoteReference"/>
          <w14:ligatures w14:val="standardContextual"/>
        </w:rPr>
        <w:footnoteReference w:id="6"/>
      </w:r>
      <w:r w:rsidRPr="00197FAB">
        <w:rPr>
          <w14:ligatures w14:val="standardContextual"/>
        </w:rPr>
        <w:t xml:space="preserve"> is gebleken dat de consument het belang van de TCO inmiddels goed begrijpt. Het onderzoek toont aan dat, wanneer de TCO van een elektrische auto positiever (lager) is dan die van een fossiel aangedreven auto, de TCO een matig positief effect heeft op de keuze voor een elektrische auto. Wanneer de TCO van de elektrische auto echter ongunstiger (hoger) is dan die van een brandstofauto, </w:t>
      </w:r>
      <w:r w:rsidR="006000CE">
        <w:rPr>
          <w14:ligatures w14:val="standardContextual"/>
        </w:rPr>
        <w:t xml:space="preserve">heeft de TCO een sterk negatief effect </w:t>
      </w:r>
      <w:r w:rsidRPr="00197FAB">
        <w:rPr>
          <w14:ligatures w14:val="standardContextual"/>
        </w:rPr>
        <w:t>op de keuze voor elektrisch. TNO concludeert dat de positieve effecten van het inzichtelijk maken van de TCO niet opwegen tegen de negatieve effecten.</w:t>
      </w:r>
    </w:p>
    <w:p w:rsidRPr="00197FAB" w:rsidR="004A56CD" w:rsidP="007A05F4" w:rsidRDefault="002E1B61" w14:paraId="26AA08D1" w14:textId="0B7AB208">
      <w:pPr>
        <w:spacing w:after="240" w:line="252" w:lineRule="auto"/>
        <w:rPr>
          <w14:ligatures w14:val="standardContextual"/>
        </w:rPr>
      </w:pPr>
      <w:r w:rsidRPr="00197FAB">
        <w:rPr>
          <w14:ligatures w14:val="standardContextual"/>
        </w:rPr>
        <w:t xml:space="preserve">Omdat de consument het belang van de TCO goed begrijpt en deze inmiddels op internet goed kan vinden, heb ik - afgaande op de bevindingen van TNO en de visie van de branche - besloten geen verdere actie te nemen om de TCO in de showroom en online zichtbaar te maken. </w:t>
      </w:r>
      <w:r w:rsidR="00EC53FB">
        <w:rPr>
          <w14:ligatures w14:val="standardContextual"/>
        </w:rPr>
        <w:t xml:space="preserve">Het TCO-rapport is tevens besproken in het Formule E-Team (FET), waar deze bevindingen breed gesteund worden. </w:t>
      </w:r>
      <w:r w:rsidRPr="00197FAB">
        <w:rPr>
          <w14:ligatures w14:val="standardContextual"/>
        </w:rPr>
        <w:t>Met deze brief beschouw ik de toezegging van 17 juni 2024 en de motie van 1 juli 2021 als afgedaan.</w:t>
      </w:r>
    </w:p>
    <w:bookmarkEnd w:id="5"/>
    <w:p w:rsidRPr="00197FAB" w:rsidR="00B40151" w:rsidP="00B40151" w:rsidRDefault="00803AD9" w14:paraId="591A7A9B" w14:textId="580A6459">
      <w:pPr>
        <w:rPr>
          <w:b/>
          <w:bCs/>
        </w:rPr>
      </w:pPr>
      <w:r w:rsidRPr="00197FAB">
        <w:rPr>
          <w:b/>
          <w:bCs/>
        </w:rPr>
        <w:t xml:space="preserve">Motie </w:t>
      </w:r>
      <w:r w:rsidR="00CB7779">
        <w:rPr>
          <w:b/>
          <w:bCs/>
        </w:rPr>
        <w:t>t</w:t>
      </w:r>
      <w:r w:rsidRPr="00197FAB" w:rsidR="00B40151">
        <w:rPr>
          <w:b/>
          <w:bCs/>
        </w:rPr>
        <w:t>op 10 instrumenten stimulering deelmobiliteit</w:t>
      </w:r>
    </w:p>
    <w:p w:rsidRPr="00197FAB" w:rsidR="00B40151" w:rsidP="00B40151" w:rsidRDefault="00B40151" w14:paraId="67DE84B8" w14:textId="17C59F26">
      <w:r w:rsidRPr="00197FAB">
        <w:t>Naar aanleiding van de aangenomen motie van de leden Kröger (GL-PvdA) en De Hoop (GL-PvdA)</w:t>
      </w:r>
      <w:r w:rsidRPr="00197FAB">
        <w:rPr>
          <w:rStyle w:val="FootnoteReference"/>
        </w:rPr>
        <w:footnoteReference w:id="7"/>
      </w:r>
      <w:r w:rsidRPr="00197FAB">
        <w:t xml:space="preserve"> onderzocht onderzoeksbureau CE Delft met welke top tien instrumenten de groei van (elektrische) deelmobiliteit ruimtelijk, wettelijk of fiscaal bevorderd kan worden. De onderzoeksresultaten</w:t>
      </w:r>
      <w:r w:rsidRPr="00197FAB" w:rsidR="00803AD9">
        <w:rPr>
          <w:rStyle w:val="FootnoteReference"/>
        </w:rPr>
        <w:footnoteReference w:id="8"/>
      </w:r>
      <w:r w:rsidRPr="00197FAB">
        <w:t xml:space="preserve"> zijn bij deze Kamerbrief gevoegd, een verkorte weergave van deze top </w:t>
      </w:r>
      <w:r w:rsidR="00E91F6A">
        <w:t>tien</w:t>
      </w:r>
      <w:r w:rsidRPr="00197FAB">
        <w:t xml:space="preserve"> staat hieronder. </w:t>
      </w:r>
      <w:r w:rsidRPr="00197FAB" w:rsidR="00196801">
        <w:rPr>
          <w:rFonts w:eastAsia="Times New Roman"/>
        </w:rPr>
        <w:t xml:space="preserve">Het rapport zal onder de aandacht worden gebracht bij het samenwerkingsprogramma Natuurlijk! Deelmobiliteit. </w:t>
      </w:r>
      <w:r w:rsidRPr="00197FAB">
        <w:t>Zoals vermeld in de Kamerbrief</w:t>
      </w:r>
      <w:r w:rsidRPr="00197FAB" w:rsidR="00417D75">
        <w:rPr>
          <w:rStyle w:val="FootnoteReference"/>
        </w:rPr>
        <w:footnoteReference w:id="9"/>
      </w:r>
      <w:r w:rsidRPr="00197FAB">
        <w:t xml:space="preserve"> van mei 2024 hebben de onderzoekers een long-list opgesteld op basis van literatuur en interviews. Een top </w:t>
      </w:r>
      <w:r w:rsidR="00E91F6A">
        <w:t>tien</w:t>
      </w:r>
      <w:r w:rsidRPr="00197FAB">
        <w:t xml:space="preserve"> is vervolgens vastgesteld met hulp van experts en met een doorrekening op de effecten op deelmobiliteit, voertuiggebruik, brede welvaart, haalbaarheid en kosten.</w:t>
      </w:r>
    </w:p>
    <w:p w:rsidRPr="00197FAB" w:rsidR="00976EF9" w:rsidP="00B40151" w:rsidRDefault="00976EF9" w14:paraId="46D9FF96" w14:textId="77777777"/>
    <w:p w:rsidR="00976EF9" w:rsidP="00B40151" w:rsidRDefault="00976EF9" w14:paraId="078E782B" w14:textId="77777777"/>
    <w:p w:rsidR="00CB7779" w:rsidP="00B40151" w:rsidRDefault="00CB7779" w14:paraId="3F2670F7" w14:textId="77777777"/>
    <w:p w:rsidRPr="00197FAB" w:rsidR="00B40151" w:rsidP="00B40151" w:rsidRDefault="00B40151" w14:paraId="5E9673B7" w14:textId="77777777"/>
    <w:tbl>
      <w:tblPr>
        <w:tblStyle w:val="TableGrid"/>
        <w:tblW w:w="7057" w:type="dxa"/>
        <w:tblLayout w:type="fixed"/>
        <w:tblLook w:val="0000" w:firstRow="0" w:lastRow="0" w:firstColumn="0" w:lastColumn="0" w:noHBand="0" w:noVBand="0"/>
      </w:tblPr>
      <w:tblGrid>
        <w:gridCol w:w="583"/>
        <w:gridCol w:w="4884"/>
        <w:gridCol w:w="1590"/>
      </w:tblGrid>
      <w:tr w:rsidRPr="00197FAB" w:rsidR="00B40151" w:rsidTr="00580D95" w14:paraId="42F5564B" w14:textId="77777777">
        <w:trPr>
          <w:trHeight w:val="319"/>
        </w:trPr>
        <w:tc>
          <w:tcPr>
            <w:tcW w:w="583" w:type="dxa"/>
          </w:tcPr>
          <w:p w:rsidRPr="00197FAB" w:rsidR="00B40151" w:rsidP="00580D95" w:rsidRDefault="00B40151" w14:paraId="4CE20A66" w14:textId="77777777">
            <w:pPr>
              <w:pStyle w:val="Default"/>
              <w:rPr>
                <w:rFonts w:ascii="Verdana" w:hAnsi="Verdana"/>
                <w:sz w:val="16"/>
                <w:szCs w:val="16"/>
              </w:rPr>
            </w:pPr>
            <w:r w:rsidRPr="00197FAB">
              <w:rPr>
                <w:rFonts w:ascii="Verdana" w:hAnsi="Verdana"/>
                <w:b/>
                <w:bCs/>
                <w:sz w:val="16"/>
                <w:szCs w:val="16"/>
              </w:rPr>
              <w:t xml:space="preserve">Nr. </w:t>
            </w:r>
          </w:p>
        </w:tc>
        <w:tc>
          <w:tcPr>
            <w:tcW w:w="4884" w:type="dxa"/>
          </w:tcPr>
          <w:p w:rsidRPr="00197FAB" w:rsidR="00B40151" w:rsidP="00580D95" w:rsidRDefault="00B40151" w14:paraId="16B5B982" w14:textId="77777777">
            <w:pPr>
              <w:pStyle w:val="Default"/>
              <w:rPr>
                <w:rFonts w:ascii="Verdana" w:hAnsi="Verdana"/>
                <w:sz w:val="16"/>
                <w:szCs w:val="16"/>
              </w:rPr>
            </w:pPr>
            <w:r w:rsidRPr="00197FAB">
              <w:rPr>
                <w:rFonts w:ascii="Verdana" w:hAnsi="Verdana"/>
                <w:b/>
                <w:bCs/>
                <w:sz w:val="16"/>
                <w:szCs w:val="16"/>
              </w:rPr>
              <w:t xml:space="preserve">Naam instrument </w:t>
            </w:r>
          </w:p>
        </w:tc>
        <w:tc>
          <w:tcPr>
            <w:tcW w:w="1590" w:type="dxa"/>
          </w:tcPr>
          <w:p w:rsidRPr="00197FAB" w:rsidR="00B40151" w:rsidP="00580D95" w:rsidRDefault="00B40151" w14:paraId="549A6A85" w14:textId="77777777">
            <w:pPr>
              <w:pStyle w:val="Default"/>
              <w:rPr>
                <w:rFonts w:ascii="Verdana" w:hAnsi="Verdana"/>
                <w:sz w:val="16"/>
                <w:szCs w:val="16"/>
              </w:rPr>
            </w:pPr>
            <w:r w:rsidRPr="00197FAB">
              <w:rPr>
                <w:rFonts w:ascii="Verdana" w:hAnsi="Verdana"/>
                <w:b/>
                <w:bCs/>
                <w:sz w:val="16"/>
                <w:szCs w:val="16"/>
              </w:rPr>
              <w:t xml:space="preserve">Type instrument </w:t>
            </w:r>
          </w:p>
        </w:tc>
      </w:tr>
      <w:tr w:rsidRPr="00197FAB" w:rsidR="00B40151" w:rsidTr="00580D95" w14:paraId="46343B22" w14:textId="77777777">
        <w:trPr>
          <w:trHeight w:val="195"/>
        </w:trPr>
        <w:tc>
          <w:tcPr>
            <w:tcW w:w="583" w:type="dxa"/>
          </w:tcPr>
          <w:p w:rsidRPr="00197FAB" w:rsidR="00B40151" w:rsidP="00580D95" w:rsidRDefault="00B40151" w14:paraId="58FC5D40" w14:textId="77777777">
            <w:pPr>
              <w:pStyle w:val="Default"/>
              <w:rPr>
                <w:rFonts w:ascii="Verdana" w:hAnsi="Verdana"/>
                <w:sz w:val="16"/>
                <w:szCs w:val="16"/>
              </w:rPr>
            </w:pPr>
            <w:r w:rsidRPr="00197FAB">
              <w:rPr>
                <w:rFonts w:ascii="Verdana" w:hAnsi="Verdana"/>
                <w:sz w:val="16"/>
                <w:szCs w:val="16"/>
              </w:rPr>
              <w:t xml:space="preserve">1 </w:t>
            </w:r>
          </w:p>
        </w:tc>
        <w:tc>
          <w:tcPr>
            <w:tcW w:w="4884" w:type="dxa"/>
          </w:tcPr>
          <w:p w:rsidRPr="00197FAB" w:rsidR="00B40151" w:rsidP="00580D95" w:rsidRDefault="00B40151" w14:paraId="64925091" w14:textId="77777777">
            <w:pPr>
              <w:pStyle w:val="Default"/>
              <w:rPr>
                <w:rFonts w:ascii="Verdana" w:hAnsi="Verdana"/>
                <w:sz w:val="16"/>
                <w:szCs w:val="16"/>
                <w:lang w:val="nl-NL"/>
              </w:rPr>
            </w:pPr>
            <w:r w:rsidRPr="00197FAB">
              <w:rPr>
                <w:rFonts w:ascii="Verdana" w:hAnsi="Verdana"/>
                <w:sz w:val="16"/>
                <w:szCs w:val="16"/>
                <w:lang w:val="nl-NL"/>
              </w:rPr>
              <w:t xml:space="preserve">Overheden maken gebruik van openbare deelauto’s </w:t>
            </w:r>
          </w:p>
        </w:tc>
        <w:tc>
          <w:tcPr>
            <w:tcW w:w="1590" w:type="dxa"/>
          </w:tcPr>
          <w:p w:rsidRPr="00197FAB" w:rsidR="00B40151" w:rsidP="00580D95" w:rsidRDefault="00B40151" w14:paraId="5C29AF3A" w14:textId="77777777">
            <w:pPr>
              <w:pStyle w:val="Default"/>
              <w:rPr>
                <w:rFonts w:ascii="Verdana" w:hAnsi="Verdana"/>
                <w:sz w:val="16"/>
                <w:szCs w:val="16"/>
              </w:rPr>
            </w:pPr>
            <w:r w:rsidRPr="00197FAB">
              <w:rPr>
                <w:rFonts w:ascii="Verdana" w:hAnsi="Verdana"/>
                <w:sz w:val="16"/>
                <w:szCs w:val="16"/>
              </w:rPr>
              <w:t xml:space="preserve">Wettelijk </w:t>
            </w:r>
          </w:p>
        </w:tc>
      </w:tr>
      <w:tr w:rsidRPr="00197FAB" w:rsidR="00B40151" w:rsidTr="00580D95" w14:paraId="0B9192D5" w14:textId="77777777">
        <w:trPr>
          <w:trHeight w:val="195"/>
        </w:trPr>
        <w:tc>
          <w:tcPr>
            <w:tcW w:w="583" w:type="dxa"/>
          </w:tcPr>
          <w:p w:rsidRPr="00197FAB" w:rsidR="00B40151" w:rsidP="00580D95" w:rsidRDefault="00B40151" w14:paraId="5CCD52E1" w14:textId="77777777">
            <w:pPr>
              <w:pStyle w:val="Default"/>
              <w:rPr>
                <w:rFonts w:ascii="Verdana" w:hAnsi="Verdana"/>
                <w:sz w:val="16"/>
                <w:szCs w:val="16"/>
              </w:rPr>
            </w:pPr>
            <w:r w:rsidRPr="00197FAB">
              <w:rPr>
                <w:rFonts w:ascii="Verdana" w:hAnsi="Verdana"/>
                <w:sz w:val="16"/>
                <w:szCs w:val="16"/>
              </w:rPr>
              <w:t xml:space="preserve">2 </w:t>
            </w:r>
          </w:p>
        </w:tc>
        <w:tc>
          <w:tcPr>
            <w:tcW w:w="4884" w:type="dxa"/>
          </w:tcPr>
          <w:p w:rsidRPr="00197FAB" w:rsidR="00B40151" w:rsidP="00580D95" w:rsidRDefault="00B40151" w14:paraId="4BF15F2C" w14:textId="77777777">
            <w:pPr>
              <w:pStyle w:val="Default"/>
              <w:rPr>
                <w:rFonts w:ascii="Verdana" w:hAnsi="Verdana"/>
                <w:sz w:val="16"/>
                <w:szCs w:val="16"/>
                <w:lang w:val="nl-NL"/>
              </w:rPr>
            </w:pPr>
            <w:r w:rsidRPr="00197FAB">
              <w:rPr>
                <w:rFonts w:ascii="Verdana" w:hAnsi="Verdana"/>
                <w:sz w:val="16"/>
                <w:szCs w:val="16"/>
                <w:lang w:val="nl-NL"/>
              </w:rPr>
              <w:t xml:space="preserve">Deelmobiliteitshubs uitbreiden, inclusief in nieuwbouwwijken </w:t>
            </w:r>
          </w:p>
        </w:tc>
        <w:tc>
          <w:tcPr>
            <w:tcW w:w="1590" w:type="dxa"/>
          </w:tcPr>
          <w:p w:rsidRPr="00197FAB" w:rsidR="00B40151" w:rsidP="00580D95" w:rsidRDefault="00B40151" w14:paraId="05DD083C" w14:textId="77777777">
            <w:pPr>
              <w:pStyle w:val="Default"/>
              <w:rPr>
                <w:rFonts w:ascii="Verdana" w:hAnsi="Verdana"/>
                <w:sz w:val="16"/>
                <w:szCs w:val="16"/>
              </w:rPr>
            </w:pPr>
            <w:r w:rsidRPr="00197FAB">
              <w:rPr>
                <w:rFonts w:ascii="Verdana" w:hAnsi="Verdana"/>
                <w:sz w:val="16"/>
                <w:szCs w:val="16"/>
              </w:rPr>
              <w:t xml:space="preserve">Ruimtelijk </w:t>
            </w:r>
          </w:p>
        </w:tc>
      </w:tr>
      <w:tr w:rsidRPr="00197FAB" w:rsidR="00B40151" w:rsidTr="00580D95" w14:paraId="4895411D" w14:textId="77777777">
        <w:trPr>
          <w:trHeight w:val="195"/>
        </w:trPr>
        <w:tc>
          <w:tcPr>
            <w:tcW w:w="583" w:type="dxa"/>
          </w:tcPr>
          <w:p w:rsidRPr="00197FAB" w:rsidR="00B40151" w:rsidP="00580D95" w:rsidRDefault="00B40151" w14:paraId="6ABAAF39" w14:textId="77777777">
            <w:pPr>
              <w:pStyle w:val="Default"/>
              <w:rPr>
                <w:rFonts w:ascii="Verdana" w:hAnsi="Verdana"/>
                <w:sz w:val="16"/>
                <w:szCs w:val="16"/>
              </w:rPr>
            </w:pPr>
            <w:r w:rsidRPr="00197FAB">
              <w:rPr>
                <w:rFonts w:ascii="Verdana" w:hAnsi="Verdana"/>
                <w:sz w:val="16"/>
                <w:szCs w:val="16"/>
              </w:rPr>
              <w:t xml:space="preserve">3 </w:t>
            </w:r>
          </w:p>
        </w:tc>
        <w:tc>
          <w:tcPr>
            <w:tcW w:w="4884" w:type="dxa"/>
          </w:tcPr>
          <w:p w:rsidRPr="00197FAB" w:rsidR="00B40151" w:rsidP="00580D95" w:rsidRDefault="00B40151" w14:paraId="16E1003E" w14:textId="77777777">
            <w:pPr>
              <w:pStyle w:val="Default"/>
              <w:rPr>
                <w:rFonts w:ascii="Verdana" w:hAnsi="Verdana"/>
                <w:sz w:val="16"/>
                <w:szCs w:val="16"/>
                <w:lang w:val="nl-NL"/>
              </w:rPr>
            </w:pPr>
            <w:r w:rsidRPr="00197FAB">
              <w:rPr>
                <w:rFonts w:ascii="Verdana" w:hAnsi="Verdana"/>
                <w:sz w:val="16"/>
                <w:szCs w:val="16"/>
                <w:lang w:val="nl-NL"/>
              </w:rPr>
              <w:t xml:space="preserve">Fiscale voordelen voor bedrijven die deel-mobiliteit faciliteren </w:t>
            </w:r>
          </w:p>
        </w:tc>
        <w:tc>
          <w:tcPr>
            <w:tcW w:w="1590" w:type="dxa"/>
          </w:tcPr>
          <w:p w:rsidRPr="00197FAB" w:rsidR="00B40151" w:rsidP="00580D95" w:rsidRDefault="00B40151" w14:paraId="50D2F887" w14:textId="77777777">
            <w:pPr>
              <w:pStyle w:val="Default"/>
              <w:rPr>
                <w:rFonts w:ascii="Verdana" w:hAnsi="Verdana"/>
                <w:sz w:val="16"/>
                <w:szCs w:val="16"/>
              </w:rPr>
            </w:pPr>
            <w:r w:rsidRPr="00197FAB">
              <w:rPr>
                <w:rFonts w:ascii="Verdana" w:hAnsi="Verdana"/>
                <w:sz w:val="16"/>
                <w:szCs w:val="16"/>
              </w:rPr>
              <w:t xml:space="preserve">Fiscaal </w:t>
            </w:r>
          </w:p>
        </w:tc>
      </w:tr>
      <w:tr w:rsidRPr="00197FAB" w:rsidR="00B40151" w:rsidTr="00580D95" w14:paraId="221006D6" w14:textId="77777777">
        <w:trPr>
          <w:trHeight w:val="79"/>
        </w:trPr>
        <w:tc>
          <w:tcPr>
            <w:tcW w:w="583" w:type="dxa"/>
          </w:tcPr>
          <w:p w:rsidRPr="00197FAB" w:rsidR="00B40151" w:rsidP="00580D95" w:rsidRDefault="00B40151" w14:paraId="20EFC8DC" w14:textId="77777777">
            <w:pPr>
              <w:pStyle w:val="Default"/>
              <w:rPr>
                <w:rFonts w:ascii="Verdana" w:hAnsi="Verdana"/>
                <w:sz w:val="16"/>
                <w:szCs w:val="16"/>
              </w:rPr>
            </w:pPr>
            <w:r w:rsidRPr="00197FAB">
              <w:rPr>
                <w:rFonts w:ascii="Verdana" w:hAnsi="Verdana"/>
                <w:sz w:val="16"/>
                <w:szCs w:val="16"/>
              </w:rPr>
              <w:t xml:space="preserve">4 </w:t>
            </w:r>
          </w:p>
        </w:tc>
        <w:tc>
          <w:tcPr>
            <w:tcW w:w="4884" w:type="dxa"/>
          </w:tcPr>
          <w:p w:rsidRPr="00197FAB" w:rsidR="00B40151" w:rsidP="00580D95" w:rsidRDefault="00B40151" w14:paraId="29F952CD" w14:textId="77777777">
            <w:pPr>
              <w:pStyle w:val="Default"/>
              <w:rPr>
                <w:rFonts w:ascii="Verdana" w:hAnsi="Verdana"/>
                <w:sz w:val="16"/>
                <w:szCs w:val="16"/>
              </w:rPr>
            </w:pPr>
            <w:r w:rsidRPr="00197FAB">
              <w:rPr>
                <w:rFonts w:ascii="Verdana" w:hAnsi="Verdana"/>
                <w:sz w:val="16"/>
                <w:szCs w:val="16"/>
              </w:rPr>
              <w:t xml:space="preserve">Afschaffen btw op deelmobiliteitsdiensten </w:t>
            </w:r>
          </w:p>
        </w:tc>
        <w:tc>
          <w:tcPr>
            <w:tcW w:w="1590" w:type="dxa"/>
          </w:tcPr>
          <w:p w:rsidRPr="00197FAB" w:rsidR="00B40151" w:rsidP="00580D95" w:rsidRDefault="00B40151" w14:paraId="5CEA42C2" w14:textId="77777777">
            <w:pPr>
              <w:pStyle w:val="Default"/>
              <w:rPr>
                <w:rFonts w:ascii="Verdana" w:hAnsi="Verdana"/>
                <w:sz w:val="16"/>
                <w:szCs w:val="16"/>
              </w:rPr>
            </w:pPr>
            <w:r w:rsidRPr="00197FAB">
              <w:rPr>
                <w:rFonts w:ascii="Verdana" w:hAnsi="Verdana"/>
                <w:sz w:val="16"/>
                <w:szCs w:val="16"/>
              </w:rPr>
              <w:t xml:space="preserve">Fiscaal </w:t>
            </w:r>
          </w:p>
        </w:tc>
      </w:tr>
      <w:tr w:rsidRPr="00197FAB" w:rsidR="00B40151" w:rsidTr="00580D95" w14:paraId="1C470BF9" w14:textId="77777777">
        <w:trPr>
          <w:trHeight w:val="79"/>
        </w:trPr>
        <w:tc>
          <w:tcPr>
            <w:tcW w:w="583" w:type="dxa"/>
          </w:tcPr>
          <w:p w:rsidRPr="00197FAB" w:rsidR="00B40151" w:rsidP="00580D95" w:rsidRDefault="00B40151" w14:paraId="5BE30AF8" w14:textId="77777777">
            <w:pPr>
              <w:pStyle w:val="Default"/>
              <w:rPr>
                <w:rFonts w:ascii="Verdana" w:hAnsi="Verdana"/>
                <w:sz w:val="16"/>
                <w:szCs w:val="16"/>
              </w:rPr>
            </w:pPr>
            <w:r w:rsidRPr="00197FAB">
              <w:rPr>
                <w:rFonts w:ascii="Verdana" w:hAnsi="Verdana"/>
                <w:sz w:val="16"/>
                <w:szCs w:val="16"/>
              </w:rPr>
              <w:t xml:space="preserve">5 </w:t>
            </w:r>
          </w:p>
        </w:tc>
        <w:tc>
          <w:tcPr>
            <w:tcW w:w="4884" w:type="dxa"/>
          </w:tcPr>
          <w:p w:rsidRPr="00197FAB" w:rsidR="00B40151" w:rsidP="00580D95" w:rsidRDefault="00B40151" w14:paraId="3028B405" w14:textId="77777777">
            <w:pPr>
              <w:pStyle w:val="Default"/>
              <w:rPr>
                <w:rFonts w:ascii="Verdana" w:hAnsi="Verdana"/>
                <w:sz w:val="16"/>
                <w:szCs w:val="16"/>
              </w:rPr>
            </w:pPr>
            <w:r w:rsidRPr="00197FAB">
              <w:rPr>
                <w:rFonts w:ascii="Verdana" w:hAnsi="Verdana"/>
                <w:sz w:val="16"/>
                <w:szCs w:val="16"/>
              </w:rPr>
              <w:t xml:space="preserve">Digitale integratie </w:t>
            </w:r>
          </w:p>
        </w:tc>
        <w:tc>
          <w:tcPr>
            <w:tcW w:w="1590" w:type="dxa"/>
          </w:tcPr>
          <w:p w:rsidRPr="00197FAB" w:rsidR="00B40151" w:rsidP="00580D95" w:rsidRDefault="00B40151" w14:paraId="248EFB2F" w14:textId="77777777">
            <w:pPr>
              <w:pStyle w:val="Default"/>
              <w:rPr>
                <w:rFonts w:ascii="Verdana" w:hAnsi="Verdana"/>
                <w:sz w:val="16"/>
                <w:szCs w:val="16"/>
              </w:rPr>
            </w:pPr>
            <w:r w:rsidRPr="00197FAB">
              <w:rPr>
                <w:rFonts w:ascii="Verdana" w:hAnsi="Verdana"/>
                <w:sz w:val="16"/>
                <w:szCs w:val="16"/>
              </w:rPr>
              <w:t xml:space="preserve">Overig </w:t>
            </w:r>
          </w:p>
        </w:tc>
      </w:tr>
      <w:tr w:rsidRPr="00197FAB" w:rsidR="00B40151" w:rsidTr="00580D95" w14:paraId="7308697E" w14:textId="77777777">
        <w:trPr>
          <w:trHeight w:val="79"/>
        </w:trPr>
        <w:tc>
          <w:tcPr>
            <w:tcW w:w="583" w:type="dxa"/>
          </w:tcPr>
          <w:p w:rsidRPr="00197FAB" w:rsidR="00B40151" w:rsidP="00580D95" w:rsidRDefault="00B40151" w14:paraId="6CA31763" w14:textId="77777777">
            <w:pPr>
              <w:pStyle w:val="Default"/>
              <w:rPr>
                <w:rFonts w:ascii="Verdana" w:hAnsi="Verdana"/>
                <w:sz w:val="16"/>
                <w:szCs w:val="16"/>
              </w:rPr>
            </w:pPr>
            <w:r w:rsidRPr="00197FAB">
              <w:rPr>
                <w:rFonts w:ascii="Verdana" w:hAnsi="Verdana"/>
                <w:sz w:val="16"/>
                <w:szCs w:val="16"/>
              </w:rPr>
              <w:t xml:space="preserve">6 </w:t>
            </w:r>
          </w:p>
        </w:tc>
        <w:tc>
          <w:tcPr>
            <w:tcW w:w="4884" w:type="dxa"/>
          </w:tcPr>
          <w:p w:rsidRPr="00197FAB" w:rsidR="00B40151" w:rsidP="00580D95" w:rsidRDefault="00B40151" w14:paraId="47C51931" w14:textId="77777777">
            <w:pPr>
              <w:pStyle w:val="Default"/>
              <w:rPr>
                <w:rFonts w:ascii="Verdana" w:hAnsi="Verdana"/>
                <w:sz w:val="16"/>
                <w:szCs w:val="16"/>
                <w:lang w:val="nl-NL"/>
              </w:rPr>
            </w:pPr>
            <w:r w:rsidRPr="00197FAB">
              <w:rPr>
                <w:rFonts w:ascii="Verdana" w:hAnsi="Verdana"/>
                <w:sz w:val="16"/>
                <w:szCs w:val="16"/>
                <w:lang w:val="nl-NL"/>
              </w:rPr>
              <w:t xml:space="preserve">Deelmobiliteit meenemen in ov-concessies </w:t>
            </w:r>
          </w:p>
        </w:tc>
        <w:tc>
          <w:tcPr>
            <w:tcW w:w="1590" w:type="dxa"/>
          </w:tcPr>
          <w:p w:rsidRPr="00197FAB" w:rsidR="00B40151" w:rsidP="00580D95" w:rsidRDefault="00B40151" w14:paraId="6F6439C0" w14:textId="77777777">
            <w:pPr>
              <w:pStyle w:val="Default"/>
              <w:rPr>
                <w:rFonts w:ascii="Verdana" w:hAnsi="Verdana"/>
                <w:sz w:val="16"/>
                <w:szCs w:val="16"/>
              </w:rPr>
            </w:pPr>
            <w:r w:rsidRPr="00197FAB">
              <w:rPr>
                <w:rFonts w:ascii="Verdana" w:hAnsi="Verdana"/>
                <w:sz w:val="16"/>
                <w:szCs w:val="16"/>
              </w:rPr>
              <w:t xml:space="preserve">Ruimtelijk </w:t>
            </w:r>
          </w:p>
        </w:tc>
      </w:tr>
      <w:tr w:rsidRPr="00197FAB" w:rsidR="00B40151" w:rsidTr="00580D95" w14:paraId="18B3E139" w14:textId="77777777">
        <w:trPr>
          <w:trHeight w:val="195"/>
        </w:trPr>
        <w:tc>
          <w:tcPr>
            <w:tcW w:w="583" w:type="dxa"/>
          </w:tcPr>
          <w:p w:rsidRPr="00197FAB" w:rsidR="00B40151" w:rsidP="00580D95" w:rsidRDefault="00B40151" w14:paraId="24C3F299" w14:textId="77777777">
            <w:pPr>
              <w:pStyle w:val="Default"/>
              <w:rPr>
                <w:rFonts w:ascii="Verdana" w:hAnsi="Verdana"/>
                <w:sz w:val="16"/>
                <w:szCs w:val="16"/>
              </w:rPr>
            </w:pPr>
            <w:r w:rsidRPr="00197FAB">
              <w:rPr>
                <w:rFonts w:ascii="Verdana" w:hAnsi="Verdana"/>
                <w:sz w:val="16"/>
                <w:szCs w:val="16"/>
              </w:rPr>
              <w:t xml:space="preserve">7 </w:t>
            </w:r>
          </w:p>
        </w:tc>
        <w:tc>
          <w:tcPr>
            <w:tcW w:w="4884" w:type="dxa"/>
          </w:tcPr>
          <w:p w:rsidRPr="00197FAB" w:rsidR="00B40151" w:rsidP="00580D95" w:rsidRDefault="00B40151" w14:paraId="0C3E99BF" w14:textId="77777777">
            <w:pPr>
              <w:pStyle w:val="Default"/>
              <w:rPr>
                <w:rFonts w:ascii="Verdana" w:hAnsi="Verdana"/>
                <w:sz w:val="16"/>
                <w:szCs w:val="16"/>
                <w:lang w:val="nl-NL"/>
              </w:rPr>
            </w:pPr>
            <w:r w:rsidRPr="00197FAB">
              <w:rPr>
                <w:rFonts w:ascii="Verdana" w:hAnsi="Verdana"/>
                <w:sz w:val="16"/>
                <w:szCs w:val="16"/>
                <w:lang w:val="nl-NL"/>
              </w:rPr>
              <w:t xml:space="preserve">Bij inruil privéauto deelmobiliteitabonnement of tegoed </w:t>
            </w:r>
          </w:p>
        </w:tc>
        <w:tc>
          <w:tcPr>
            <w:tcW w:w="1590" w:type="dxa"/>
          </w:tcPr>
          <w:p w:rsidRPr="00197FAB" w:rsidR="00B40151" w:rsidP="00580D95" w:rsidRDefault="00B40151" w14:paraId="589CF6C6" w14:textId="77777777">
            <w:pPr>
              <w:pStyle w:val="Default"/>
              <w:rPr>
                <w:rFonts w:ascii="Verdana" w:hAnsi="Verdana"/>
                <w:sz w:val="16"/>
                <w:szCs w:val="16"/>
              </w:rPr>
            </w:pPr>
            <w:r w:rsidRPr="00197FAB">
              <w:rPr>
                <w:rFonts w:ascii="Verdana" w:hAnsi="Verdana"/>
                <w:sz w:val="16"/>
                <w:szCs w:val="16"/>
              </w:rPr>
              <w:t xml:space="preserve">Wettelijk </w:t>
            </w:r>
          </w:p>
        </w:tc>
      </w:tr>
      <w:tr w:rsidRPr="00197FAB" w:rsidR="00B40151" w:rsidTr="00580D95" w14:paraId="1D98EAFD" w14:textId="77777777">
        <w:trPr>
          <w:trHeight w:val="195"/>
        </w:trPr>
        <w:tc>
          <w:tcPr>
            <w:tcW w:w="583" w:type="dxa"/>
          </w:tcPr>
          <w:p w:rsidRPr="00197FAB" w:rsidR="00B40151" w:rsidP="00580D95" w:rsidRDefault="00B40151" w14:paraId="47D412A3" w14:textId="77777777">
            <w:pPr>
              <w:pStyle w:val="Default"/>
              <w:rPr>
                <w:rFonts w:ascii="Verdana" w:hAnsi="Verdana"/>
                <w:sz w:val="16"/>
                <w:szCs w:val="16"/>
              </w:rPr>
            </w:pPr>
            <w:r w:rsidRPr="00197FAB">
              <w:rPr>
                <w:rFonts w:ascii="Verdana" w:hAnsi="Verdana"/>
                <w:sz w:val="16"/>
                <w:szCs w:val="16"/>
              </w:rPr>
              <w:t xml:space="preserve">8 </w:t>
            </w:r>
          </w:p>
        </w:tc>
        <w:tc>
          <w:tcPr>
            <w:tcW w:w="4884" w:type="dxa"/>
          </w:tcPr>
          <w:p w:rsidRPr="00197FAB" w:rsidR="00B40151" w:rsidP="00580D95" w:rsidRDefault="00B40151" w14:paraId="2DDBC345" w14:textId="77777777">
            <w:pPr>
              <w:pStyle w:val="Default"/>
              <w:rPr>
                <w:rFonts w:ascii="Verdana" w:hAnsi="Verdana"/>
                <w:sz w:val="16"/>
                <w:szCs w:val="16"/>
                <w:lang w:val="nl-NL"/>
              </w:rPr>
            </w:pPr>
            <w:r w:rsidRPr="00197FAB">
              <w:rPr>
                <w:rFonts w:ascii="Verdana" w:hAnsi="Verdana"/>
                <w:sz w:val="16"/>
                <w:szCs w:val="16"/>
                <w:lang w:val="nl-NL"/>
              </w:rPr>
              <w:t xml:space="preserve">Exploitatievergoeding bij eisen aan aantal deelvoertuigen </w:t>
            </w:r>
          </w:p>
        </w:tc>
        <w:tc>
          <w:tcPr>
            <w:tcW w:w="1590" w:type="dxa"/>
          </w:tcPr>
          <w:p w:rsidRPr="00197FAB" w:rsidR="00B40151" w:rsidP="00580D95" w:rsidRDefault="00B40151" w14:paraId="62DEEF8D" w14:textId="77777777">
            <w:pPr>
              <w:pStyle w:val="Default"/>
              <w:rPr>
                <w:rFonts w:ascii="Verdana" w:hAnsi="Verdana"/>
                <w:sz w:val="16"/>
                <w:szCs w:val="16"/>
              </w:rPr>
            </w:pPr>
            <w:r w:rsidRPr="00197FAB">
              <w:rPr>
                <w:rFonts w:ascii="Verdana" w:hAnsi="Verdana"/>
                <w:sz w:val="16"/>
                <w:szCs w:val="16"/>
              </w:rPr>
              <w:t xml:space="preserve">Wettelijk </w:t>
            </w:r>
          </w:p>
        </w:tc>
      </w:tr>
      <w:tr w:rsidRPr="00197FAB" w:rsidR="00B40151" w:rsidTr="00580D95" w14:paraId="0D81B632" w14:textId="77777777">
        <w:trPr>
          <w:trHeight w:val="195"/>
        </w:trPr>
        <w:tc>
          <w:tcPr>
            <w:tcW w:w="583" w:type="dxa"/>
          </w:tcPr>
          <w:p w:rsidRPr="00197FAB" w:rsidR="00B40151" w:rsidP="00580D95" w:rsidRDefault="00B40151" w14:paraId="0E7B9B91" w14:textId="77777777">
            <w:pPr>
              <w:pStyle w:val="Default"/>
              <w:rPr>
                <w:rFonts w:ascii="Verdana" w:hAnsi="Verdana"/>
                <w:sz w:val="16"/>
                <w:szCs w:val="16"/>
              </w:rPr>
            </w:pPr>
            <w:r w:rsidRPr="00197FAB">
              <w:rPr>
                <w:rFonts w:ascii="Verdana" w:hAnsi="Verdana"/>
                <w:sz w:val="16"/>
                <w:szCs w:val="16"/>
              </w:rPr>
              <w:t xml:space="preserve">9 </w:t>
            </w:r>
          </w:p>
        </w:tc>
        <w:tc>
          <w:tcPr>
            <w:tcW w:w="4884" w:type="dxa"/>
          </w:tcPr>
          <w:p w:rsidRPr="00197FAB" w:rsidR="00B40151" w:rsidP="00580D95" w:rsidRDefault="00B40151" w14:paraId="370BD13C" w14:textId="77777777">
            <w:pPr>
              <w:pStyle w:val="Default"/>
              <w:rPr>
                <w:rFonts w:ascii="Verdana" w:hAnsi="Verdana"/>
                <w:sz w:val="16"/>
                <w:szCs w:val="16"/>
                <w:lang w:val="nl-NL"/>
              </w:rPr>
            </w:pPr>
            <w:r w:rsidRPr="00197FAB">
              <w:rPr>
                <w:rFonts w:ascii="Verdana" w:hAnsi="Verdana"/>
                <w:sz w:val="16"/>
                <w:szCs w:val="16"/>
                <w:lang w:val="nl-NL"/>
              </w:rPr>
              <w:t xml:space="preserve">Parkeervergunningstarief deelauto gelijk aan bewonerstarief </w:t>
            </w:r>
          </w:p>
        </w:tc>
        <w:tc>
          <w:tcPr>
            <w:tcW w:w="1590" w:type="dxa"/>
          </w:tcPr>
          <w:p w:rsidRPr="00197FAB" w:rsidR="00B40151" w:rsidP="00580D95" w:rsidRDefault="00B40151" w14:paraId="5B66B02E" w14:textId="77777777">
            <w:pPr>
              <w:pStyle w:val="Default"/>
              <w:rPr>
                <w:rFonts w:ascii="Verdana" w:hAnsi="Verdana"/>
                <w:sz w:val="16"/>
                <w:szCs w:val="16"/>
              </w:rPr>
            </w:pPr>
            <w:r w:rsidRPr="00197FAB">
              <w:rPr>
                <w:rFonts w:ascii="Verdana" w:hAnsi="Verdana"/>
                <w:sz w:val="16"/>
                <w:szCs w:val="16"/>
              </w:rPr>
              <w:t xml:space="preserve">Wettelijk </w:t>
            </w:r>
          </w:p>
        </w:tc>
      </w:tr>
      <w:tr w:rsidRPr="00197FAB" w:rsidR="00B40151" w:rsidTr="00580D95" w14:paraId="48A45A73" w14:textId="77777777">
        <w:trPr>
          <w:trHeight w:val="79"/>
        </w:trPr>
        <w:tc>
          <w:tcPr>
            <w:tcW w:w="583" w:type="dxa"/>
          </w:tcPr>
          <w:p w:rsidRPr="00197FAB" w:rsidR="00B40151" w:rsidP="00580D95" w:rsidRDefault="00B40151" w14:paraId="44375BB4" w14:textId="77777777">
            <w:pPr>
              <w:pStyle w:val="Default"/>
              <w:rPr>
                <w:rFonts w:ascii="Verdana" w:hAnsi="Verdana"/>
                <w:sz w:val="16"/>
                <w:szCs w:val="16"/>
              </w:rPr>
            </w:pPr>
            <w:r w:rsidRPr="00197FAB">
              <w:rPr>
                <w:rFonts w:ascii="Verdana" w:hAnsi="Verdana"/>
                <w:sz w:val="16"/>
                <w:szCs w:val="16"/>
              </w:rPr>
              <w:t xml:space="preserve">10 </w:t>
            </w:r>
          </w:p>
        </w:tc>
        <w:tc>
          <w:tcPr>
            <w:tcW w:w="4884" w:type="dxa"/>
          </w:tcPr>
          <w:p w:rsidRPr="00197FAB" w:rsidR="00B40151" w:rsidP="00580D95" w:rsidRDefault="00B40151" w14:paraId="1AC5E36E" w14:textId="77777777">
            <w:pPr>
              <w:pStyle w:val="Default"/>
              <w:rPr>
                <w:rFonts w:ascii="Verdana" w:hAnsi="Verdana"/>
                <w:sz w:val="16"/>
                <w:szCs w:val="16"/>
              </w:rPr>
            </w:pPr>
            <w:r w:rsidRPr="00197FAB">
              <w:rPr>
                <w:rFonts w:ascii="Verdana" w:hAnsi="Verdana"/>
                <w:sz w:val="16"/>
                <w:szCs w:val="16"/>
              </w:rPr>
              <w:t xml:space="preserve">Deelmobiliteit campagne </w:t>
            </w:r>
          </w:p>
        </w:tc>
        <w:tc>
          <w:tcPr>
            <w:tcW w:w="1590" w:type="dxa"/>
          </w:tcPr>
          <w:p w:rsidRPr="00197FAB" w:rsidR="00B40151" w:rsidP="00580D95" w:rsidRDefault="00B40151" w14:paraId="34B2C10A" w14:textId="77777777">
            <w:pPr>
              <w:pStyle w:val="Default"/>
              <w:rPr>
                <w:rFonts w:ascii="Verdana" w:hAnsi="Verdana"/>
                <w:sz w:val="16"/>
                <w:szCs w:val="16"/>
              </w:rPr>
            </w:pPr>
            <w:r w:rsidRPr="00197FAB">
              <w:rPr>
                <w:rFonts w:ascii="Verdana" w:hAnsi="Verdana"/>
                <w:sz w:val="16"/>
                <w:szCs w:val="16"/>
              </w:rPr>
              <w:t xml:space="preserve">Overig </w:t>
            </w:r>
          </w:p>
        </w:tc>
      </w:tr>
    </w:tbl>
    <w:p w:rsidRPr="00197FAB" w:rsidR="00B40151" w:rsidP="00B40151" w:rsidRDefault="00B40151" w14:paraId="642EC1FF" w14:textId="74965BB8">
      <w:pPr>
        <w:rPr>
          <w:i/>
          <w:iCs/>
        </w:rPr>
      </w:pPr>
      <w:r w:rsidRPr="00197FAB">
        <w:rPr>
          <w:i/>
          <w:iCs/>
        </w:rPr>
        <w:t>Tabel met top 10 instrumenten vastgesteld door het onderzoeksbureau</w:t>
      </w:r>
      <w:r w:rsidR="0042691A">
        <w:rPr>
          <w:i/>
          <w:iCs/>
        </w:rPr>
        <w:t>.</w:t>
      </w:r>
    </w:p>
    <w:p w:rsidRPr="00197FAB" w:rsidR="00B40151" w:rsidP="00B40151" w:rsidRDefault="00B40151" w14:paraId="70D533C4" w14:textId="77777777"/>
    <w:p w:rsidRPr="00197FAB" w:rsidR="00B40151" w:rsidP="00B40151" w:rsidRDefault="00B40151" w14:paraId="3E2FE821" w14:textId="17DB85CF">
      <w:bookmarkStart w:name="_Hlk178326819" w:id="7"/>
      <w:r w:rsidRPr="00197FAB">
        <w:t xml:space="preserve">De top </w:t>
      </w:r>
      <w:r w:rsidR="00E91F6A">
        <w:t>tien</w:t>
      </w:r>
      <w:r w:rsidRPr="00197FAB">
        <w:t xml:space="preserve"> bestaat uit verschillende soorten instrumenten, zowel ruimtelijk, wettelijk als fiscaal, zoals verzocht door de Kamer. De onderzoekers geven enkele kanttekeningen bij deze top </w:t>
      </w:r>
      <w:r w:rsidR="00E91F6A">
        <w:t>tien</w:t>
      </w:r>
      <w:r w:rsidRPr="00197FAB">
        <w:t xml:space="preserve">, zoals dat het generieke aanbevelingen betreft en dat een top </w:t>
      </w:r>
      <w:r w:rsidR="00E91F6A">
        <w:t>tien</w:t>
      </w:r>
      <w:r w:rsidRPr="00197FAB">
        <w:t xml:space="preserve"> lokaal er heel anders uit kan zien. Daarnaast wordt aangegeven dat er relatief grote onzekerheidsmarges bestaan rondom de berekende effecten. </w:t>
      </w:r>
    </w:p>
    <w:p w:rsidRPr="00197FAB" w:rsidR="00B40151" w:rsidP="00B40151" w:rsidRDefault="00B40151" w14:paraId="4EE912A1" w14:textId="15299B26">
      <w:r w:rsidRPr="00197FAB">
        <w:t xml:space="preserve">De uitkomst van het onderzoek sluit aan bij de huidige richting van het ministerie voor het onderwerp deelmobiliteit. In de top </w:t>
      </w:r>
      <w:r w:rsidR="00E91F6A">
        <w:t>tien</w:t>
      </w:r>
      <w:r w:rsidRPr="00197FAB">
        <w:t xml:space="preserve"> wordt bijvoorbeeld</w:t>
      </w:r>
      <w:r w:rsidR="006000CE">
        <w:t xml:space="preserve"> een aanbeveling gedaan</w:t>
      </w:r>
      <w:r w:rsidRPr="00197FAB">
        <w:t xml:space="preserve"> over het gebruikmaken van openbare deelauto’s door overheden, waarvoor intern Rijksbreed momenteel de mogelijkheden worden verkend. Daarnaast</w:t>
      </w:r>
      <w:r w:rsidR="001D2915">
        <w:t xml:space="preserve"> wordt</w:t>
      </w:r>
      <w:r w:rsidRPr="00197FAB">
        <w:t xml:space="preserve"> het uitbreiden van deelmobiliteitshubs</w:t>
      </w:r>
      <w:r w:rsidR="001D2915">
        <w:t xml:space="preserve"> aanbevolen</w:t>
      </w:r>
      <w:r w:rsidRPr="00197FAB">
        <w:t xml:space="preserve">, ook daar wordt hard aan gewerkt. </w:t>
      </w:r>
      <w:r w:rsidRPr="00156CD7" w:rsidR="00156CD7">
        <w:t>Zo wordt vanuit de vrijgemaakte €7 miljoen (cofinanciering) Rijksbijdrage op het Bestuurlijk Overleg MIRT van november 2022</w:t>
      </w:r>
      <w:r w:rsidRPr="00197FAB">
        <w:t xml:space="preserve"> de uitrol van deelmobiliteitshubs gestimuleerd en wordt daarnaast kennis opgedaan over de succesfactoren en randvoorwaarden van deze hubs. Rondom fiscaliteit heeft </w:t>
      </w:r>
      <w:r w:rsidR="006022BD">
        <w:t xml:space="preserve">het ministerie van </w:t>
      </w:r>
      <w:r w:rsidRPr="00197FAB">
        <w:t>Financiën in mei een Kamerbrief gestuurd waarbij duidelijkheid wordt gegeven over fiscaliteit voor de deelauto</w:t>
      </w:r>
      <w:r w:rsidRPr="00197FAB">
        <w:rPr>
          <w:rStyle w:val="FootnoteReference"/>
        </w:rPr>
        <w:footnoteReference w:id="10"/>
      </w:r>
      <w:r w:rsidRPr="00197FAB">
        <w:t>. Ook een campagne over de deelauto is een onderwerp waaraan wordt gewerkt, met een nieuwe campagne</w:t>
      </w:r>
      <w:r w:rsidR="00156CD7">
        <w:t>periode</w:t>
      </w:r>
      <w:r w:rsidRPr="00197FAB">
        <w:t xml:space="preserve"> gepland voor november van dit jaar.</w:t>
      </w:r>
    </w:p>
    <w:bookmarkEnd w:id="7"/>
    <w:p w:rsidRPr="00197FAB" w:rsidR="00976EF9" w:rsidP="00B40151" w:rsidRDefault="00976EF9" w14:paraId="245B1893" w14:textId="77777777"/>
    <w:p w:rsidRPr="00197FAB" w:rsidR="00B40151" w:rsidP="00B40151" w:rsidRDefault="00B40151" w14:paraId="5E7C7FC1" w14:textId="77777777">
      <w:r w:rsidRPr="00197FAB">
        <w:t>Tot slot, het ministerie werkt samen met het nationaal samenwerkingsprogramma Natuurlijk!Deelmobiliteit aan kennisopbouw, onder andere om de onzekerheden waar de onderzoekers over schrijven weg te kunnen nemen. Zoals in eerdere correspondentie met de Kamer is aangegeven, staat in het programma het werken aan standaardisatie, harmonisatie, kennisopbouw en kennisdeling centraal.</w:t>
      </w:r>
    </w:p>
    <w:p w:rsidRPr="00197FAB" w:rsidR="00B40151" w:rsidP="004A56CD" w:rsidRDefault="00B40151" w14:paraId="6C348E91" w14:textId="77777777"/>
    <w:p w:rsidRPr="00147A19" w:rsidR="00162CAD" w:rsidP="00162CAD" w:rsidRDefault="00162CAD" w14:paraId="0DC03715" w14:textId="25932F53">
      <w:pPr>
        <w:rPr>
          <w:b/>
          <w:bCs/>
        </w:rPr>
      </w:pPr>
      <w:bookmarkStart w:name="_Hlk178003987" w:id="8"/>
      <w:r w:rsidRPr="00147A19">
        <w:rPr>
          <w:b/>
          <w:bCs/>
        </w:rPr>
        <w:t xml:space="preserve">Vraag </w:t>
      </w:r>
      <w:r w:rsidR="00CB7779">
        <w:rPr>
          <w:b/>
          <w:bCs/>
        </w:rPr>
        <w:t>K</w:t>
      </w:r>
      <w:r w:rsidRPr="00147A19">
        <w:rPr>
          <w:b/>
          <w:bCs/>
        </w:rPr>
        <w:t xml:space="preserve">amer </w:t>
      </w:r>
      <w:r w:rsidR="005445B6">
        <w:rPr>
          <w:b/>
          <w:bCs/>
        </w:rPr>
        <w:t xml:space="preserve">over hoe </w:t>
      </w:r>
      <w:r w:rsidRPr="00147A19">
        <w:rPr>
          <w:b/>
          <w:bCs/>
        </w:rPr>
        <w:t>‘het ontwerpbesluit tot wijziging van het RVV 1990 en BABW’</w:t>
      </w:r>
      <w:r w:rsidR="005445B6">
        <w:rPr>
          <w:b/>
          <w:bCs/>
        </w:rPr>
        <w:t xml:space="preserve"> past binnen de beleidsvoornemens</w:t>
      </w:r>
    </w:p>
    <w:p w:rsidR="00EC53FB" w:rsidP="00EC53FB" w:rsidRDefault="00EC53FB" w14:paraId="075D40C0" w14:textId="77777777">
      <w:r>
        <w:t>In de procedurevergadering van de vaste Kamercommissie Infrastructuur en Waterstaat van 11 september jl. heeft het lid van Dijk (NSC) gevraagd hoe het ‘ontwerpbesluit tot wijziging van het Reglement verkeersregels en verkeerstekens 1990 (RVV 1990) en Besluit administratieve bepalingen inzake het wegverkeer (BABW) in verband met de uitbreiding van nul-emissiezones naar taxi’s en invoering van een nieuw verkeersbord en bijbehorende onderborden voor milieuzones en nul-emissiezones’ past binnen de beleidsvoornemens van het ministerie van Infrastructuur en Waterstaat</w:t>
      </w:r>
      <w:r>
        <w:rPr>
          <w:rStyle w:val="FootnoteReference"/>
        </w:rPr>
        <w:footnoteReference w:id="11"/>
      </w:r>
      <w:r>
        <w:t>.</w:t>
      </w:r>
    </w:p>
    <w:p w:rsidRPr="00390F60" w:rsidR="00EC53FB" w:rsidP="00EC53FB" w:rsidRDefault="00EC53FB" w14:paraId="1F89BA47" w14:textId="77777777">
      <w:pPr>
        <w:spacing w:line="240" w:lineRule="auto"/>
        <w:rPr>
          <w:rFonts w:cstheme="minorHAnsi"/>
          <w:color w:val="auto"/>
        </w:rPr>
      </w:pPr>
      <w:r w:rsidRPr="00390F60">
        <w:rPr>
          <w:rFonts w:cstheme="minorHAnsi"/>
          <w:color w:val="auto"/>
        </w:rPr>
        <w:t xml:space="preserve">Dit ontwerpbesluit past in het </w:t>
      </w:r>
      <w:r>
        <w:rPr>
          <w:rFonts w:cstheme="minorHAnsi"/>
          <w:color w:val="auto"/>
        </w:rPr>
        <w:t>beleidsvoornemen tot</w:t>
      </w:r>
      <w:r w:rsidRPr="00390F60">
        <w:rPr>
          <w:rFonts w:cstheme="minorHAnsi"/>
          <w:color w:val="auto"/>
        </w:rPr>
        <w:t xml:space="preserve"> standaardisatie. Wat er met dit ontwerpbesluit mogelijk wordt, is: </w:t>
      </w:r>
    </w:p>
    <w:p w:rsidR="00EC53FB" w:rsidP="00EC53FB" w:rsidRDefault="00EC53FB" w14:paraId="01BBF5F0" w14:textId="77777777">
      <w:pPr>
        <w:pStyle w:val="ListParagraph"/>
        <w:numPr>
          <w:ilvl w:val="0"/>
          <w:numId w:val="26"/>
        </w:numPr>
        <w:spacing w:line="240" w:lineRule="auto"/>
        <w:rPr>
          <w:rFonts w:cstheme="minorHAnsi"/>
        </w:rPr>
      </w:pPr>
      <w:r w:rsidRPr="00946FEB">
        <w:rPr>
          <w:rFonts w:cstheme="minorHAnsi"/>
        </w:rPr>
        <w:t xml:space="preserve">Het uitbreiden van de voertuigcategorieën waar een nul-emissiezone (zero-emissiezone) voor kan worden ingevoerd met taxi’s; </w:t>
      </w:r>
    </w:p>
    <w:p w:rsidR="00EC53FB" w:rsidP="00EC53FB" w:rsidRDefault="00EC53FB" w14:paraId="22D697E2" w14:textId="77777777">
      <w:pPr>
        <w:pStyle w:val="ListParagraph"/>
        <w:numPr>
          <w:ilvl w:val="0"/>
          <w:numId w:val="26"/>
        </w:numPr>
        <w:spacing w:line="240" w:lineRule="auto"/>
        <w:rPr>
          <w:rFonts w:cstheme="minorHAnsi"/>
        </w:rPr>
      </w:pPr>
      <w:r w:rsidRPr="00946FEB">
        <w:rPr>
          <w:rFonts w:cstheme="minorHAnsi"/>
        </w:rPr>
        <w:t xml:space="preserve">De invoering van een nieuw verkeersbord en bijbehorende onderborden om de huidige bebording voor milieu- én zero-emissiezones te verbeteren. </w:t>
      </w:r>
    </w:p>
    <w:p w:rsidR="00EC53FB" w:rsidP="00EC53FB" w:rsidRDefault="00EC53FB" w14:paraId="1D8D8C94" w14:textId="77777777">
      <w:pPr>
        <w:spacing w:line="240" w:lineRule="auto"/>
        <w:rPr>
          <w:bCs/>
        </w:rPr>
      </w:pPr>
    </w:p>
    <w:p w:rsidRPr="00390F60" w:rsidR="00EC53FB" w:rsidP="00EC53FB" w:rsidRDefault="00EC53FB" w14:paraId="5A56BB38" w14:textId="0E74916F">
      <w:pPr>
        <w:spacing w:line="240" w:lineRule="auto"/>
        <w:rPr>
          <w:rFonts w:cstheme="minorHAnsi"/>
        </w:rPr>
      </w:pPr>
      <w:r w:rsidRPr="00390F60">
        <w:rPr>
          <w:rFonts w:cstheme="minorHAnsi"/>
        </w:rPr>
        <w:t>Het op een gestandaardiseerde en gefaseerde wijze mogelijk maken om de taxi toe te voegen aan de zero-emissiezones, draagt bij aan de uniformiteit in gemeentelijk beleid om taxi’s te verduurzamen. Dit is conform de afspraken gemaakt met de taxibranche in het Afsprakenkader Emissieloos Taxivervoer, getekend in 2022</w:t>
      </w:r>
      <w:r>
        <w:rPr>
          <w:rStyle w:val="FootnoteReference"/>
          <w:rFonts w:cstheme="minorHAnsi"/>
        </w:rPr>
        <w:footnoteReference w:id="12"/>
      </w:r>
      <w:r w:rsidRPr="00390F60">
        <w:rPr>
          <w:rFonts w:cstheme="minorHAnsi"/>
        </w:rPr>
        <w:t>. Het ontwerpbesluit zorgt ervoor dat alle gemeenten die een zero-emissiezone voor taxi’s invoeren dit onder dezelfde voorwaarden en met dezelfde overgangsregels doen</w:t>
      </w:r>
      <w:r w:rsidRPr="00390F60">
        <w:rPr>
          <w:bCs/>
        </w:rPr>
        <w:t>.</w:t>
      </w:r>
      <w:r>
        <w:rPr>
          <w:bCs/>
        </w:rPr>
        <w:t xml:space="preserve"> Het moment dat dit mogelijk wordt, </w:t>
      </w:r>
      <w:r w:rsidR="0068692E">
        <w:rPr>
          <w:bCs/>
        </w:rPr>
        <w:t xml:space="preserve">schuift </w:t>
      </w:r>
      <w:r>
        <w:rPr>
          <w:bCs/>
        </w:rPr>
        <w:t>door de controversieelverklaring naar achteren</w:t>
      </w:r>
      <w:r w:rsidR="0068692E">
        <w:rPr>
          <w:bCs/>
        </w:rPr>
        <w:t>.</w:t>
      </w:r>
    </w:p>
    <w:p w:rsidR="00EC53FB" w:rsidP="00EC53FB" w:rsidRDefault="00EC53FB" w14:paraId="4C5928B0" w14:textId="77777777">
      <w:pPr>
        <w:spacing w:line="240" w:lineRule="auto"/>
        <w:rPr>
          <w:bCs/>
        </w:rPr>
      </w:pPr>
    </w:p>
    <w:p w:rsidRPr="00390F60" w:rsidR="00EC53FB" w:rsidP="00EC53FB" w:rsidRDefault="00EC53FB" w14:paraId="137ABD82" w14:textId="77777777">
      <w:pPr>
        <w:spacing w:line="240" w:lineRule="auto"/>
        <w:rPr>
          <w:rFonts w:cstheme="minorHAnsi"/>
        </w:rPr>
      </w:pPr>
      <w:r>
        <w:rPr>
          <w:bCs/>
        </w:rPr>
        <w:t>De mogelijkheid om zero-emissiezones voor bestel- en vrachtwagens in te stellen is reeds opgenomen in de wetgeving (het RVV 1990) en valt daarmee niet onder dit ontwerpbesluit.</w:t>
      </w:r>
      <w:r w:rsidRPr="00365D88">
        <w:rPr>
          <w:rFonts w:cstheme="minorHAnsi"/>
        </w:rPr>
        <w:t xml:space="preserve"> </w:t>
      </w:r>
      <w:r>
        <w:rPr>
          <w:rFonts w:cstheme="minorHAnsi"/>
        </w:rPr>
        <w:t xml:space="preserve">Het invoeren van het nieuwe verkeersbord en bijbehorende onderborden voorkomt </w:t>
      </w:r>
      <w:r w:rsidRPr="00A264EA">
        <w:rPr>
          <w:rFonts w:cstheme="minorHAnsi"/>
        </w:rPr>
        <w:t xml:space="preserve">onduidelijkheid voor de weggebruiker. </w:t>
      </w:r>
      <w:r>
        <w:rPr>
          <w:rFonts w:cstheme="minorHAnsi"/>
        </w:rPr>
        <w:t>Het</w:t>
      </w:r>
      <w:r w:rsidRPr="00A264EA">
        <w:rPr>
          <w:rFonts w:cstheme="minorHAnsi"/>
        </w:rPr>
        <w:t xml:space="preserve"> nieuwe hoofdbord zorgt voor uniforme bebording ter vervanging van de bebording voor zowel milieu- als zero-emissiezones en voorkomt </w:t>
      </w:r>
      <w:r>
        <w:rPr>
          <w:rFonts w:cstheme="minorHAnsi"/>
        </w:rPr>
        <w:t xml:space="preserve">daarnaast </w:t>
      </w:r>
      <w:r w:rsidRPr="00A264EA">
        <w:rPr>
          <w:rFonts w:cstheme="minorHAnsi"/>
        </w:rPr>
        <w:t>conflicterende bebording van deze twee type zones.</w:t>
      </w:r>
    </w:p>
    <w:bookmarkEnd w:id="8"/>
    <w:p w:rsidRPr="00197FAB" w:rsidR="00196801" w:rsidP="004A56CD" w:rsidRDefault="00196801" w14:paraId="572F05EC" w14:textId="77777777"/>
    <w:p w:rsidRPr="00197FAB" w:rsidR="00C35C44" w:rsidP="00C35C44" w:rsidRDefault="00C35C44" w14:paraId="7726A1C0" w14:textId="46D93977">
      <w:pPr>
        <w:rPr>
          <w:b/>
          <w:bCs/>
        </w:rPr>
      </w:pPr>
      <w:r w:rsidRPr="00197FAB">
        <w:rPr>
          <w:b/>
          <w:bCs/>
        </w:rPr>
        <w:t>Rapporten over verduurzaming Geconditioneerd Vervoer</w:t>
      </w:r>
    </w:p>
    <w:p w:rsidRPr="00197FAB" w:rsidR="00C35C44" w:rsidP="00C35C44" w:rsidRDefault="00C35C44" w14:paraId="201832B2" w14:textId="77777777">
      <w:r w:rsidRPr="00197FAB">
        <w:t>Bij de aanbieding van het plan van aanpak voor de verduurzaming van geconditioneerd transport (gekoeld of verwarmd vervoer van bederfelijke goederen) op 11 december 2023</w:t>
      </w:r>
      <w:r w:rsidRPr="00197FAB">
        <w:rPr>
          <w:rStyle w:val="FootnoteReference"/>
        </w:rPr>
        <w:footnoteReference w:id="13"/>
      </w:r>
      <w:r w:rsidRPr="00197FAB">
        <w:t xml:space="preserve"> is toegezegd de Kamer te informeren over de voortgang. De implementatie van het plan van aanpak moet leiden tot een vermindering in energieverbruik en geluidshinder en een reductie van broeikasgassen en luchtverontreinigende stoffen in het geconditioneerd vervoer.</w:t>
      </w:r>
    </w:p>
    <w:p w:rsidRPr="00197FAB" w:rsidR="00C35C44" w:rsidP="00C35C44" w:rsidRDefault="00C35C44" w14:paraId="5B5D9886" w14:textId="77777777"/>
    <w:p w:rsidRPr="00197FAB" w:rsidR="00C35C44" w:rsidP="00C35C44" w:rsidRDefault="00C35C44" w14:paraId="30B13FEC" w14:textId="77777777">
      <w:pPr>
        <w:rPr>
          <w:i/>
          <w:iCs/>
        </w:rPr>
      </w:pPr>
      <w:bookmarkStart w:name="_Hlk178327218" w:id="9"/>
      <w:r w:rsidRPr="00197FAB">
        <w:rPr>
          <w:i/>
          <w:iCs/>
        </w:rPr>
        <w:t>TNO-meetprogramma naar de emissies van koelmotoren</w:t>
      </w:r>
    </w:p>
    <w:p w:rsidRPr="00197FAB" w:rsidR="00C35C44" w:rsidP="00C35C44" w:rsidRDefault="00C35C44" w14:paraId="1AEE0226" w14:textId="3C2F0D00">
      <w:r w:rsidRPr="00197FAB">
        <w:t>Zero-emissie koelmotoren zijn beschikbaar, maar worden in de praktijk nog weinig gebruikt. De traditioneel diesel-aangedreven koelsystemen vallen onder de Europese emissiewetgeving voor mobiele machines</w:t>
      </w:r>
      <w:r w:rsidR="00D24DF8">
        <w:t xml:space="preserve">. </w:t>
      </w:r>
      <w:r w:rsidRPr="00D24DF8" w:rsidR="00D24DF8">
        <w:t xml:space="preserve">Die normen zijn zo soepel dat de </w:t>
      </w:r>
      <w:r w:rsidR="00013570">
        <w:t>stikstof</w:t>
      </w:r>
      <w:r w:rsidRPr="00D24DF8" w:rsidR="00D24DF8">
        <w:t xml:space="preserve">- en fijnstof-emissie van diesel-aangedreven koelers vele malen hoger is dan van vrachtwagenmotoren. </w:t>
      </w:r>
      <w:r w:rsidRPr="00197FAB">
        <w:rPr>
          <w:rFonts w:eastAsia="Times New Roman"/>
        </w:rPr>
        <w:t>Uit voorl</w:t>
      </w:r>
      <w:r w:rsidRPr="00197FAB">
        <w:t>opige praktijkmetingen</w:t>
      </w:r>
      <w:r w:rsidRPr="00197FAB">
        <w:rPr>
          <w:rStyle w:val="FootnoteReference"/>
        </w:rPr>
        <w:footnoteReference w:id="14"/>
      </w:r>
      <w:r w:rsidRPr="00197FAB">
        <w:t xml:space="preserve"> blijkt dat de diesel koelunit op een vrachtwagen respectievelijk verantwoordelijk is voor ongeveer </w:t>
      </w:r>
      <w:r w:rsidR="006C1DB3">
        <w:t>één derde</w:t>
      </w:r>
      <w:r w:rsidRPr="00197FAB">
        <w:t xml:space="preserve"> en </w:t>
      </w:r>
      <w:r w:rsidR="006C1DB3">
        <w:t>een kwart</w:t>
      </w:r>
      <w:r w:rsidRPr="00197FAB">
        <w:t xml:space="preserve"> van de totale </w:t>
      </w:r>
      <w:r w:rsidR="006C1DB3">
        <w:t>stikstof</w:t>
      </w:r>
      <w:r w:rsidRPr="00197FAB">
        <w:t>-uitstoot van een geconditioneerde levering in de stad en op de snelweg. Nederland zet zich internationaal in voor een aanscherping van de emissienormen voor mobiele machines</w:t>
      </w:r>
      <w:r w:rsidR="006110B9">
        <w:t xml:space="preserve"> om deze uitstoot naar beneden te brengen</w:t>
      </w:r>
      <w:r w:rsidRPr="00197FAB">
        <w:t>.</w:t>
      </w:r>
      <w:r w:rsidRPr="00197FAB">
        <w:rPr>
          <w:rStyle w:val="FootnoteReference"/>
        </w:rPr>
        <w:footnoteReference w:id="15"/>
      </w:r>
    </w:p>
    <w:p w:rsidR="00B35F7C" w:rsidP="00C35C44" w:rsidRDefault="00B35F7C" w14:paraId="6AD2B7D2" w14:textId="77777777"/>
    <w:p w:rsidRPr="00197FAB" w:rsidR="00C35C44" w:rsidP="00C35C44" w:rsidRDefault="00C35C44" w14:paraId="096818F0" w14:textId="77777777">
      <w:pPr>
        <w:rPr>
          <w:i/>
          <w:iCs/>
        </w:rPr>
      </w:pPr>
      <w:r w:rsidRPr="00197FAB">
        <w:rPr>
          <w:i/>
          <w:iCs/>
        </w:rPr>
        <w:t>Stakeholdersessies Connekt</w:t>
      </w:r>
    </w:p>
    <w:p w:rsidR="00C35C44" w:rsidP="00C35C44" w:rsidRDefault="00C35C44" w14:paraId="7991765E" w14:textId="6E820804">
      <w:r w:rsidRPr="00197FAB">
        <w:t xml:space="preserve">In juni en juli 2024 heeft het </w:t>
      </w:r>
      <w:r w:rsidR="006110B9">
        <w:t>m</w:t>
      </w:r>
      <w:r w:rsidRPr="00197FAB">
        <w:t>inisterie van Infrastructuur en Waterstaat stakeholdersessies gehouden met relevante partijen uit de geconditioneerd vervoersector. Uit deze focusgroepen is naar voren gekomen dat de noodzaak van een transitie naar zero-emissie geconditioneerd vervoer in de sector niet ter discussie staat</w:t>
      </w:r>
      <w:r w:rsidRPr="00197FAB" w:rsidR="00104A18">
        <w:rPr>
          <w:rStyle w:val="FootnoteReference"/>
        </w:rPr>
        <w:footnoteReference w:id="16"/>
      </w:r>
      <w:r w:rsidRPr="00197FAB">
        <w:t xml:space="preserve">. De ondernemers vragen daarbij aandacht voor duidelijk beleid ten aanzien van de registratie van e-as trailers op Nederlands kenteken en de transitie naar emissieloos geconditioneerd transport. </w:t>
      </w:r>
      <w:r w:rsidRPr="00D24DF8" w:rsidR="00D24DF8">
        <w:t>De RDW werkt momenteel om de registratie van e-as trailers op termijn mogelijk te maken.</w:t>
      </w:r>
    </w:p>
    <w:p w:rsidRPr="00197FAB" w:rsidR="0070714A" w:rsidP="00C35C44" w:rsidRDefault="0070714A" w14:paraId="6E241CFF" w14:textId="77777777"/>
    <w:bookmarkEnd w:id="9"/>
    <w:p w:rsidRPr="00197FAB" w:rsidR="00C35C44" w:rsidP="00C35C44" w:rsidRDefault="00C35C44" w14:paraId="78A03E1E" w14:textId="62F5C9B0">
      <w:r w:rsidRPr="00197FAB">
        <w:t xml:space="preserve">Binnenkort wordt gestart met een marktanalyse om te bezien hoe het verduurzamingstraject versneld kan worden. Daarnaast verkent het Ministerie hoe de huidige TCO-tools uitgebreid kunnen worden met informatie over de kosten en inzet van koelunits. Zo werkt het Ministerie samen met de sector aan een breed gedragen plan om de transitie naar zero-emissie koelmotoren in het geconditioneerd vervoer te versnellen. </w:t>
      </w:r>
    </w:p>
    <w:p w:rsidR="00AB7F1E" w:rsidRDefault="00357A6E" w14:paraId="289BF45F" w14:textId="0C6F8F8D">
      <w:pPr>
        <w:pStyle w:val="WitregelW1bodytekst"/>
      </w:pPr>
      <w:r w:rsidRPr="00197FAB">
        <w:t xml:space="preserve"> </w:t>
      </w:r>
    </w:p>
    <w:p w:rsidR="00E91F6A" w:rsidP="00E91F6A" w:rsidRDefault="00E91F6A" w14:paraId="28C95E35" w14:textId="77777777"/>
    <w:p w:rsidRPr="00197FAB" w:rsidR="00AB7F1E" w:rsidRDefault="00357A6E" w14:paraId="01FABB41" w14:textId="77777777">
      <w:pPr>
        <w:pStyle w:val="Slotzin"/>
      </w:pPr>
      <w:r w:rsidRPr="00197FAB">
        <w:t>Hoogachtend,</w:t>
      </w:r>
    </w:p>
    <w:p w:rsidRPr="00197FAB" w:rsidR="00AB7F1E" w:rsidRDefault="00357A6E" w14:paraId="0AEE5ED2" w14:textId="77777777">
      <w:pPr>
        <w:pStyle w:val="OndertekeningArea1"/>
      </w:pPr>
      <w:r w:rsidRPr="00197FAB">
        <w:t>DE STAATSSECRETARIS VAN INFRASTRUCTUUR EN WATERSTAAT - OPENBAAR VERVOER EN MILIEU,</w:t>
      </w:r>
    </w:p>
    <w:p w:rsidRPr="00197FAB" w:rsidR="00AB7F1E" w:rsidRDefault="00AB7F1E" w14:paraId="75B8463A" w14:textId="77777777"/>
    <w:p w:rsidR="00AB7F1E" w:rsidRDefault="00AB7F1E" w14:paraId="396B08C9" w14:textId="77777777"/>
    <w:p w:rsidR="00D17609" w:rsidRDefault="00D17609" w14:paraId="541EE04E" w14:textId="77777777"/>
    <w:p w:rsidRPr="00197FAB" w:rsidR="00B35046" w:rsidRDefault="00B35046" w14:paraId="216551DC" w14:textId="77777777"/>
    <w:p w:rsidRPr="00197FAB" w:rsidR="00AB7F1E" w:rsidRDefault="00AB7F1E" w14:paraId="5A3CDCF6" w14:textId="77777777"/>
    <w:p w:rsidRPr="00197FAB" w:rsidR="00AB7F1E" w:rsidRDefault="00AB7F1E" w14:paraId="6BF5B051" w14:textId="77777777"/>
    <w:p w:rsidRPr="00197FAB" w:rsidR="00AB7F1E" w:rsidRDefault="00357A6E" w14:paraId="4B7A034B" w14:textId="1E680CC6">
      <w:r w:rsidRPr="00197FAB">
        <w:t>C.A. Jansen</w:t>
      </w:r>
    </w:p>
    <w:sectPr w:rsidRPr="00197FAB" w:rsidR="00AB7F1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C2336" w14:textId="77777777" w:rsidR="00C75DF4" w:rsidRDefault="00C75DF4">
      <w:pPr>
        <w:spacing w:line="240" w:lineRule="auto"/>
      </w:pPr>
      <w:r>
        <w:separator/>
      </w:r>
    </w:p>
  </w:endnote>
  <w:endnote w:type="continuationSeparator" w:id="0">
    <w:p w14:paraId="1EC6C5BA" w14:textId="77777777" w:rsidR="00C75DF4" w:rsidRDefault="00C75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FB256" w14:textId="77777777" w:rsidR="00C75DF4" w:rsidRDefault="00C75DF4">
      <w:pPr>
        <w:spacing w:line="240" w:lineRule="auto"/>
      </w:pPr>
      <w:r>
        <w:separator/>
      </w:r>
    </w:p>
  </w:footnote>
  <w:footnote w:type="continuationSeparator" w:id="0">
    <w:p w14:paraId="62DD8ED8" w14:textId="77777777" w:rsidR="00C75DF4" w:rsidRDefault="00C75DF4">
      <w:pPr>
        <w:spacing w:line="240" w:lineRule="auto"/>
      </w:pPr>
      <w:r>
        <w:continuationSeparator/>
      </w:r>
    </w:p>
  </w:footnote>
  <w:footnote w:id="1">
    <w:p w14:paraId="54F8962B" w14:textId="0D8FD698" w:rsidR="002E1880" w:rsidRPr="00CB7779" w:rsidRDefault="002E1880">
      <w:pPr>
        <w:pStyle w:val="FootnoteText"/>
        <w:rPr>
          <w:sz w:val="16"/>
          <w:szCs w:val="16"/>
        </w:rPr>
      </w:pPr>
      <w:r w:rsidRPr="00CB7779">
        <w:rPr>
          <w:rStyle w:val="FootnoteReference"/>
          <w:sz w:val="16"/>
          <w:szCs w:val="16"/>
        </w:rPr>
        <w:footnoteRef/>
      </w:r>
      <w:r w:rsidRPr="00CB7779">
        <w:rPr>
          <w:sz w:val="16"/>
          <w:szCs w:val="16"/>
        </w:rPr>
        <w:t xml:space="preserve"> </w:t>
      </w:r>
      <w:r w:rsidR="00C35C44" w:rsidRPr="00CB7779">
        <w:rPr>
          <w:sz w:val="16"/>
          <w:szCs w:val="16"/>
        </w:rPr>
        <w:t>Kamerstuk 31305, nr. 468</w:t>
      </w:r>
    </w:p>
  </w:footnote>
  <w:footnote w:id="2">
    <w:p w14:paraId="3F486D7C" w14:textId="77777777" w:rsidR="00B40151" w:rsidRPr="00CB7779" w:rsidRDefault="00B40151" w:rsidP="00B40151">
      <w:pPr>
        <w:pStyle w:val="FootnoteText"/>
        <w:rPr>
          <w:sz w:val="16"/>
          <w:szCs w:val="16"/>
        </w:rPr>
      </w:pPr>
      <w:r w:rsidRPr="00CB7779">
        <w:rPr>
          <w:rStyle w:val="FootnoteReference"/>
          <w:sz w:val="16"/>
          <w:szCs w:val="16"/>
        </w:rPr>
        <w:footnoteRef/>
      </w:r>
      <w:r w:rsidRPr="00CB7779">
        <w:rPr>
          <w:sz w:val="16"/>
          <w:szCs w:val="16"/>
        </w:rPr>
        <w:t xml:space="preserve"> Kamerstuk 31305, nr. 424</w:t>
      </w:r>
    </w:p>
  </w:footnote>
  <w:footnote w:id="3">
    <w:p w14:paraId="1D8502FE" w14:textId="40AD0B2C" w:rsidR="002E1B61" w:rsidRPr="00CB7779" w:rsidRDefault="002E1B61">
      <w:pPr>
        <w:pStyle w:val="FootnoteText"/>
        <w:rPr>
          <w:sz w:val="16"/>
          <w:szCs w:val="16"/>
        </w:rPr>
      </w:pPr>
      <w:r w:rsidRPr="00CB7779">
        <w:rPr>
          <w:rStyle w:val="FootnoteReference"/>
          <w:sz w:val="16"/>
          <w:szCs w:val="16"/>
        </w:rPr>
        <w:footnoteRef/>
      </w:r>
      <w:r w:rsidRPr="00CB7779">
        <w:rPr>
          <w:sz w:val="16"/>
          <w:szCs w:val="16"/>
        </w:rPr>
        <w:t xml:space="preserve"> Kamerstukken 2023-2024, 32 813, nr 468</w:t>
      </w:r>
    </w:p>
  </w:footnote>
  <w:footnote w:id="4">
    <w:p w14:paraId="7D950322" w14:textId="124C1C2F" w:rsidR="002E1B61" w:rsidRPr="00CB7779" w:rsidRDefault="002E1B61">
      <w:pPr>
        <w:pStyle w:val="FootnoteText"/>
        <w:rPr>
          <w:sz w:val="16"/>
          <w:szCs w:val="16"/>
        </w:rPr>
      </w:pPr>
      <w:r w:rsidRPr="00CB7779">
        <w:rPr>
          <w:rStyle w:val="FootnoteReference"/>
          <w:sz w:val="16"/>
          <w:szCs w:val="16"/>
        </w:rPr>
        <w:footnoteRef/>
      </w:r>
      <w:r w:rsidRPr="00CB7779">
        <w:rPr>
          <w:sz w:val="16"/>
          <w:szCs w:val="16"/>
        </w:rPr>
        <w:t xml:space="preserve"> Kamerstukken 2021-2022, 32 813, nr 741</w:t>
      </w:r>
    </w:p>
  </w:footnote>
  <w:footnote w:id="5">
    <w:p w14:paraId="4C661A37" w14:textId="1C613893" w:rsidR="00104A18" w:rsidRPr="00CB7779" w:rsidRDefault="002E1B61" w:rsidP="00147A19">
      <w:pPr>
        <w:pStyle w:val="FootnoteText"/>
        <w:rPr>
          <w:sz w:val="16"/>
          <w:szCs w:val="16"/>
        </w:rPr>
      </w:pPr>
      <w:r w:rsidRPr="00CB7779">
        <w:rPr>
          <w:rStyle w:val="FootnoteReference"/>
          <w:sz w:val="16"/>
          <w:szCs w:val="16"/>
        </w:rPr>
        <w:footnoteRef/>
      </w:r>
      <w:r w:rsidRPr="00CB7779">
        <w:rPr>
          <w:sz w:val="16"/>
          <w:szCs w:val="16"/>
        </w:rPr>
        <w:t xml:space="preserve"> </w:t>
      </w:r>
      <w:r w:rsidR="00803AD9" w:rsidRPr="00CB7779">
        <w:rPr>
          <w:sz w:val="16"/>
          <w:szCs w:val="16"/>
        </w:rPr>
        <w:t>“</w:t>
      </w:r>
      <w:r w:rsidR="00147A19" w:rsidRPr="00CB7779">
        <w:rPr>
          <w:sz w:val="16"/>
          <w:szCs w:val="16"/>
        </w:rPr>
        <w:t>Brief</w:t>
      </w:r>
      <w:r w:rsidR="00803AD9" w:rsidRPr="00CB7779">
        <w:rPr>
          <w:sz w:val="16"/>
          <w:szCs w:val="16"/>
        </w:rPr>
        <w:t xml:space="preserve"> b</w:t>
      </w:r>
      <w:r w:rsidR="00147A19" w:rsidRPr="00CB7779">
        <w:rPr>
          <w:sz w:val="16"/>
          <w:szCs w:val="16"/>
        </w:rPr>
        <w:t xml:space="preserve">etreft </w:t>
      </w:r>
      <w:r w:rsidR="00803AD9" w:rsidRPr="00CB7779">
        <w:rPr>
          <w:sz w:val="16"/>
          <w:szCs w:val="16"/>
        </w:rPr>
        <w:t>p</w:t>
      </w:r>
      <w:r w:rsidR="00147A19" w:rsidRPr="00CB7779">
        <w:rPr>
          <w:sz w:val="16"/>
          <w:szCs w:val="16"/>
        </w:rPr>
        <w:t>rijsvergelijking van fossiele brandstof en elektrische auto’s</w:t>
      </w:r>
      <w:r w:rsidR="00803AD9" w:rsidRPr="00CB7779">
        <w:rPr>
          <w:sz w:val="16"/>
          <w:szCs w:val="16"/>
        </w:rPr>
        <w:t>”</w:t>
      </w:r>
      <w:r w:rsidR="00147A19" w:rsidRPr="00CB7779">
        <w:rPr>
          <w:sz w:val="16"/>
          <w:szCs w:val="16"/>
        </w:rPr>
        <w:t xml:space="preserve">, </w:t>
      </w:r>
      <w:r w:rsidR="00803AD9" w:rsidRPr="00CB7779">
        <w:rPr>
          <w:sz w:val="16"/>
          <w:szCs w:val="16"/>
        </w:rPr>
        <w:t xml:space="preserve">ANWB, Bovag, RAI, VNA, </w:t>
      </w:r>
      <w:r w:rsidR="00147A19" w:rsidRPr="00CB7779">
        <w:rPr>
          <w:sz w:val="16"/>
          <w:szCs w:val="16"/>
        </w:rPr>
        <w:t>augustus 2024</w:t>
      </w:r>
      <w:r w:rsidR="007F383A">
        <w:rPr>
          <w:sz w:val="16"/>
          <w:szCs w:val="16"/>
        </w:rPr>
        <w:t>.</w:t>
      </w:r>
    </w:p>
  </w:footnote>
  <w:footnote w:id="6">
    <w:p w14:paraId="0179A65A" w14:textId="1B7E2CAE" w:rsidR="004A56CD" w:rsidRPr="00CB7779" w:rsidRDefault="004A56CD">
      <w:pPr>
        <w:pStyle w:val="FootnoteText"/>
        <w:rPr>
          <w:sz w:val="16"/>
          <w:szCs w:val="16"/>
        </w:rPr>
      </w:pPr>
      <w:r w:rsidRPr="00CB7779">
        <w:rPr>
          <w:rStyle w:val="FootnoteReference"/>
          <w:sz w:val="16"/>
          <w:szCs w:val="16"/>
        </w:rPr>
        <w:footnoteRef/>
      </w:r>
      <w:r w:rsidRPr="00CB7779">
        <w:rPr>
          <w:sz w:val="16"/>
          <w:szCs w:val="16"/>
        </w:rPr>
        <w:t xml:space="preserve"> “Keuzeonderzoek adoptiegedrag EV occasions”, TNO, april 2024. </w:t>
      </w:r>
    </w:p>
  </w:footnote>
  <w:footnote w:id="7">
    <w:p w14:paraId="693E0413" w14:textId="77777777" w:rsidR="00B40151" w:rsidRPr="00CB7779" w:rsidRDefault="00B40151" w:rsidP="00B40151">
      <w:pPr>
        <w:pStyle w:val="FootnoteText"/>
        <w:rPr>
          <w:sz w:val="16"/>
          <w:szCs w:val="16"/>
        </w:rPr>
      </w:pPr>
      <w:r w:rsidRPr="00CB7779">
        <w:rPr>
          <w:rStyle w:val="FootnoteReference"/>
          <w:sz w:val="16"/>
          <w:szCs w:val="16"/>
        </w:rPr>
        <w:footnoteRef/>
      </w:r>
      <w:r w:rsidRPr="00CB7779">
        <w:rPr>
          <w:sz w:val="16"/>
          <w:szCs w:val="16"/>
        </w:rPr>
        <w:t xml:space="preserve"> Kamerstuk 31305, nr. 424</w:t>
      </w:r>
    </w:p>
  </w:footnote>
  <w:footnote w:id="8">
    <w:p w14:paraId="76D930F4" w14:textId="382FC9E5" w:rsidR="00803AD9" w:rsidRPr="00CB7779" w:rsidRDefault="00803AD9">
      <w:pPr>
        <w:pStyle w:val="FootnoteText"/>
        <w:rPr>
          <w:i/>
          <w:iCs/>
          <w:sz w:val="16"/>
          <w:szCs w:val="16"/>
        </w:rPr>
      </w:pPr>
      <w:r w:rsidRPr="00CB7779">
        <w:rPr>
          <w:rStyle w:val="FootnoteReference"/>
          <w:sz w:val="16"/>
          <w:szCs w:val="16"/>
        </w:rPr>
        <w:footnoteRef/>
      </w:r>
      <w:r w:rsidRPr="00CB7779">
        <w:rPr>
          <w:sz w:val="16"/>
          <w:szCs w:val="16"/>
        </w:rPr>
        <w:t xml:space="preserve"> Top 10 van instrumenten ter stimulering van deelmobiliteit, CE delft, juni 2024</w:t>
      </w:r>
      <w:r w:rsidR="007F383A">
        <w:rPr>
          <w:sz w:val="16"/>
          <w:szCs w:val="16"/>
        </w:rPr>
        <w:t>.</w:t>
      </w:r>
    </w:p>
  </w:footnote>
  <w:footnote w:id="9">
    <w:p w14:paraId="482A4829" w14:textId="77777777" w:rsidR="00417D75" w:rsidRPr="00721326" w:rsidRDefault="00417D75" w:rsidP="00417D75">
      <w:pPr>
        <w:pStyle w:val="FootnoteText"/>
      </w:pPr>
      <w:r w:rsidRPr="00CB7779">
        <w:rPr>
          <w:rStyle w:val="FootnoteReference"/>
          <w:sz w:val="16"/>
          <w:szCs w:val="16"/>
        </w:rPr>
        <w:footnoteRef/>
      </w:r>
      <w:r w:rsidRPr="00CB7779">
        <w:rPr>
          <w:sz w:val="16"/>
          <w:szCs w:val="16"/>
        </w:rPr>
        <w:t xml:space="preserve"> Kamerstuk 31305, nr. 464</w:t>
      </w:r>
    </w:p>
  </w:footnote>
  <w:footnote w:id="10">
    <w:p w14:paraId="2E0A54E0" w14:textId="77777777" w:rsidR="00B40151" w:rsidRPr="00CB7779" w:rsidRDefault="00B40151" w:rsidP="00B40151">
      <w:pPr>
        <w:pStyle w:val="FootnoteText"/>
        <w:rPr>
          <w:sz w:val="16"/>
          <w:szCs w:val="16"/>
        </w:rPr>
      </w:pPr>
      <w:r w:rsidRPr="00CB7779">
        <w:rPr>
          <w:rStyle w:val="FootnoteReference"/>
          <w:sz w:val="16"/>
          <w:szCs w:val="16"/>
        </w:rPr>
        <w:footnoteRef/>
      </w:r>
      <w:r w:rsidRPr="00CB7779">
        <w:rPr>
          <w:sz w:val="16"/>
          <w:szCs w:val="16"/>
        </w:rPr>
        <w:t xml:space="preserve"> Kamerstuk 31305, nr. 461</w:t>
      </w:r>
    </w:p>
  </w:footnote>
  <w:footnote w:id="11">
    <w:p w14:paraId="66C4E856" w14:textId="77777777" w:rsidR="00EC53FB" w:rsidRDefault="00EC53FB" w:rsidP="00EC53FB">
      <w:pPr>
        <w:pStyle w:val="FootnoteText"/>
      </w:pPr>
      <w:r w:rsidRPr="00CB7779">
        <w:rPr>
          <w:rStyle w:val="FootnoteReference"/>
          <w:sz w:val="16"/>
          <w:szCs w:val="16"/>
        </w:rPr>
        <w:footnoteRef/>
      </w:r>
      <w:r w:rsidRPr="00CB7779">
        <w:rPr>
          <w:sz w:val="16"/>
          <w:szCs w:val="16"/>
        </w:rPr>
        <w:t xml:space="preserve"> 31209-248/2024D32845 of Commissiebrief ID 85157</w:t>
      </w:r>
    </w:p>
  </w:footnote>
  <w:footnote w:id="12">
    <w:p w14:paraId="2B12095B" w14:textId="77777777" w:rsidR="00EC53FB" w:rsidRDefault="00EC53FB" w:rsidP="00EC53FB">
      <w:pPr>
        <w:pStyle w:val="FootnoteText"/>
      </w:pPr>
      <w:r w:rsidRPr="006D293F">
        <w:rPr>
          <w:rStyle w:val="FootnoteReference"/>
          <w:sz w:val="16"/>
          <w:szCs w:val="16"/>
        </w:rPr>
        <w:footnoteRef/>
      </w:r>
      <w:r w:rsidRPr="006D293F">
        <w:rPr>
          <w:sz w:val="16"/>
          <w:szCs w:val="16"/>
        </w:rPr>
        <w:t xml:space="preserve"> Kamerstukken II 2022/23, 30175, nr. 420.</w:t>
      </w:r>
    </w:p>
  </w:footnote>
  <w:footnote w:id="13">
    <w:p w14:paraId="367BED6D" w14:textId="77777777" w:rsidR="00C35C44" w:rsidRPr="0062430E" w:rsidRDefault="00C35C44" w:rsidP="00C35C44">
      <w:pPr>
        <w:pStyle w:val="FootnoteText"/>
        <w:rPr>
          <w:sz w:val="16"/>
          <w:szCs w:val="16"/>
        </w:rPr>
      </w:pPr>
      <w:r w:rsidRPr="00CB7779">
        <w:rPr>
          <w:rStyle w:val="FootnoteReference"/>
          <w:sz w:val="16"/>
          <w:szCs w:val="16"/>
        </w:rPr>
        <w:footnoteRef/>
      </w:r>
      <w:r w:rsidRPr="0062430E">
        <w:rPr>
          <w:sz w:val="16"/>
          <w:szCs w:val="16"/>
        </w:rPr>
        <w:t xml:space="preserve"> Kamerstukken II 2023-2024, 31 305, nr. 438.</w:t>
      </w:r>
    </w:p>
  </w:footnote>
  <w:footnote w:id="14">
    <w:p w14:paraId="4B50310F" w14:textId="4B6D19C7" w:rsidR="00C35C44" w:rsidRPr="007F383A" w:rsidRDefault="00C35C44" w:rsidP="00C35C44">
      <w:pPr>
        <w:pStyle w:val="FootnoteText"/>
        <w:rPr>
          <w:sz w:val="16"/>
          <w:szCs w:val="16"/>
          <w:lang w:val="en-US"/>
        </w:rPr>
      </w:pPr>
      <w:r w:rsidRPr="00CB7779">
        <w:rPr>
          <w:rStyle w:val="FootnoteReference"/>
          <w:sz w:val="16"/>
          <w:szCs w:val="16"/>
        </w:rPr>
        <w:footnoteRef/>
      </w:r>
      <w:r w:rsidRPr="00CB7779">
        <w:rPr>
          <w:sz w:val="16"/>
          <w:szCs w:val="16"/>
          <w:lang w:val="en-US"/>
        </w:rPr>
        <w:t xml:space="preserve"> </w:t>
      </w:r>
      <w:r w:rsidRPr="00CB7779">
        <w:rPr>
          <w:i/>
          <w:iCs/>
          <w:sz w:val="16"/>
          <w:szCs w:val="16"/>
          <w:lang w:val="en-US"/>
        </w:rPr>
        <w:t>Real-world emissions of temperature-controlled road transport in the Netherlands</w:t>
      </w:r>
      <w:r w:rsidR="007F383A">
        <w:rPr>
          <w:sz w:val="16"/>
          <w:szCs w:val="16"/>
          <w:lang w:val="en-US"/>
        </w:rPr>
        <w:t>,</w:t>
      </w:r>
      <w:r w:rsidRPr="00CB7779">
        <w:rPr>
          <w:sz w:val="16"/>
          <w:szCs w:val="16"/>
          <w:lang w:val="en-US"/>
        </w:rPr>
        <w:t xml:space="preserve"> </w:t>
      </w:r>
      <w:r w:rsidRPr="007F383A">
        <w:rPr>
          <w:sz w:val="16"/>
          <w:szCs w:val="16"/>
          <w:lang w:val="en-US"/>
        </w:rPr>
        <w:t>TNO</w:t>
      </w:r>
      <w:r w:rsidR="007F383A">
        <w:rPr>
          <w:sz w:val="16"/>
          <w:szCs w:val="16"/>
          <w:lang w:val="en-US"/>
        </w:rPr>
        <w:t>,</w:t>
      </w:r>
      <w:r w:rsidRPr="007F383A">
        <w:rPr>
          <w:sz w:val="16"/>
          <w:szCs w:val="16"/>
          <w:lang w:val="en-US"/>
        </w:rPr>
        <w:t xml:space="preserve"> 2024</w:t>
      </w:r>
      <w:r w:rsidR="007F383A">
        <w:rPr>
          <w:sz w:val="16"/>
          <w:szCs w:val="16"/>
          <w:lang w:val="en-US"/>
        </w:rPr>
        <w:t>.</w:t>
      </w:r>
      <w:r w:rsidRPr="007F383A">
        <w:rPr>
          <w:sz w:val="16"/>
          <w:szCs w:val="16"/>
          <w:lang w:val="en-US"/>
        </w:rPr>
        <w:t xml:space="preserve"> </w:t>
      </w:r>
    </w:p>
  </w:footnote>
  <w:footnote w:id="15">
    <w:p w14:paraId="3582BF51" w14:textId="22244763" w:rsidR="00104A18" w:rsidRPr="00CB7779" w:rsidRDefault="00C35C44" w:rsidP="00C35C44">
      <w:pPr>
        <w:pStyle w:val="FootnoteText"/>
        <w:rPr>
          <w:sz w:val="16"/>
          <w:szCs w:val="16"/>
        </w:rPr>
      </w:pPr>
      <w:r w:rsidRPr="00CB7779">
        <w:rPr>
          <w:rStyle w:val="FootnoteReference"/>
          <w:sz w:val="16"/>
          <w:szCs w:val="16"/>
        </w:rPr>
        <w:footnoteRef/>
      </w:r>
      <w:r w:rsidRPr="00CB7779">
        <w:rPr>
          <w:sz w:val="16"/>
          <w:szCs w:val="16"/>
        </w:rPr>
        <w:t xml:space="preserve"> Kamerstukken II 2023-2024, 31 305, nr. 438</w:t>
      </w:r>
      <w:r w:rsidR="00104A18" w:rsidRPr="00CB7779">
        <w:rPr>
          <w:sz w:val="16"/>
          <w:szCs w:val="16"/>
        </w:rPr>
        <w:t>.</w:t>
      </w:r>
    </w:p>
  </w:footnote>
  <w:footnote w:id="16">
    <w:p w14:paraId="40F554CC" w14:textId="3382B392" w:rsidR="00104A18" w:rsidRDefault="00104A18">
      <w:pPr>
        <w:pStyle w:val="FootnoteText"/>
      </w:pPr>
      <w:r w:rsidRPr="00CB7779">
        <w:rPr>
          <w:rStyle w:val="FootnoteReference"/>
          <w:sz w:val="16"/>
          <w:szCs w:val="16"/>
        </w:rPr>
        <w:footnoteRef/>
      </w:r>
      <w:r w:rsidRPr="00CB7779">
        <w:rPr>
          <w:sz w:val="16"/>
          <w:szCs w:val="16"/>
        </w:rPr>
        <w:t xml:space="preserve"> </w:t>
      </w:r>
      <w:r w:rsidR="007F383A">
        <w:rPr>
          <w:i/>
          <w:iCs/>
          <w:sz w:val="16"/>
          <w:szCs w:val="16"/>
        </w:rPr>
        <w:t>T</w:t>
      </w:r>
      <w:r w:rsidRPr="00CB7779">
        <w:rPr>
          <w:i/>
          <w:iCs/>
          <w:sz w:val="16"/>
          <w:szCs w:val="16"/>
        </w:rPr>
        <w:t xml:space="preserve">ransitie in de praktijk. De weg naar zero-emissie koelinstallaties in transport, </w:t>
      </w:r>
      <w:r w:rsidRPr="00CB7779">
        <w:rPr>
          <w:sz w:val="16"/>
          <w:szCs w:val="16"/>
        </w:rPr>
        <w:t>I&amp;W Connekt, september 24</w:t>
      </w:r>
      <w:r w:rsidR="007F383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5F9F" w14:textId="77777777" w:rsidR="00AB7F1E" w:rsidRDefault="00357A6E">
    <w:r>
      <w:rPr>
        <w:noProof/>
        <w:lang w:val="en-GB" w:eastAsia="en-GB"/>
      </w:rPr>
      <mc:AlternateContent>
        <mc:Choice Requires="wps">
          <w:drawing>
            <wp:anchor distT="0" distB="0" distL="0" distR="0" simplePos="0" relativeHeight="251651584" behindDoc="0" locked="1" layoutInCell="1" allowOverlap="1" wp14:anchorId="7D6E7D76" wp14:editId="12D01A8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2C873F1" w14:textId="77777777" w:rsidR="00AB7F1E" w:rsidRDefault="00357A6E">
                          <w:pPr>
                            <w:pStyle w:val="AfzendgegevensKop0"/>
                          </w:pPr>
                          <w:r>
                            <w:t>Ministerie van Infrastructuur en Waterstaat</w:t>
                          </w:r>
                        </w:p>
                        <w:p w14:paraId="1CAE56CE" w14:textId="77777777" w:rsidR="00B35046" w:rsidRDefault="00B35046" w:rsidP="00B35046"/>
                        <w:p w14:paraId="45E5F006" w14:textId="77777777" w:rsidR="00D17609" w:rsidRPr="00D17609" w:rsidRDefault="00D17609" w:rsidP="00D17609">
                          <w:pPr>
                            <w:pStyle w:val="Referentiegegevenskop"/>
                            <w:spacing w:line="240" w:lineRule="auto"/>
                          </w:pPr>
                          <w:r>
                            <w:t xml:space="preserve">Ons </w:t>
                          </w:r>
                          <w:r w:rsidRPr="00D17609">
                            <w:t>Kenmerk</w:t>
                          </w:r>
                        </w:p>
                        <w:p w14:paraId="2135FC02" w14:textId="77777777" w:rsidR="00D17609" w:rsidRPr="00D17609" w:rsidRDefault="00D17609" w:rsidP="00D17609">
                          <w:pPr>
                            <w:spacing w:line="240" w:lineRule="auto"/>
                            <w:rPr>
                              <w:sz w:val="13"/>
                              <w:szCs w:val="13"/>
                            </w:rPr>
                          </w:pPr>
                          <w:r w:rsidRPr="00D17609">
                            <w:rPr>
                              <w:sz w:val="13"/>
                              <w:szCs w:val="13"/>
                            </w:rPr>
                            <w:t>IENW/BSK-2024/255097</w:t>
                          </w:r>
                        </w:p>
                        <w:p w14:paraId="5679B8EA" w14:textId="77777777" w:rsidR="00B35046" w:rsidRPr="00B35046" w:rsidRDefault="00B35046" w:rsidP="00B35046"/>
                      </w:txbxContent>
                    </wps:txbx>
                    <wps:bodyPr vert="horz" wrap="square" lIns="0" tIns="0" rIns="0" bIns="0" anchor="t" anchorCtr="0"/>
                  </wps:wsp>
                </a:graphicData>
              </a:graphic>
            </wp:anchor>
          </w:drawing>
        </mc:Choice>
        <mc:Fallback>
          <w:pict>
            <v:shapetype w14:anchorId="7D6E7D7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2C873F1" w14:textId="77777777" w:rsidR="00AB7F1E" w:rsidRDefault="00357A6E">
                    <w:pPr>
                      <w:pStyle w:val="AfzendgegevensKop0"/>
                    </w:pPr>
                    <w:r>
                      <w:t>Ministerie van Infrastructuur en Waterstaat</w:t>
                    </w:r>
                  </w:p>
                  <w:p w14:paraId="1CAE56CE" w14:textId="77777777" w:rsidR="00B35046" w:rsidRDefault="00B35046" w:rsidP="00B35046"/>
                  <w:p w14:paraId="45E5F006" w14:textId="77777777" w:rsidR="00D17609" w:rsidRPr="00D17609" w:rsidRDefault="00D17609" w:rsidP="00D17609">
                    <w:pPr>
                      <w:pStyle w:val="Referentiegegevenskop"/>
                      <w:spacing w:line="240" w:lineRule="auto"/>
                    </w:pPr>
                    <w:r>
                      <w:t xml:space="preserve">Ons </w:t>
                    </w:r>
                    <w:r w:rsidRPr="00D17609">
                      <w:t>Kenmerk</w:t>
                    </w:r>
                  </w:p>
                  <w:p w14:paraId="2135FC02" w14:textId="77777777" w:rsidR="00D17609" w:rsidRPr="00D17609" w:rsidRDefault="00D17609" w:rsidP="00D17609">
                    <w:pPr>
                      <w:spacing w:line="240" w:lineRule="auto"/>
                      <w:rPr>
                        <w:sz w:val="13"/>
                        <w:szCs w:val="13"/>
                      </w:rPr>
                    </w:pPr>
                    <w:r w:rsidRPr="00D17609">
                      <w:rPr>
                        <w:sz w:val="13"/>
                        <w:szCs w:val="13"/>
                      </w:rPr>
                      <w:t>IENW/BSK-2024/255097</w:t>
                    </w:r>
                  </w:p>
                  <w:p w14:paraId="5679B8EA" w14:textId="77777777" w:rsidR="00B35046" w:rsidRPr="00B35046" w:rsidRDefault="00B35046" w:rsidP="00B3504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49717F1" wp14:editId="437E636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8E99E4" w14:textId="77777777" w:rsidR="00AB7F1E" w:rsidRDefault="00357A6E">
                          <w:pPr>
                            <w:pStyle w:val="Referentiegegevens"/>
                          </w:pPr>
                          <w:r>
                            <w:t xml:space="preserve">Pagina </w:t>
                          </w:r>
                          <w:r>
                            <w:fldChar w:fldCharType="begin"/>
                          </w:r>
                          <w:r>
                            <w:instrText>PAGE</w:instrText>
                          </w:r>
                          <w:r>
                            <w:fldChar w:fldCharType="separate"/>
                          </w:r>
                          <w:r w:rsidR="002E1880">
                            <w:rPr>
                              <w:noProof/>
                            </w:rPr>
                            <w:t>1</w:t>
                          </w:r>
                          <w:r>
                            <w:fldChar w:fldCharType="end"/>
                          </w:r>
                          <w:r>
                            <w:t xml:space="preserve"> van </w:t>
                          </w:r>
                          <w:r>
                            <w:fldChar w:fldCharType="begin"/>
                          </w:r>
                          <w:r>
                            <w:instrText>NUMPAGES</w:instrText>
                          </w:r>
                          <w:r>
                            <w:fldChar w:fldCharType="separate"/>
                          </w:r>
                          <w:r w:rsidR="002E1880">
                            <w:rPr>
                              <w:noProof/>
                            </w:rPr>
                            <w:t>1</w:t>
                          </w:r>
                          <w:r>
                            <w:fldChar w:fldCharType="end"/>
                          </w:r>
                        </w:p>
                      </w:txbxContent>
                    </wps:txbx>
                    <wps:bodyPr vert="horz" wrap="square" lIns="0" tIns="0" rIns="0" bIns="0" anchor="t" anchorCtr="0"/>
                  </wps:wsp>
                </a:graphicData>
              </a:graphic>
            </wp:anchor>
          </w:drawing>
        </mc:Choice>
        <mc:Fallback>
          <w:pict>
            <v:shape w14:anchorId="549717F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68E99E4" w14:textId="77777777" w:rsidR="00AB7F1E" w:rsidRDefault="00357A6E">
                    <w:pPr>
                      <w:pStyle w:val="Referentiegegevens"/>
                    </w:pPr>
                    <w:r>
                      <w:t xml:space="preserve">Pagina </w:t>
                    </w:r>
                    <w:r>
                      <w:fldChar w:fldCharType="begin"/>
                    </w:r>
                    <w:r>
                      <w:instrText>PAGE</w:instrText>
                    </w:r>
                    <w:r>
                      <w:fldChar w:fldCharType="separate"/>
                    </w:r>
                    <w:r w:rsidR="002E1880">
                      <w:rPr>
                        <w:noProof/>
                      </w:rPr>
                      <w:t>1</w:t>
                    </w:r>
                    <w:r>
                      <w:fldChar w:fldCharType="end"/>
                    </w:r>
                    <w:r>
                      <w:t xml:space="preserve"> van </w:t>
                    </w:r>
                    <w:r>
                      <w:fldChar w:fldCharType="begin"/>
                    </w:r>
                    <w:r>
                      <w:instrText>NUMPAGES</w:instrText>
                    </w:r>
                    <w:r>
                      <w:fldChar w:fldCharType="separate"/>
                    </w:r>
                    <w:r w:rsidR="002E188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B81AA4" wp14:editId="4BE2F69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674824" w14:textId="77777777" w:rsidR="00180389" w:rsidRDefault="00180389"/>
                      </w:txbxContent>
                    </wps:txbx>
                    <wps:bodyPr vert="horz" wrap="square" lIns="0" tIns="0" rIns="0" bIns="0" anchor="t" anchorCtr="0"/>
                  </wps:wsp>
                </a:graphicData>
              </a:graphic>
            </wp:anchor>
          </w:drawing>
        </mc:Choice>
        <mc:Fallback>
          <w:pict>
            <v:shape w14:anchorId="62B81AA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C674824" w14:textId="77777777" w:rsidR="00180389" w:rsidRDefault="001803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D1A1594" wp14:editId="4CBAC71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E4F13FF" w14:textId="77777777" w:rsidR="00180389" w:rsidRDefault="00180389"/>
                      </w:txbxContent>
                    </wps:txbx>
                    <wps:bodyPr vert="horz" wrap="square" lIns="0" tIns="0" rIns="0" bIns="0" anchor="t" anchorCtr="0"/>
                  </wps:wsp>
                </a:graphicData>
              </a:graphic>
            </wp:anchor>
          </w:drawing>
        </mc:Choice>
        <mc:Fallback>
          <w:pict>
            <v:shape w14:anchorId="5D1A159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E4F13FF" w14:textId="77777777" w:rsidR="00180389" w:rsidRDefault="0018038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73C4" w14:textId="77777777" w:rsidR="00AB7F1E" w:rsidRDefault="00357A6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474FF59" wp14:editId="0774B71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73BD23" w14:textId="77777777" w:rsidR="00180389" w:rsidRDefault="00180389"/>
                      </w:txbxContent>
                    </wps:txbx>
                    <wps:bodyPr vert="horz" wrap="square" lIns="0" tIns="0" rIns="0" bIns="0" anchor="t" anchorCtr="0"/>
                  </wps:wsp>
                </a:graphicData>
              </a:graphic>
            </wp:anchor>
          </w:drawing>
        </mc:Choice>
        <mc:Fallback>
          <w:pict>
            <v:shapetype w14:anchorId="3474FF5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A73BD23" w14:textId="77777777" w:rsidR="00180389" w:rsidRDefault="001803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A02128" wp14:editId="5124B96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05A436" w14:textId="2E04B5F7" w:rsidR="00AB7F1E" w:rsidRDefault="00357A6E">
                          <w:pPr>
                            <w:pStyle w:val="Referentiegegevens"/>
                          </w:pPr>
                          <w:r>
                            <w:t xml:space="preserve">Pagina </w:t>
                          </w:r>
                          <w:r>
                            <w:fldChar w:fldCharType="begin"/>
                          </w:r>
                          <w:r>
                            <w:instrText>PAGE</w:instrText>
                          </w:r>
                          <w:r>
                            <w:fldChar w:fldCharType="separate"/>
                          </w:r>
                          <w:r w:rsidR="00B62B7B">
                            <w:rPr>
                              <w:noProof/>
                            </w:rPr>
                            <w:t>1</w:t>
                          </w:r>
                          <w:r>
                            <w:fldChar w:fldCharType="end"/>
                          </w:r>
                          <w:r>
                            <w:t xml:space="preserve"> van </w:t>
                          </w:r>
                          <w:r>
                            <w:fldChar w:fldCharType="begin"/>
                          </w:r>
                          <w:r>
                            <w:instrText>NUMPAGES</w:instrText>
                          </w:r>
                          <w:r>
                            <w:fldChar w:fldCharType="separate"/>
                          </w:r>
                          <w:r w:rsidR="00B62B7B">
                            <w:rPr>
                              <w:noProof/>
                            </w:rPr>
                            <w:t>1</w:t>
                          </w:r>
                          <w:r>
                            <w:fldChar w:fldCharType="end"/>
                          </w:r>
                        </w:p>
                      </w:txbxContent>
                    </wps:txbx>
                    <wps:bodyPr vert="horz" wrap="square" lIns="0" tIns="0" rIns="0" bIns="0" anchor="t" anchorCtr="0"/>
                  </wps:wsp>
                </a:graphicData>
              </a:graphic>
            </wp:anchor>
          </w:drawing>
        </mc:Choice>
        <mc:Fallback>
          <w:pict>
            <v:shape w14:anchorId="23A0212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F05A436" w14:textId="2E04B5F7" w:rsidR="00AB7F1E" w:rsidRDefault="00357A6E">
                    <w:pPr>
                      <w:pStyle w:val="Referentiegegevens"/>
                    </w:pPr>
                    <w:r>
                      <w:t xml:space="preserve">Pagina </w:t>
                    </w:r>
                    <w:r>
                      <w:fldChar w:fldCharType="begin"/>
                    </w:r>
                    <w:r>
                      <w:instrText>PAGE</w:instrText>
                    </w:r>
                    <w:r>
                      <w:fldChar w:fldCharType="separate"/>
                    </w:r>
                    <w:r w:rsidR="00B62B7B">
                      <w:rPr>
                        <w:noProof/>
                      </w:rPr>
                      <w:t>1</w:t>
                    </w:r>
                    <w:r>
                      <w:fldChar w:fldCharType="end"/>
                    </w:r>
                    <w:r>
                      <w:t xml:space="preserve"> van </w:t>
                    </w:r>
                    <w:r>
                      <w:fldChar w:fldCharType="begin"/>
                    </w:r>
                    <w:r>
                      <w:instrText>NUMPAGES</w:instrText>
                    </w:r>
                    <w:r>
                      <w:fldChar w:fldCharType="separate"/>
                    </w:r>
                    <w:r w:rsidR="00B62B7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EA3F6D" wp14:editId="13CF6120">
              <wp:simplePos x="0" y="0"/>
              <wp:positionH relativeFrom="page">
                <wp:posOffset>5969000</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A911B6" w14:textId="77777777" w:rsidR="00AB7F1E" w:rsidRDefault="00357A6E">
                          <w:pPr>
                            <w:pStyle w:val="AfzendgegevensKop0"/>
                          </w:pPr>
                          <w:r>
                            <w:t>Ministerie van Infrastructuur en Waterstaat</w:t>
                          </w:r>
                        </w:p>
                        <w:p w14:paraId="20197352" w14:textId="77777777" w:rsidR="00AB7F1E" w:rsidRDefault="00AB7F1E">
                          <w:pPr>
                            <w:pStyle w:val="WitregelW1"/>
                          </w:pPr>
                        </w:p>
                        <w:p w14:paraId="0B69E28A" w14:textId="77777777" w:rsidR="00AB7F1E" w:rsidRDefault="00357A6E">
                          <w:pPr>
                            <w:pStyle w:val="Afzendgegevens"/>
                          </w:pPr>
                          <w:r>
                            <w:t>Rijnstraat 8</w:t>
                          </w:r>
                        </w:p>
                        <w:p w14:paraId="78248220" w14:textId="65B8D758" w:rsidR="00AB7F1E" w:rsidRPr="002E1880" w:rsidRDefault="00357A6E">
                          <w:pPr>
                            <w:pStyle w:val="Afzendgegevens"/>
                            <w:rPr>
                              <w:lang w:val="de-DE"/>
                            </w:rPr>
                          </w:pPr>
                          <w:r w:rsidRPr="002E1880">
                            <w:rPr>
                              <w:lang w:val="de-DE"/>
                            </w:rPr>
                            <w:t xml:space="preserve">2515 </w:t>
                          </w:r>
                          <w:r w:rsidR="00E91F6A" w:rsidRPr="002E1880">
                            <w:rPr>
                              <w:lang w:val="de-DE"/>
                            </w:rPr>
                            <w:t>XP Den</w:t>
                          </w:r>
                          <w:r w:rsidRPr="002E1880">
                            <w:rPr>
                              <w:lang w:val="de-DE"/>
                            </w:rPr>
                            <w:t xml:space="preserve"> Haag</w:t>
                          </w:r>
                        </w:p>
                        <w:p w14:paraId="2BA0F618" w14:textId="77777777" w:rsidR="00AB7F1E" w:rsidRPr="002E1880" w:rsidRDefault="00357A6E">
                          <w:pPr>
                            <w:pStyle w:val="Afzendgegevens"/>
                            <w:rPr>
                              <w:lang w:val="de-DE"/>
                            </w:rPr>
                          </w:pPr>
                          <w:r w:rsidRPr="002E1880">
                            <w:rPr>
                              <w:lang w:val="de-DE"/>
                            </w:rPr>
                            <w:t>Postbus 20901</w:t>
                          </w:r>
                        </w:p>
                        <w:p w14:paraId="590DC2EB" w14:textId="77777777" w:rsidR="00AB7F1E" w:rsidRPr="002E1880" w:rsidRDefault="00357A6E">
                          <w:pPr>
                            <w:pStyle w:val="Afzendgegevens"/>
                            <w:rPr>
                              <w:lang w:val="de-DE"/>
                            </w:rPr>
                          </w:pPr>
                          <w:r w:rsidRPr="002E1880">
                            <w:rPr>
                              <w:lang w:val="de-DE"/>
                            </w:rPr>
                            <w:t>2500 EX Den Haag</w:t>
                          </w:r>
                        </w:p>
                        <w:p w14:paraId="7FFBA728" w14:textId="77777777" w:rsidR="00AB7F1E" w:rsidRPr="002E1880" w:rsidRDefault="00AB7F1E">
                          <w:pPr>
                            <w:pStyle w:val="WitregelW1"/>
                            <w:rPr>
                              <w:lang w:val="de-DE"/>
                            </w:rPr>
                          </w:pPr>
                        </w:p>
                        <w:p w14:paraId="7448980C" w14:textId="77777777" w:rsidR="00AB7F1E" w:rsidRPr="002E1880" w:rsidRDefault="00357A6E">
                          <w:pPr>
                            <w:pStyle w:val="Afzendgegevens"/>
                            <w:rPr>
                              <w:lang w:val="de-DE"/>
                            </w:rPr>
                          </w:pPr>
                          <w:r w:rsidRPr="002E1880">
                            <w:rPr>
                              <w:lang w:val="de-DE"/>
                            </w:rPr>
                            <w:t>T   070-456 0000</w:t>
                          </w:r>
                        </w:p>
                        <w:p w14:paraId="1FFE0191" w14:textId="77777777" w:rsidR="00AB7F1E" w:rsidRPr="00D17609" w:rsidRDefault="00357A6E" w:rsidP="00D17609">
                          <w:pPr>
                            <w:pStyle w:val="Afzendgegevens"/>
                            <w:spacing w:line="240" w:lineRule="auto"/>
                          </w:pPr>
                          <w:r>
                            <w:t>F   070-</w:t>
                          </w:r>
                          <w:r w:rsidRPr="00D17609">
                            <w:t>456 1111</w:t>
                          </w:r>
                        </w:p>
                        <w:p w14:paraId="6E8EDF3B" w14:textId="77777777" w:rsidR="00AB7F1E" w:rsidRPr="00D17609" w:rsidRDefault="00AB7F1E" w:rsidP="00D17609">
                          <w:pPr>
                            <w:pStyle w:val="WitregelW2"/>
                            <w:spacing w:line="240" w:lineRule="auto"/>
                            <w:rPr>
                              <w:sz w:val="13"/>
                              <w:szCs w:val="13"/>
                            </w:rPr>
                          </w:pPr>
                        </w:p>
                        <w:p w14:paraId="1BEBA8F0" w14:textId="302BDE3F" w:rsidR="00B35046" w:rsidRPr="00D17609" w:rsidRDefault="00D17609" w:rsidP="00D17609">
                          <w:pPr>
                            <w:pStyle w:val="Referentiegegevenskop"/>
                            <w:spacing w:line="240" w:lineRule="auto"/>
                          </w:pPr>
                          <w:r>
                            <w:t xml:space="preserve">Ons </w:t>
                          </w:r>
                          <w:r w:rsidR="00B35046" w:rsidRPr="00D17609">
                            <w:t>Kenmerk</w:t>
                          </w:r>
                        </w:p>
                        <w:p w14:paraId="21ADA11C" w14:textId="594E4FEC" w:rsidR="00B35046" w:rsidRPr="00D17609" w:rsidRDefault="00D17609" w:rsidP="00D17609">
                          <w:pPr>
                            <w:spacing w:line="240" w:lineRule="auto"/>
                            <w:rPr>
                              <w:sz w:val="13"/>
                              <w:szCs w:val="13"/>
                            </w:rPr>
                          </w:pPr>
                          <w:r w:rsidRPr="00D17609">
                            <w:rPr>
                              <w:sz w:val="13"/>
                              <w:szCs w:val="13"/>
                            </w:rPr>
                            <w:t>IENW/BSK-2024/255097</w:t>
                          </w:r>
                        </w:p>
                        <w:p w14:paraId="069F588C" w14:textId="77777777" w:rsidR="00D17609" w:rsidRPr="00D17609" w:rsidRDefault="00D17609" w:rsidP="00D17609">
                          <w:pPr>
                            <w:spacing w:line="240" w:lineRule="auto"/>
                            <w:rPr>
                              <w:sz w:val="13"/>
                              <w:szCs w:val="13"/>
                            </w:rPr>
                          </w:pPr>
                        </w:p>
                        <w:p w14:paraId="7A16C62D" w14:textId="77777777" w:rsidR="00AB7F1E" w:rsidRPr="00D17609" w:rsidRDefault="00357A6E" w:rsidP="00D17609">
                          <w:pPr>
                            <w:pStyle w:val="Referentiegegevenskop"/>
                            <w:spacing w:line="240" w:lineRule="auto"/>
                          </w:pPr>
                          <w:r w:rsidRPr="00D17609">
                            <w:t>Bijlage(n)</w:t>
                          </w:r>
                        </w:p>
                        <w:p w14:paraId="56BDB457" w14:textId="0632CE57" w:rsidR="00AB7F1E" w:rsidRPr="00D17609" w:rsidRDefault="00B35046" w:rsidP="00D17609">
                          <w:pPr>
                            <w:pStyle w:val="Referentiegegevens"/>
                            <w:spacing w:line="240" w:lineRule="auto"/>
                          </w:pPr>
                          <w:r w:rsidRPr="00D17609">
                            <w:t>5</w:t>
                          </w:r>
                        </w:p>
                      </w:txbxContent>
                    </wps:txbx>
                    <wps:bodyPr vert="horz" wrap="square" lIns="0" tIns="0" rIns="0" bIns="0" anchor="t" anchorCtr="0"/>
                  </wps:wsp>
                </a:graphicData>
              </a:graphic>
            </wp:anchor>
          </w:drawing>
        </mc:Choice>
        <mc:Fallback>
          <w:pict>
            <v:shape w14:anchorId="08EA3F6D" id="7268d739-823c-11ee-8554-0242ac120003" o:spid="_x0000_s1032" type="#_x0000_t202" style="position:absolute;margin-left:470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" filled="f" stroked="f">
              <v:textbox inset="0,0,0,0">
                <w:txbxContent>
                  <w:p w14:paraId="7BA911B6" w14:textId="77777777" w:rsidR="00AB7F1E" w:rsidRDefault="00357A6E">
                    <w:pPr>
                      <w:pStyle w:val="AfzendgegevensKop0"/>
                    </w:pPr>
                    <w:r>
                      <w:t>Ministerie van Infrastructuur en Waterstaat</w:t>
                    </w:r>
                  </w:p>
                  <w:p w14:paraId="20197352" w14:textId="77777777" w:rsidR="00AB7F1E" w:rsidRDefault="00AB7F1E">
                    <w:pPr>
                      <w:pStyle w:val="WitregelW1"/>
                    </w:pPr>
                  </w:p>
                  <w:p w14:paraId="0B69E28A" w14:textId="77777777" w:rsidR="00AB7F1E" w:rsidRDefault="00357A6E">
                    <w:pPr>
                      <w:pStyle w:val="Afzendgegevens"/>
                    </w:pPr>
                    <w:r>
                      <w:t>Rijnstraat 8</w:t>
                    </w:r>
                  </w:p>
                  <w:p w14:paraId="78248220" w14:textId="65B8D758" w:rsidR="00AB7F1E" w:rsidRPr="002E1880" w:rsidRDefault="00357A6E">
                    <w:pPr>
                      <w:pStyle w:val="Afzendgegevens"/>
                      <w:rPr>
                        <w:lang w:val="de-DE"/>
                      </w:rPr>
                    </w:pPr>
                    <w:r w:rsidRPr="002E1880">
                      <w:rPr>
                        <w:lang w:val="de-DE"/>
                      </w:rPr>
                      <w:t xml:space="preserve">2515 </w:t>
                    </w:r>
                    <w:r w:rsidR="00E91F6A" w:rsidRPr="002E1880">
                      <w:rPr>
                        <w:lang w:val="de-DE"/>
                      </w:rPr>
                      <w:t>XP Den</w:t>
                    </w:r>
                    <w:r w:rsidRPr="002E1880">
                      <w:rPr>
                        <w:lang w:val="de-DE"/>
                      </w:rPr>
                      <w:t xml:space="preserve"> Haag</w:t>
                    </w:r>
                  </w:p>
                  <w:p w14:paraId="2BA0F618" w14:textId="77777777" w:rsidR="00AB7F1E" w:rsidRPr="002E1880" w:rsidRDefault="00357A6E">
                    <w:pPr>
                      <w:pStyle w:val="Afzendgegevens"/>
                      <w:rPr>
                        <w:lang w:val="de-DE"/>
                      </w:rPr>
                    </w:pPr>
                    <w:r w:rsidRPr="002E1880">
                      <w:rPr>
                        <w:lang w:val="de-DE"/>
                      </w:rPr>
                      <w:t>Postbus 20901</w:t>
                    </w:r>
                  </w:p>
                  <w:p w14:paraId="590DC2EB" w14:textId="77777777" w:rsidR="00AB7F1E" w:rsidRPr="002E1880" w:rsidRDefault="00357A6E">
                    <w:pPr>
                      <w:pStyle w:val="Afzendgegevens"/>
                      <w:rPr>
                        <w:lang w:val="de-DE"/>
                      </w:rPr>
                    </w:pPr>
                    <w:r w:rsidRPr="002E1880">
                      <w:rPr>
                        <w:lang w:val="de-DE"/>
                      </w:rPr>
                      <w:t>2500 EX Den Haag</w:t>
                    </w:r>
                  </w:p>
                  <w:p w14:paraId="7FFBA728" w14:textId="77777777" w:rsidR="00AB7F1E" w:rsidRPr="002E1880" w:rsidRDefault="00AB7F1E">
                    <w:pPr>
                      <w:pStyle w:val="WitregelW1"/>
                      <w:rPr>
                        <w:lang w:val="de-DE"/>
                      </w:rPr>
                    </w:pPr>
                  </w:p>
                  <w:p w14:paraId="7448980C" w14:textId="77777777" w:rsidR="00AB7F1E" w:rsidRPr="002E1880" w:rsidRDefault="00357A6E">
                    <w:pPr>
                      <w:pStyle w:val="Afzendgegevens"/>
                      <w:rPr>
                        <w:lang w:val="de-DE"/>
                      </w:rPr>
                    </w:pPr>
                    <w:r w:rsidRPr="002E1880">
                      <w:rPr>
                        <w:lang w:val="de-DE"/>
                      </w:rPr>
                      <w:t>T   070-456 0000</w:t>
                    </w:r>
                  </w:p>
                  <w:p w14:paraId="1FFE0191" w14:textId="77777777" w:rsidR="00AB7F1E" w:rsidRPr="00D17609" w:rsidRDefault="00357A6E" w:rsidP="00D17609">
                    <w:pPr>
                      <w:pStyle w:val="Afzendgegevens"/>
                      <w:spacing w:line="240" w:lineRule="auto"/>
                    </w:pPr>
                    <w:r>
                      <w:t>F   070-</w:t>
                    </w:r>
                    <w:r w:rsidRPr="00D17609">
                      <w:t>456 1111</w:t>
                    </w:r>
                  </w:p>
                  <w:p w14:paraId="6E8EDF3B" w14:textId="77777777" w:rsidR="00AB7F1E" w:rsidRPr="00D17609" w:rsidRDefault="00AB7F1E" w:rsidP="00D17609">
                    <w:pPr>
                      <w:pStyle w:val="WitregelW2"/>
                      <w:spacing w:line="240" w:lineRule="auto"/>
                      <w:rPr>
                        <w:sz w:val="13"/>
                        <w:szCs w:val="13"/>
                      </w:rPr>
                    </w:pPr>
                  </w:p>
                  <w:p w14:paraId="1BEBA8F0" w14:textId="302BDE3F" w:rsidR="00B35046" w:rsidRPr="00D17609" w:rsidRDefault="00D17609" w:rsidP="00D17609">
                    <w:pPr>
                      <w:pStyle w:val="Referentiegegevenskop"/>
                      <w:spacing w:line="240" w:lineRule="auto"/>
                    </w:pPr>
                    <w:r>
                      <w:t xml:space="preserve">Ons </w:t>
                    </w:r>
                    <w:r w:rsidR="00B35046" w:rsidRPr="00D17609">
                      <w:t>Kenmerk</w:t>
                    </w:r>
                  </w:p>
                  <w:p w14:paraId="21ADA11C" w14:textId="594E4FEC" w:rsidR="00B35046" w:rsidRPr="00D17609" w:rsidRDefault="00D17609" w:rsidP="00D17609">
                    <w:pPr>
                      <w:spacing w:line="240" w:lineRule="auto"/>
                      <w:rPr>
                        <w:sz w:val="13"/>
                        <w:szCs w:val="13"/>
                      </w:rPr>
                    </w:pPr>
                    <w:r w:rsidRPr="00D17609">
                      <w:rPr>
                        <w:sz w:val="13"/>
                        <w:szCs w:val="13"/>
                      </w:rPr>
                      <w:t>IENW/BSK-2024/255097</w:t>
                    </w:r>
                  </w:p>
                  <w:p w14:paraId="069F588C" w14:textId="77777777" w:rsidR="00D17609" w:rsidRPr="00D17609" w:rsidRDefault="00D17609" w:rsidP="00D17609">
                    <w:pPr>
                      <w:spacing w:line="240" w:lineRule="auto"/>
                      <w:rPr>
                        <w:sz w:val="13"/>
                        <w:szCs w:val="13"/>
                      </w:rPr>
                    </w:pPr>
                  </w:p>
                  <w:p w14:paraId="7A16C62D" w14:textId="77777777" w:rsidR="00AB7F1E" w:rsidRPr="00D17609" w:rsidRDefault="00357A6E" w:rsidP="00D17609">
                    <w:pPr>
                      <w:pStyle w:val="Referentiegegevenskop"/>
                      <w:spacing w:line="240" w:lineRule="auto"/>
                    </w:pPr>
                    <w:r w:rsidRPr="00D17609">
                      <w:t>Bijlage(n)</w:t>
                    </w:r>
                  </w:p>
                  <w:p w14:paraId="56BDB457" w14:textId="0632CE57" w:rsidR="00AB7F1E" w:rsidRPr="00D17609" w:rsidRDefault="00B35046" w:rsidP="00D17609">
                    <w:pPr>
                      <w:pStyle w:val="Referentiegegevens"/>
                      <w:spacing w:line="240" w:lineRule="auto"/>
                    </w:pPr>
                    <w:r w:rsidRPr="00D17609">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5B3C2D3" wp14:editId="4C45ED9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3F60515" w14:textId="313DAA0B" w:rsidR="00180389" w:rsidRDefault="00D17609">
                          <w:r>
                            <w:rPr>
                              <w:noProof/>
                              <w:lang w:val="en-GB" w:eastAsia="en-GB"/>
                            </w:rPr>
                            <w:drawing>
                              <wp:inline distT="0" distB="0" distL="0" distR="0" wp14:anchorId="25B1340D" wp14:editId="6543491F">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B3C2D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3F60515" w14:textId="313DAA0B" w:rsidR="00180389" w:rsidRDefault="00D17609">
                    <w:r>
                      <w:rPr>
                        <w:noProof/>
                        <w:lang w:val="en-GB" w:eastAsia="en-GB"/>
                      </w:rPr>
                      <w:drawing>
                        <wp:inline distT="0" distB="0" distL="0" distR="0" wp14:anchorId="25B1340D" wp14:editId="6543491F">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1B9C5DA" wp14:editId="3EE814E9">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5EB765" w14:textId="77777777" w:rsidR="00AB7F1E" w:rsidRDefault="00357A6E">
                          <w:pPr>
                            <w:spacing w:line="240" w:lineRule="auto"/>
                          </w:pPr>
                          <w:r>
                            <w:rPr>
                              <w:noProof/>
                              <w:lang w:val="en-GB" w:eastAsia="en-GB"/>
                            </w:rPr>
                            <w:drawing>
                              <wp:inline distT="0" distB="0" distL="0" distR="0" wp14:anchorId="2267EAF2" wp14:editId="07AD07EE">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B9C5D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065EB765" w14:textId="77777777" w:rsidR="00AB7F1E" w:rsidRDefault="00357A6E">
                    <w:pPr>
                      <w:spacing w:line="240" w:lineRule="auto"/>
                    </w:pPr>
                    <w:r>
                      <w:rPr>
                        <w:noProof/>
                        <w:lang w:val="en-GB" w:eastAsia="en-GB"/>
                      </w:rPr>
                      <w:drawing>
                        <wp:inline distT="0" distB="0" distL="0" distR="0" wp14:anchorId="2267EAF2" wp14:editId="07AD07EE">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8770AE1" wp14:editId="39E94A95">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AA0C4FD" w14:textId="77777777" w:rsidR="00AB7F1E" w:rsidRDefault="00357A6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8770AE1"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0AA0C4FD" w14:textId="77777777" w:rsidR="00AB7F1E" w:rsidRDefault="00357A6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5DEFEBC" wp14:editId="16DF4C83">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5C308BD" w14:textId="77777777" w:rsidR="00AB7F1E" w:rsidRDefault="00357A6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5DEFEB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45C308BD" w14:textId="77777777" w:rsidR="00AB7F1E" w:rsidRDefault="00357A6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F870BBE" wp14:editId="4ADA3CCF">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B7F1E" w14:paraId="54C98D0C" w14:textId="77777777">
                            <w:trPr>
                              <w:trHeight w:val="200"/>
                            </w:trPr>
                            <w:tc>
                              <w:tcPr>
                                <w:tcW w:w="1140" w:type="dxa"/>
                              </w:tcPr>
                              <w:p w14:paraId="51417D30" w14:textId="77777777" w:rsidR="00AB7F1E" w:rsidRDefault="00AB7F1E"/>
                            </w:tc>
                            <w:tc>
                              <w:tcPr>
                                <w:tcW w:w="5400" w:type="dxa"/>
                              </w:tcPr>
                              <w:p w14:paraId="586C7B78" w14:textId="77777777" w:rsidR="00AB7F1E" w:rsidRDefault="00AB7F1E"/>
                            </w:tc>
                          </w:tr>
                          <w:tr w:rsidR="00AB7F1E" w14:paraId="44589116" w14:textId="77777777">
                            <w:trPr>
                              <w:trHeight w:val="240"/>
                            </w:trPr>
                            <w:tc>
                              <w:tcPr>
                                <w:tcW w:w="1140" w:type="dxa"/>
                              </w:tcPr>
                              <w:p w14:paraId="5334F91F" w14:textId="77777777" w:rsidR="00AB7F1E" w:rsidRDefault="00357A6E">
                                <w:r>
                                  <w:t>Datum</w:t>
                                </w:r>
                              </w:p>
                            </w:tc>
                            <w:tc>
                              <w:tcPr>
                                <w:tcW w:w="5400" w:type="dxa"/>
                              </w:tcPr>
                              <w:p w14:paraId="32460C74" w14:textId="5146C73F" w:rsidR="00AB7F1E" w:rsidRDefault="00D17609">
                                <w:r>
                                  <w:t>8 oktober 2024</w:t>
                                </w:r>
                              </w:p>
                            </w:tc>
                          </w:tr>
                          <w:tr w:rsidR="00AB7F1E" w14:paraId="3B1878D9" w14:textId="77777777">
                            <w:trPr>
                              <w:trHeight w:val="240"/>
                            </w:trPr>
                            <w:tc>
                              <w:tcPr>
                                <w:tcW w:w="1140" w:type="dxa"/>
                              </w:tcPr>
                              <w:p w14:paraId="14C2D5C2" w14:textId="77777777" w:rsidR="00AB7F1E" w:rsidRDefault="00357A6E">
                                <w:r>
                                  <w:t>Betreft</w:t>
                                </w:r>
                              </w:p>
                            </w:tc>
                            <w:tc>
                              <w:tcPr>
                                <w:tcW w:w="5400" w:type="dxa"/>
                              </w:tcPr>
                              <w:p w14:paraId="118F2203" w14:textId="77777777" w:rsidR="00AB7F1E" w:rsidRDefault="00357A6E">
                                <w:r>
                                  <w:t>Kamerbrief moties duurzaam vervoer</w:t>
                                </w:r>
                              </w:p>
                            </w:tc>
                          </w:tr>
                          <w:tr w:rsidR="00AB7F1E" w14:paraId="11E7C18D" w14:textId="77777777">
                            <w:trPr>
                              <w:trHeight w:val="200"/>
                            </w:trPr>
                            <w:tc>
                              <w:tcPr>
                                <w:tcW w:w="1140" w:type="dxa"/>
                              </w:tcPr>
                              <w:p w14:paraId="34E0F9AB" w14:textId="77777777" w:rsidR="00AB7F1E" w:rsidRDefault="00AB7F1E"/>
                            </w:tc>
                            <w:tc>
                              <w:tcPr>
                                <w:tcW w:w="5400" w:type="dxa"/>
                              </w:tcPr>
                              <w:p w14:paraId="35D6F0FC" w14:textId="77777777" w:rsidR="00AB7F1E" w:rsidRDefault="00AB7F1E"/>
                            </w:tc>
                          </w:tr>
                        </w:tbl>
                        <w:p w14:paraId="02F8F513" w14:textId="77777777" w:rsidR="00180389" w:rsidRDefault="00180389"/>
                      </w:txbxContent>
                    </wps:txbx>
                    <wps:bodyPr vert="horz" wrap="square" lIns="0" tIns="0" rIns="0" bIns="0" anchor="t" anchorCtr="0"/>
                  </wps:wsp>
                </a:graphicData>
              </a:graphic>
            </wp:anchor>
          </w:drawing>
        </mc:Choice>
        <mc:Fallback>
          <w:pict>
            <v:shape w14:anchorId="0F870BB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B7F1E" w14:paraId="54C98D0C" w14:textId="77777777">
                      <w:trPr>
                        <w:trHeight w:val="200"/>
                      </w:trPr>
                      <w:tc>
                        <w:tcPr>
                          <w:tcW w:w="1140" w:type="dxa"/>
                        </w:tcPr>
                        <w:p w14:paraId="51417D30" w14:textId="77777777" w:rsidR="00AB7F1E" w:rsidRDefault="00AB7F1E"/>
                      </w:tc>
                      <w:tc>
                        <w:tcPr>
                          <w:tcW w:w="5400" w:type="dxa"/>
                        </w:tcPr>
                        <w:p w14:paraId="586C7B78" w14:textId="77777777" w:rsidR="00AB7F1E" w:rsidRDefault="00AB7F1E"/>
                      </w:tc>
                    </w:tr>
                    <w:tr w:rsidR="00AB7F1E" w14:paraId="44589116" w14:textId="77777777">
                      <w:trPr>
                        <w:trHeight w:val="240"/>
                      </w:trPr>
                      <w:tc>
                        <w:tcPr>
                          <w:tcW w:w="1140" w:type="dxa"/>
                        </w:tcPr>
                        <w:p w14:paraId="5334F91F" w14:textId="77777777" w:rsidR="00AB7F1E" w:rsidRDefault="00357A6E">
                          <w:r>
                            <w:t>Datum</w:t>
                          </w:r>
                        </w:p>
                      </w:tc>
                      <w:tc>
                        <w:tcPr>
                          <w:tcW w:w="5400" w:type="dxa"/>
                        </w:tcPr>
                        <w:p w14:paraId="32460C74" w14:textId="5146C73F" w:rsidR="00AB7F1E" w:rsidRDefault="00D17609">
                          <w:r>
                            <w:t>8 oktober 2024</w:t>
                          </w:r>
                        </w:p>
                      </w:tc>
                    </w:tr>
                    <w:tr w:rsidR="00AB7F1E" w14:paraId="3B1878D9" w14:textId="77777777">
                      <w:trPr>
                        <w:trHeight w:val="240"/>
                      </w:trPr>
                      <w:tc>
                        <w:tcPr>
                          <w:tcW w:w="1140" w:type="dxa"/>
                        </w:tcPr>
                        <w:p w14:paraId="14C2D5C2" w14:textId="77777777" w:rsidR="00AB7F1E" w:rsidRDefault="00357A6E">
                          <w:r>
                            <w:t>Betreft</w:t>
                          </w:r>
                        </w:p>
                      </w:tc>
                      <w:tc>
                        <w:tcPr>
                          <w:tcW w:w="5400" w:type="dxa"/>
                        </w:tcPr>
                        <w:p w14:paraId="118F2203" w14:textId="77777777" w:rsidR="00AB7F1E" w:rsidRDefault="00357A6E">
                          <w:r>
                            <w:t>Kamerbrief moties duurzaam vervoer</w:t>
                          </w:r>
                        </w:p>
                      </w:tc>
                    </w:tr>
                    <w:tr w:rsidR="00AB7F1E" w14:paraId="11E7C18D" w14:textId="77777777">
                      <w:trPr>
                        <w:trHeight w:val="200"/>
                      </w:trPr>
                      <w:tc>
                        <w:tcPr>
                          <w:tcW w:w="1140" w:type="dxa"/>
                        </w:tcPr>
                        <w:p w14:paraId="34E0F9AB" w14:textId="77777777" w:rsidR="00AB7F1E" w:rsidRDefault="00AB7F1E"/>
                      </w:tc>
                      <w:tc>
                        <w:tcPr>
                          <w:tcW w:w="5400" w:type="dxa"/>
                        </w:tcPr>
                        <w:p w14:paraId="35D6F0FC" w14:textId="77777777" w:rsidR="00AB7F1E" w:rsidRDefault="00AB7F1E"/>
                      </w:tc>
                    </w:tr>
                  </w:tbl>
                  <w:p w14:paraId="02F8F513" w14:textId="77777777" w:rsidR="00180389" w:rsidRDefault="001803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15BA14C" wp14:editId="2347C11E">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A91680" w14:textId="77777777" w:rsidR="00180389" w:rsidRDefault="00180389"/>
                      </w:txbxContent>
                    </wps:txbx>
                    <wps:bodyPr vert="horz" wrap="square" lIns="0" tIns="0" rIns="0" bIns="0" anchor="t" anchorCtr="0"/>
                  </wps:wsp>
                </a:graphicData>
              </a:graphic>
            </wp:anchor>
          </w:drawing>
        </mc:Choice>
        <mc:Fallback>
          <w:pict>
            <v:shape w14:anchorId="315BA14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2BA91680" w14:textId="77777777" w:rsidR="00180389" w:rsidRDefault="001803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BE15E"/>
    <w:multiLevelType w:val="multilevel"/>
    <w:tmpl w:val="8D86B5B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D6F519"/>
    <w:multiLevelType w:val="multilevel"/>
    <w:tmpl w:val="C8DC78E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57FD53"/>
    <w:multiLevelType w:val="multilevel"/>
    <w:tmpl w:val="4E6CF93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7565DD"/>
    <w:multiLevelType w:val="multilevel"/>
    <w:tmpl w:val="BF1B771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C1189F"/>
    <w:multiLevelType w:val="multilevel"/>
    <w:tmpl w:val="29909B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0078CAE"/>
    <w:multiLevelType w:val="multilevel"/>
    <w:tmpl w:val="6C91338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B5C4FB"/>
    <w:multiLevelType w:val="multilevel"/>
    <w:tmpl w:val="F7695B8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D292BE"/>
    <w:multiLevelType w:val="multilevel"/>
    <w:tmpl w:val="9FD90E6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D76366"/>
    <w:multiLevelType w:val="multilevel"/>
    <w:tmpl w:val="F0673F2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394654"/>
    <w:multiLevelType w:val="multilevel"/>
    <w:tmpl w:val="48B0113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7DEB8DA"/>
    <w:multiLevelType w:val="multilevel"/>
    <w:tmpl w:val="6F7481E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CF2456"/>
    <w:multiLevelType w:val="multilevel"/>
    <w:tmpl w:val="5B3F453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7D882"/>
    <w:multiLevelType w:val="multilevel"/>
    <w:tmpl w:val="3DB41AF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58BE48"/>
    <w:multiLevelType w:val="multilevel"/>
    <w:tmpl w:val="4E07345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2C00D4"/>
    <w:multiLevelType w:val="multilevel"/>
    <w:tmpl w:val="9D95392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5706D9"/>
    <w:multiLevelType w:val="hybridMultilevel"/>
    <w:tmpl w:val="6C544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8B1CC2"/>
    <w:multiLevelType w:val="multilevel"/>
    <w:tmpl w:val="FD37655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2A7D33"/>
    <w:multiLevelType w:val="multilevel"/>
    <w:tmpl w:val="A69655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296D6C48"/>
    <w:multiLevelType w:val="multilevel"/>
    <w:tmpl w:val="43B94BE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DE9CD"/>
    <w:multiLevelType w:val="multilevel"/>
    <w:tmpl w:val="0BA6CC3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D5A5B"/>
    <w:multiLevelType w:val="multilevel"/>
    <w:tmpl w:val="EBBCFDE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95E10E"/>
    <w:multiLevelType w:val="multilevel"/>
    <w:tmpl w:val="648A7FE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7566A2"/>
    <w:multiLevelType w:val="hybridMultilevel"/>
    <w:tmpl w:val="81CE20B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B72058"/>
    <w:multiLevelType w:val="multilevel"/>
    <w:tmpl w:val="374E735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A66853"/>
    <w:multiLevelType w:val="hybridMultilevel"/>
    <w:tmpl w:val="269EC8D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5" w15:restartNumberingAfterBreak="0">
    <w:nsid w:val="73E64009"/>
    <w:multiLevelType w:val="multilevel"/>
    <w:tmpl w:val="F5DF32E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0"/>
  </w:num>
  <w:num w:numId="4">
    <w:abstractNumId w:val="20"/>
  </w:num>
  <w:num w:numId="5">
    <w:abstractNumId w:val="4"/>
  </w:num>
  <w:num w:numId="6">
    <w:abstractNumId w:val="21"/>
  </w:num>
  <w:num w:numId="7">
    <w:abstractNumId w:val="6"/>
  </w:num>
  <w:num w:numId="8">
    <w:abstractNumId w:val="13"/>
  </w:num>
  <w:num w:numId="9">
    <w:abstractNumId w:val="7"/>
  </w:num>
  <w:num w:numId="10">
    <w:abstractNumId w:val="10"/>
  </w:num>
  <w:num w:numId="11">
    <w:abstractNumId w:val="9"/>
  </w:num>
  <w:num w:numId="12">
    <w:abstractNumId w:val="17"/>
  </w:num>
  <w:num w:numId="13">
    <w:abstractNumId w:val="16"/>
  </w:num>
  <w:num w:numId="14">
    <w:abstractNumId w:val="11"/>
  </w:num>
  <w:num w:numId="15">
    <w:abstractNumId w:val="25"/>
  </w:num>
  <w:num w:numId="16">
    <w:abstractNumId w:val="19"/>
  </w:num>
  <w:num w:numId="17">
    <w:abstractNumId w:val="8"/>
  </w:num>
  <w:num w:numId="18">
    <w:abstractNumId w:val="5"/>
  </w:num>
  <w:num w:numId="19">
    <w:abstractNumId w:val="23"/>
  </w:num>
  <w:num w:numId="20">
    <w:abstractNumId w:val="18"/>
  </w:num>
  <w:num w:numId="21">
    <w:abstractNumId w:val="14"/>
  </w:num>
  <w:num w:numId="22">
    <w:abstractNumId w:val="2"/>
  </w:num>
  <w:num w:numId="23">
    <w:abstractNumId w:val="3"/>
  </w:num>
  <w:num w:numId="24">
    <w:abstractNumId w:val="15"/>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80"/>
    <w:rsid w:val="00006F12"/>
    <w:rsid w:val="00013570"/>
    <w:rsid w:val="000816CB"/>
    <w:rsid w:val="000A7EDA"/>
    <w:rsid w:val="000B54E6"/>
    <w:rsid w:val="000E6D99"/>
    <w:rsid w:val="00104A18"/>
    <w:rsid w:val="00147A19"/>
    <w:rsid w:val="00156CD7"/>
    <w:rsid w:val="00162CAD"/>
    <w:rsid w:val="00180389"/>
    <w:rsid w:val="00196801"/>
    <w:rsid w:val="00197FAB"/>
    <w:rsid w:val="001D2915"/>
    <w:rsid w:val="002426A0"/>
    <w:rsid w:val="00250D05"/>
    <w:rsid w:val="002668C4"/>
    <w:rsid w:val="002830CE"/>
    <w:rsid w:val="002A4C08"/>
    <w:rsid w:val="002D1EC1"/>
    <w:rsid w:val="002E1880"/>
    <w:rsid w:val="002E1B61"/>
    <w:rsid w:val="002F2C87"/>
    <w:rsid w:val="00330348"/>
    <w:rsid w:val="00357A6E"/>
    <w:rsid w:val="00417D75"/>
    <w:rsid w:val="004218A7"/>
    <w:rsid w:val="0042691A"/>
    <w:rsid w:val="00443B6C"/>
    <w:rsid w:val="00497F8F"/>
    <w:rsid w:val="004A56CD"/>
    <w:rsid w:val="005260DF"/>
    <w:rsid w:val="005445B6"/>
    <w:rsid w:val="00581B22"/>
    <w:rsid w:val="0059058E"/>
    <w:rsid w:val="005E522B"/>
    <w:rsid w:val="006000CE"/>
    <w:rsid w:val="006022BD"/>
    <w:rsid w:val="006110B9"/>
    <w:rsid w:val="0062430E"/>
    <w:rsid w:val="00653540"/>
    <w:rsid w:val="006856B5"/>
    <w:rsid w:val="0068692E"/>
    <w:rsid w:val="00693168"/>
    <w:rsid w:val="006C1DB3"/>
    <w:rsid w:val="006D293F"/>
    <w:rsid w:val="006F3AD2"/>
    <w:rsid w:val="006F5286"/>
    <w:rsid w:val="0070714A"/>
    <w:rsid w:val="00745CB3"/>
    <w:rsid w:val="00751B2F"/>
    <w:rsid w:val="00761ED2"/>
    <w:rsid w:val="00797F23"/>
    <w:rsid w:val="007A05F4"/>
    <w:rsid w:val="007C1E7F"/>
    <w:rsid w:val="007F2D17"/>
    <w:rsid w:val="007F383A"/>
    <w:rsid w:val="00803AD9"/>
    <w:rsid w:val="00894E18"/>
    <w:rsid w:val="00905C4B"/>
    <w:rsid w:val="0093370E"/>
    <w:rsid w:val="00946FEB"/>
    <w:rsid w:val="00962BED"/>
    <w:rsid w:val="00976EF9"/>
    <w:rsid w:val="00A672F3"/>
    <w:rsid w:val="00A67D4B"/>
    <w:rsid w:val="00A77ECC"/>
    <w:rsid w:val="00A84041"/>
    <w:rsid w:val="00A95058"/>
    <w:rsid w:val="00AB7F1E"/>
    <w:rsid w:val="00AF7A36"/>
    <w:rsid w:val="00B35046"/>
    <w:rsid w:val="00B35F7C"/>
    <w:rsid w:val="00B40151"/>
    <w:rsid w:val="00B45290"/>
    <w:rsid w:val="00B567D1"/>
    <w:rsid w:val="00B62B7B"/>
    <w:rsid w:val="00BB4983"/>
    <w:rsid w:val="00BD26C0"/>
    <w:rsid w:val="00C05B37"/>
    <w:rsid w:val="00C35C44"/>
    <w:rsid w:val="00C75DF4"/>
    <w:rsid w:val="00CB7779"/>
    <w:rsid w:val="00D14274"/>
    <w:rsid w:val="00D17609"/>
    <w:rsid w:val="00D24DF8"/>
    <w:rsid w:val="00D715A3"/>
    <w:rsid w:val="00DB2C87"/>
    <w:rsid w:val="00DD073C"/>
    <w:rsid w:val="00DF1600"/>
    <w:rsid w:val="00E0293C"/>
    <w:rsid w:val="00E63E9A"/>
    <w:rsid w:val="00E71BCC"/>
    <w:rsid w:val="00E91F6A"/>
    <w:rsid w:val="00EC53FB"/>
    <w:rsid w:val="00EC71AB"/>
    <w:rsid w:val="00ED70FA"/>
    <w:rsid w:val="00EF3B89"/>
    <w:rsid w:val="00F13A69"/>
    <w:rsid w:val="00F93F76"/>
    <w:rsid w:val="00FA2226"/>
    <w:rsid w:val="00FE0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E1880"/>
    <w:pPr>
      <w:tabs>
        <w:tab w:val="center" w:pos="4536"/>
        <w:tab w:val="right" w:pos="9072"/>
      </w:tabs>
      <w:spacing w:line="240" w:lineRule="auto"/>
    </w:pPr>
  </w:style>
  <w:style w:type="character" w:customStyle="1" w:styleId="HeaderChar">
    <w:name w:val="Header Char"/>
    <w:basedOn w:val="DefaultParagraphFont"/>
    <w:link w:val="Header"/>
    <w:uiPriority w:val="99"/>
    <w:rsid w:val="002E1880"/>
    <w:rPr>
      <w:rFonts w:ascii="Verdana" w:hAnsi="Verdana"/>
      <w:color w:val="000000"/>
      <w:sz w:val="18"/>
      <w:szCs w:val="18"/>
    </w:rPr>
  </w:style>
  <w:style w:type="paragraph" w:styleId="Footer">
    <w:name w:val="footer"/>
    <w:basedOn w:val="Normal"/>
    <w:link w:val="FooterChar"/>
    <w:uiPriority w:val="99"/>
    <w:unhideWhenUsed/>
    <w:rsid w:val="002E1880"/>
    <w:pPr>
      <w:tabs>
        <w:tab w:val="center" w:pos="4536"/>
        <w:tab w:val="right" w:pos="9072"/>
      </w:tabs>
      <w:spacing w:line="240" w:lineRule="auto"/>
    </w:pPr>
  </w:style>
  <w:style w:type="character" w:customStyle="1" w:styleId="FooterChar">
    <w:name w:val="Footer Char"/>
    <w:basedOn w:val="DefaultParagraphFont"/>
    <w:link w:val="Footer"/>
    <w:uiPriority w:val="99"/>
    <w:rsid w:val="002E1880"/>
    <w:rPr>
      <w:rFonts w:ascii="Verdana" w:hAnsi="Verdana"/>
      <w:color w:val="000000"/>
      <w:sz w:val="18"/>
      <w:szCs w:val="18"/>
    </w:rPr>
  </w:style>
  <w:style w:type="paragraph" w:styleId="FootnoteText">
    <w:name w:val="footnote text"/>
    <w:basedOn w:val="Normal"/>
    <w:link w:val="FootnoteTextChar"/>
    <w:uiPriority w:val="99"/>
    <w:semiHidden/>
    <w:unhideWhenUsed/>
    <w:rsid w:val="002E1880"/>
    <w:pPr>
      <w:spacing w:line="240" w:lineRule="auto"/>
    </w:pPr>
    <w:rPr>
      <w:sz w:val="20"/>
      <w:szCs w:val="20"/>
    </w:rPr>
  </w:style>
  <w:style w:type="character" w:customStyle="1" w:styleId="FootnoteTextChar">
    <w:name w:val="Footnote Text Char"/>
    <w:basedOn w:val="DefaultParagraphFont"/>
    <w:link w:val="FootnoteText"/>
    <w:uiPriority w:val="99"/>
    <w:semiHidden/>
    <w:rsid w:val="002E1880"/>
    <w:rPr>
      <w:rFonts w:ascii="Verdana" w:hAnsi="Verdana"/>
      <w:color w:val="000000"/>
    </w:rPr>
  </w:style>
  <w:style w:type="character" w:styleId="FootnoteReference">
    <w:name w:val="footnote reference"/>
    <w:basedOn w:val="DefaultParagraphFont"/>
    <w:uiPriority w:val="99"/>
    <w:semiHidden/>
    <w:unhideWhenUsed/>
    <w:rsid w:val="002E1880"/>
    <w:rPr>
      <w:vertAlign w:val="superscript"/>
    </w:rPr>
  </w:style>
  <w:style w:type="character" w:styleId="CommentReference">
    <w:name w:val="annotation reference"/>
    <w:basedOn w:val="DefaultParagraphFont"/>
    <w:uiPriority w:val="99"/>
    <w:semiHidden/>
    <w:unhideWhenUsed/>
    <w:rsid w:val="004A56CD"/>
    <w:rPr>
      <w:sz w:val="16"/>
      <w:szCs w:val="16"/>
    </w:rPr>
  </w:style>
  <w:style w:type="paragraph" w:styleId="CommentText">
    <w:name w:val="annotation text"/>
    <w:basedOn w:val="Normal"/>
    <w:link w:val="CommentTextChar"/>
    <w:uiPriority w:val="99"/>
    <w:unhideWhenUsed/>
    <w:rsid w:val="004A56CD"/>
    <w:pPr>
      <w:spacing w:line="240" w:lineRule="auto"/>
    </w:pPr>
    <w:rPr>
      <w:sz w:val="20"/>
      <w:szCs w:val="20"/>
    </w:rPr>
  </w:style>
  <w:style w:type="character" w:customStyle="1" w:styleId="CommentTextChar">
    <w:name w:val="Comment Text Char"/>
    <w:basedOn w:val="DefaultParagraphFont"/>
    <w:link w:val="CommentText"/>
    <w:uiPriority w:val="99"/>
    <w:rsid w:val="004A56C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A56CD"/>
    <w:rPr>
      <w:b/>
      <w:bCs/>
    </w:rPr>
  </w:style>
  <w:style w:type="character" w:customStyle="1" w:styleId="CommentSubjectChar">
    <w:name w:val="Comment Subject Char"/>
    <w:basedOn w:val="CommentTextChar"/>
    <w:link w:val="CommentSubject"/>
    <w:uiPriority w:val="99"/>
    <w:semiHidden/>
    <w:rsid w:val="004A56CD"/>
    <w:rPr>
      <w:rFonts w:ascii="Verdana" w:hAnsi="Verdana"/>
      <w:b/>
      <w:bCs/>
      <w:color w:val="000000"/>
    </w:rPr>
  </w:style>
  <w:style w:type="paragraph" w:customStyle="1" w:styleId="Default">
    <w:name w:val="Default"/>
    <w:rsid w:val="00B40151"/>
    <w:pPr>
      <w:autoSpaceDE w:val="0"/>
      <w:adjustRightInd w:val="0"/>
      <w:textAlignment w:val="auto"/>
    </w:pPr>
    <w:rPr>
      <w:rFonts w:ascii="Trebuchet MS" w:eastAsiaTheme="minorHAnsi" w:hAnsi="Trebuchet MS" w:cs="Trebuchet MS"/>
      <w:color w:val="000000"/>
      <w:sz w:val="24"/>
      <w:szCs w:val="24"/>
      <w:lang w:eastAsia="en-US"/>
      <w14:ligatures w14:val="standardContextual"/>
    </w:rPr>
  </w:style>
  <w:style w:type="table" w:styleId="TableGrid">
    <w:name w:val="Table Grid"/>
    <w:basedOn w:val="TableNormal"/>
    <w:uiPriority w:val="39"/>
    <w:rsid w:val="00B40151"/>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40151"/>
    <w:pPr>
      <w:spacing w:line="240" w:lineRule="exact"/>
      <w:ind w:left="720"/>
      <w:contextualSpacing/>
    </w:pPr>
  </w:style>
  <w:style w:type="paragraph" w:styleId="Revision">
    <w:name w:val="Revision"/>
    <w:hidden/>
    <w:uiPriority w:val="99"/>
    <w:semiHidden/>
    <w:rsid w:val="0019680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747">
      <w:bodyDiv w:val="1"/>
      <w:marLeft w:val="0"/>
      <w:marRight w:val="0"/>
      <w:marTop w:val="0"/>
      <w:marBottom w:val="0"/>
      <w:divBdr>
        <w:top w:val="none" w:sz="0" w:space="0" w:color="auto"/>
        <w:left w:val="none" w:sz="0" w:space="0" w:color="auto"/>
        <w:bottom w:val="none" w:sz="0" w:space="0" w:color="auto"/>
        <w:right w:val="none" w:sz="0" w:space="0" w:color="auto"/>
      </w:divBdr>
    </w:div>
    <w:div w:id="802506754">
      <w:bodyDiv w:val="1"/>
      <w:marLeft w:val="0"/>
      <w:marRight w:val="0"/>
      <w:marTop w:val="0"/>
      <w:marBottom w:val="0"/>
      <w:divBdr>
        <w:top w:val="none" w:sz="0" w:space="0" w:color="auto"/>
        <w:left w:val="none" w:sz="0" w:space="0" w:color="auto"/>
        <w:bottom w:val="none" w:sz="0" w:space="0" w:color="auto"/>
        <w:right w:val="none" w:sz="0" w:space="0" w:color="auto"/>
      </w:divBdr>
    </w:div>
    <w:div w:id="995573398">
      <w:bodyDiv w:val="1"/>
      <w:marLeft w:val="0"/>
      <w:marRight w:val="0"/>
      <w:marTop w:val="0"/>
      <w:marBottom w:val="0"/>
      <w:divBdr>
        <w:top w:val="none" w:sz="0" w:space="0" w:color="auto"/>
        <w:left w:val="none" w:sz="0" w:space="0" w:color="auto"/>
        <w:bottom w:val="none" w:sz="0" w:space="0" w:color="auto"/>
        <w:right w:val="none" w:sz="0" w:space="0" w:color="auto"/>
      </w:divBdr>
    </w:div>
    <w:div w:id="1107388027">
      <w:bodyDiv w:val="1"/>
      <w:marLeft w:val="0"/>
      <w:marRight w:val="0"/>
      <w:marTop w:val="0"/>
      <w:marBottom w:val="0"/>
      <w:divBdr>
        <w:top w:val="none" w:sz="0" w:space="0" w:color="auto"/>
        <w:left w:val="none" w:sz="0" w:space="0" w:color="auto"/>
        <w:bottom w:val="none" w:sz="0" w:space="0" w:color="auto"/>
        <w:right w:val="none" w:sz="0" w:space="0" w:color="auto"/>
      </w:divBdr>
      <w:divsChild>
        <w:div w:id="641540480">
          <w:marLeft w:val="0"/>
          <w:marRight w:val="0"/>
          <w:marTop w:val="0"/>
          <w:marBottom w:val="0"/>
          <w:divBdr>
            <w:top w:val="none" w:sz="0" w:space="0" w:color="auto"/>
            <w:left w:val="none" w:sz="0" w:space="0" w:color="auto"/>
            <w:bottom w:val="none" w:sz="0" w:space="0" w:color="auto"/>
            <w:right w:val="none" w:sz="0" w:space="0" w:color="auto"/>
          </w:divBdr>
        </w:div>
      </w:divsChild>
    </w:div>
    <w:div w:id="1230649107">
      <w:bodyDiv w:val="1"/>
      <w:marLeft w:val="0"/>
      <w:marRight w:val="0"/>
      <w:marTop w:val="0"/>
      <w:marBottom w:val="0"/>
      <w:divBdr>
        <w:top w:val="none" w:sz="0" w:space="0" w:color="auto"/>
        <w:left w:val="none" w:sz="0" w:space="0" w:color="auto"/>
        <w:bottom w:val="none" w:sz="0" w:space="0" w:color="auto"/>
        <w:right w:val="none" w:sz="0" w:space="0" w:color="auto"/>
      </w:divBdr>
    </w:div>
    <w:div w:id="199887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1798</ap:Words>
  <ap:Characters>10250</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aan Parlement - Kamerbrief moties duurzaam vervoer</vt:lpstr>
    </vt:vector>
  </ap:TitlesOfParts>
  <ap:LinksUpToDate>false</ap:LinksUpToDate>
  <ap:CharactersWithSpaces>12024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2024-10-08T13:29:00.0000000Z</dcterms:created>
  <dcterms:modified xsi:type="dcterms:W3CDTF">2024-10-08T13:29:00.0000000Z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moties duurzaam vervoer</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P.J.I. van Gulik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