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A1" w:rsidP="002B1F56" w:rsidRDefault="002B1F56" w14:paraId="1961BA8F" w14:textId="6FFED7A9">
      <w:bookmarkStart w:name="_GoBack" w:id="0"/>
      <w:bookmarkEnd w:id="0"/>
      <w:r>
        <w:t xml:space="preserve">Hierbij </w:t>
      </w:r>
      <w:r w:rsidR="00157CA5">
        <w:t>leg</w:t>
      </w:r>
      <w:r>
        <w:t xml:space="preserve"> ik u het ontwerp van een koninklijk besluit </w:t>
      </w:r>
      <w:r w:rsidR="00157CA5">
        <w:t>voor</w:t>
      </w:r>
      <w:r>
        <w:t xml:space="preserve"> dat de werkingsduur van de Tijdelijke wet uitwisseling persoonsgegevens UHP KOT met twee jaar verlengt</w:t>
      </w:r>
      <w:r w:rsidR="00E725A1">
        <w:t xml:space="preserve"> tot 1 januari 2027</w:t>
      </w:r>
      <w:r>
        <w:t xml:space="preserve">. De verlenging is noodzakelijk omdat </w:t>
      </w:r>
      <w:r w:rsidR="008A092B">
        <w:t xml:space="preserve">nog een grote groep ouders wacht op de integrale beoordeling door de Herstelorganisatie Toeslagen (UHT). </w:t>
      </w:r>
      <w:r w:rsidR="00E725A1">
        <w:t xml:space="preserve">Pas na afronding van de integrale beoordelingen </w:t>
      </w:r>
      <w:r w:rsidR="008A092B">
        <w:t xml:space="preserve">is identificatie van alle gedupeerde ouders en kinderen </w:t>
      </w:r>
      <w:r w:rsidR="00E725A1">
        <w:t xml:space="preserve">(die met uithuisplaatsing te maken hebben gehad) </w:t>
      </w:r>
      <w:r w:rsidR="008A092B">
        <w:t>mogelijk. De</w:t>
      </w:r>
      <w:r w:rsidR="00E725A1">
        <w:t xml:space="preserve"> afronding van alle</w:t>
      </w:r>
      <w:r w:rsidR="008A092B">
        <w:t xml:space="preserve"> integrale beoordeling</w:t>
      </w:r>
      <w:r w:rsidR="00E725A1">
        <w:t>en</w:t>
      </w:r>
      <w:r w:rsidR="008A092B">
        <w:t xml:space="preserve"> is </w:t>
      </w:r>
      <w:r w:rsidR="00E725A1">
        <w:t>voorzien in</w:t>
      </w:r>
      <w:r w:rsidR="008A092B">
        <w:t xml:space="preserve"> 2025, met de afronding van de bezwaren uiterlijk in 2026.</w:t>
      </w:r>
      <w:r w:rsidRPr="00157CA5" w:rsidR="00157CA5">
        <w:t xml:space="preserve"> De verlen</w:t>
      </w:r>
      <w:r w:rsidR="00157CA5">
        <w:t>g</w:t>
      </w:r>
      <w:r w:rsidRPr="00157CA5" w:rsidR="00157CA5">
        <w:t>ing van deze tijdelijke wet is noodzakelijk om de in die wet genoemde taken en doelen te realiseren.</w:t>
      </w:r>
    </w:p>
    <w:p w:rsidR="00157CA5" w:rsidP="00157CA5" w:rsidRDefault="002B1F56" w14:paraId="07B18F6A" w14:textId="68A2CD17">
      <w:r>
        <w:t xml:space="preserve">Daarnaast is verlenging </w:t>
      </w:r>
      <w:r w:rsidR="00E725A1">
        <w:t xml:space="preserve">van de tijdelijk wet </w:t>
      </w:r>
      <w:r>
        <w:t>belangrijk voor het behouden van de mogelijkheid tot onafhankelijk onderzoek</w:t>
      </w:r>
      <w:r w:rsidR="00157CA5">
        <w:t xml:space="preserve">, waartoe uw Kamer de regering heeft verzocht (motie van het Tweede Kamerlid Omtzigt van 29 maart 2023, </w:t>
      </w:r>
    </w:p>
    <w:p w:rsidR="00157CA5" w:rsidP="00157CA5" w:rsidRDefault="00157CA5" w14:paraId="41D783AA" w14:textId="728AF3FE">
      <w:r>
        <w:t xml:space="preserve">Kamerstukken II 2022/23, 36275, nr. 17 en het nader gewijzigd </w:t>
      </w:r>
    </w:p>
    <w:p w:rsidR="00157CA5" w:rsidP="00157CA5" w:rsidRDefault="00157CA5" w14:paraId="03E2E668" w14:textId="77777777">
      <w:r>
        <w:t xml:space="preserve">amendement van de Tweede Kamerleden Omtzigt en Van der Plas van 3 </w:t>
      </w:r>
    </w:p>
    <w:p w:rsidR="002B1F56" w:rsidP="002B1F56" w:rsidRDefault="00157CA5" w14:paraId="0D45B743" w14:textId="49CDADA2">
      <w:r>
        <w:t>april 2023, Kamerstukken II 2022/23, 36275, nr. 20)</w:t>
      </w:r>
      <w:r w:rsidR="002B1F56">
        <w:t>.</w:t>
      </w:r>
      <w:r w:rsidRPr="002B1F56" w:rsidR="002B1F56">
        <w:t xml:space="preserve"> </w:t>
      </w:r>
      <w:r w:rsidRPr="009D045D" w:rsidR="002B1F56">
        <w:t>Voor de verdere inhoud en motivering van het ontwerpbesluit verwijs ik u naar de ontwerpnota van toelichting.</w:t>
      </w:r>
    </w:p>
    <w:p w:rsidRPr="009D045D" w:rsidR="002B1F56" w:rsidP="002B1F56" w:rsidRDefault="002B1F56" w14:paraId="3966140A" w14:textId="77777777"/>
    <w:p w:rsidR="008D15E5" w:rsidP="008D15E5" w:rsidRDefault="002B1F56" w14:paraId="36E130B3" w14:textId="603480CC">
      <w:r>
        <w:t xml:space="preserve">De overlegging van het ontwerpbesluit aan uw Kamer vindt plaats conform de </w:t>
      </w:r>
      <w:r w:rsidRPr="00157CA5" w:rsidR="00157CA5">
        <w:t xml:space="preserve">in artikel 11, derde lid, van de Tijdelijke wet </w:t>
      </w:r>
      <w:r>
        <w:t xml:space="preserve">voorgeschreven voorhangprocedure, die uw Kamer de gelegenheid biedt om zich uit te spreken voordat het besluit wordt vastgesteld. </w:t>
      </w:r>
      <w:r w:rsidR="008D15E5">
        <w:t>Een gelijkluidende brief heb ik gezonden aan de Voorzitter van de Eerste Kamer der Staten-Generaal.</w:t>
      </w:r>
    </w:p>
    <w:p w:rsidR="008D15E5" w:rsidP="008D15E5" w:rsidRDefault="008D15E5" w14:paraId="3C3826C2" w14:textId="77777777"/>
    <w:p w:rsidR="004F67E0" w:rsidP="008D15E5" w:rsidRDefault="004F67E0" w14:paraId="4369356C" w14:textId="77777777"/>
    <w:p w:rsidR="00777E82" w:rsidP="008D15E5" w:rsidRDefault="00652773" w14:paraId="27B90BE3" w14:textId="28C649A3">
      <w:r w:rsidRPr="00652773">
        <w:t>De Staatssecretaris Rechtsbescherming,</w:t>
      </w:r>
    </w:p>
    <w:p w:rsidR="00777E82" w:rsidP="008D15E5" w:rsidRDefault="00777E82" w14:paraId="6EE11485" w14:textId="77777777"/>
    <w:p w:rsidR="00777E82" w:rsidP="008D15E5" w:rsidRDefault="00777E82" w14:paraId="7CDCF892" w14:textId="77777777"/>
    <w:p w:rsidR="004F67E0" w:rsidP="008D15E5" w:rsidRDefault="004F67E0" w14:paraId="6A2BDB5F" w14:textId="77777777"/>
    <w:p w:rsidR="00652773" w:rsidP="008D15E5" w:rsidRDefault="00652773" w14:paraId="5C4562F3" w14:textId="77777777"/>
    <w:p w:rsidR="00D7087B" w:rsidRDefault="009D045D" w14:paraId="3DD90440" w14:textId="6F0EC3CD">
      <w:r>
        <w:t>T.H.D. Struycken</w:t>
      </w:r>
    </w:p>
    <w:sectPr w:rsidR="00D7087B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26311" w14:textId="77777777" w:rsidR="004C250C" w:rsidRDefault="004C250C">
      <w:pPr>
        <w:spacing w:line="240" w:lineRule="auto"/>
      </w:pPr>
      <w:r>
        <w:separator/>
      </w:r>
    </w:p>
  </w:endnote>
  <w:endnote w:type="continuationSeparator" w:id="0">
    <w:p w14:paraId="727D85EA" w14:textId="77777777" w:rsidR="004C250C" w:rsidRDefault="004C2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0819" w14:textId="77777777" w:rsidR="00D7087B" w:rsidRDefault="00D7087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A9EE" w14:textId="77777777" w:rsidR="004C250C" w:rsidRDefault="004C250C">
      <w:pPr>
        <w:spacing w:line="240" w:lineRule="auto"/>
      </w:pPr>
      <w:r>
        <w:separator/>
      </w:r>
    </w:p>
  </w:footnote>
  <w:footnote w:type="continuationSeparator" w:id="0">
    <w:p w14:paraId="6B8E5FFF" w14:textId="77777777" w:rsidR="004C250C" w:rsidRDefault="004C25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8004" w14:textId="77777777" w:rsidR="00D7087B" w:rsidRDefault="0003486C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447C509" wp14:editId="105EBFD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6004D3" w14:textId="77777777" w:rsidR="00D7087B" w:rsidRDefault="0003486C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DA5EB5F" w14:textId="77777777" w:rsidR="00D7087B" w:rsidRDefault="0003486C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31435163" w14:textId="77777777" w:rsidR="00D7087B" w:rsidRDefault="0003486C">
                          <w:pPr>
                            <w:pStyle w:val="Referentiegegevens"/>
                          </w:pPr>
                          <w:r>
                            <w:t>Privaatrecht</w:t>
                          </w:r>
                        </w:p>
                        <w:p w14:paraId="7E960D71" w14:textId="77777777" w:rsidR="00D7087B" w:rsidRDefault="00D7087B">
                          <w:pPr>
                            <w:pStyle w:val="WitregelW2"/>
                          </w:pPr>
                        </w:p>
                        <w:p w14:paraId="5D8E9705" w14:textId="77777777" w:rsidR="00D7087B" w:rsidRDefault="0003486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244751B" w14:textId="77777777" w:rsidR="00D7087B" w:rsidRDefault="00FB595A">
                          <w:pPr>
                            <w:pStyle w:val="Referentiegegevens"/>
                          </w:pPr>
                          <w:sdt>
                            <w:sdtPr>
                              <w:id w:val="-622064789"/>
                              <w:date w:fullDate="2024-05-02T06:4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3486C">
                                <w:t>2 mei 2024</w:t>
                              </w:r>
                            </w:sdtContent>
                          </w:sdt>
                        </w:p>
                        <w:p w14:paraId="574D61ED" w14:textId="77777777" w:rsidR="00D7087B" w:rsidRDefault="00D7087B">
                          <w:pPr>
                            <w:pStyle w:val="WitregelW1"/>
                          </w:pPr>
                        </w:p>
                        <w:p w14:paraId="4EB2A820" w14:textId="77777777" w:rsidR="00D7087B" w:rsidRDefault="0003486C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6E8A419" w14:textId="77777777" w:rsidR="00D7087B" w:rsidRDefault="0003486C">
                          <w:pPr>
                            <w:pStyle w:val="Referentiegegevens"/>
                          </w:pPr>
                          <w:r>
                            <w:t>5754798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47C509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5B6004D3" w14:textId="77777777" w:rsidR="00D7087B" w:rsidRDefault="0003486C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DA5EB5F" w14:textId="77777777" w:rsidR="00D7087B" w:rsidRDefault="0003486C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31435163" w14:textId="77777777" w:rsidR="00D7087B" w:rsidRDefault="0003486C">
                    <w:pPr>
                      <w:pStyle w:val="Referentiegegevens"/>
                    </w:pPr>
                    <w:r>
                      <w:t>Privaatrecht</w:t>
                    </w:r>
                  </w:p>
                  <w:p w14:paraId="7E960D71" w14:textId="77777777" w:rsidR="00D7087B" w:rsidRDefault="00D7087B">
                    <w:pPr>
                      <w:pStyle w:val="WitregelW2"/>
                    </w:pPr>
                  </w:p>
                  <w:p w14:paraId="5D8E9705" w14:textId="77777777" w:rsidR="00D7087B" w:rsidRDefault="0003486C">
                    <w:pPr>
                      <w:pStyle w:val="Referentiegegevensbold"/>
                    </w:pPr>
                    <w:r>
                      <w:t>Datum</w:t>
                    </w:r>
                  </w:p>
                  <w:p w14:paraId="4244751B" w14:textId="77777777" w:rsidR="00D7087B" w:rsidRDefault="00FB595A">
                    <w:pPr>
                      <w:pStyle w:val="Referentiegegevens"/>
                    </w:pPr>
                    <w:sdt>
                      <w:sdtPr>
                        <w:id w:val="-622064789"/>
                        <w:date w:fullDate="2024-05-02T06:4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3486C">
                          <w:t>2 mei 2024</w:t>
                        </w:r>
                      </w:sdtContent>
                    </w:sdt>
                  </w:p>
                  <w:p w14:paraId="574D61ED" w14:textId="77777777" w:rsidR="00D7087B" w:rsidRDefault="00D7087B">
                    <w:pPr>
                      <w:pStyle w:val="WitregelW1"/>
                    </w:pPr>
                  </w:p>
                  <w:p w14:paraId="4EB2A820" w14:textId="77777777" w:rsidR="00D7087B" w:rsidRDefault="0003486C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6E8A419" w14:textId="77777777" w:rsidR="00D7087B" w:rsidRDefault="0003486C">
                    <w:pPr>
                      <w:pStyle w:val="Referentiegegevens"/>
                    </w:pPr>
                    <w:r>
                      <w:t>5754798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DF25F38" wp14:editId="763B9F1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FCE5FA" w14:textId="77777777" w:rsidR="0003486C" w:rsidRDefault="000348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F25F3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20FCE5FA" w14:textId="77777777" w:rsidR="0003486C" w:rsidRDefault="000348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8531496" wp14:editId="5649B99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EBA4B9" w14:textId="0BA7592D" w:rsidR="00D7087B" w:rsidRDefault="0003486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419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53149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67EBA4B9" w14:textId="0BA7592D" w:rsidR="00D7087B" w:rsidRDefault="0003486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419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A0564" w14:textId="77777777" w:rsidR="00D7087B" w:rsidRDefault="0003486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5620D21" wp14:editId="7D9E901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4B8F23" w14:textId="77777777" w:rsidR="000B0308" w:rsidRDefault="0003486C">
                          <w:r>
                            <w:t xml:space="preserve">Aan de </w:t>
                          </w:r>
                          <w:r w:rsidR="008D15E5">
                            <w:t xml:space="preserve">Voorzitter van de Tweede Kamer </w:t>
                          </w:r>
                        </w:p>
                        <w:p w14:paraId="6F2DD58F" w14:textId="59FA3837" w:rsidR="00D7087B" w:rsidRDefault="008D15E5">
                          <w:r>
                            <w:t>der Staten-Generaal</w:t>
                          </w:r>
                        </w:p>
                        <w:p w14:paraId="0044490F" w14:textId="4FBD832B" w:rsidR="000B0308" w:rsidRDefault="000B0308">
                          <w:r>
                            <w:t>Postbus 20018</w:t>
                          </w:r>
                        </w:p>
                        <w:p w14:paraId="10FF17F5" w14:textId="5CBB3167" w:rsidR="000B0308" w:rsidRDefault="000B0308">
                          <w:r>
                            <w:t>2500 EA  D</w:t>
                          </w:r>
                          <w:r w:rsidR="004F67E0">
                            <w:t>EN HAAG</w:t>
                          </w:r>
                        </w:p>
                        <w:p w14:paraId="4C66B1C7" w14:textId="77777777" w:rsidR="00D7087B" w:rsidRDefault="0003486C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620D21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6F4B8F23" w14:textId="77777777" w:rsidR="000B0308" w:rsidRDefault="0003486C">
                    <w:r>
                      <w:t xml:space="preserve">Aan de </w:t>
                    </w:r>
                    <w:r w:rsidR="008D15E5">
                      <w:t xml:space="preserve">Voorzitter van de Tweede Kamer </w:t>
                    </w:r>
                  </w:p>
                  <w:p w14:paraId="6F2DD58F" w14:textId="59FA3837" w:rsidR="00D7087B" w:rsidRDefault="008D15E5">
                    <w:r>
                      <w:t>der Staten-Generaal</w:t>
                    </w:r>
                  </w:p>
                  <w:p w14:paraId="0044490F" w14:textId="4FBD832B" w:rsidR="000B0308" w:rsidRDefault="000B0308">
                    <w:r>
                      <w:t>Postbus 20018</w:t>
                    </w:r>
                  </w:p>
                  <w:p w14:paraId="10FF17F5" w14:textId="5CBB3167" w:rsidR="000B0308" w:rsidRDefault="000B0308">
                    <w:r>
                      <w:t>2500 EA  D</w:t>
                    </w:r>
                    <w:r w:rsidR="004F67E0">
                      <w:t>EN HAAG</w:t>
                    </w:r>
                  </w:p>
                  <w:p w14:paraId="4C66B1C7" w14:textId="77777777" w:rsidR="00D7087B" w:rsidRDefault="0003486C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709B74A" wp14:editId="226994CE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5238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23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7087B" w14:paraId="5AFEA61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C6B83A" w14:textId="77777777" w:rsidR="00D7087B" w:rsidRDefault="0003486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89659C5" w14:textId="4CA1442E" w:rsidR="00D7087B" w:rsidRDefault="004F67E0">
                                <w:r>
                                  <w:t>7</w:t>
                                </w:r>
                                <w:r w:rsidR="001B5134">
                                  <w:t xml:space="preserve"> </w:t>
                                </w:r>
                                <w:r w:rsidR="00EA2E0B">
                                  <w:t>okto</w:t>
                                </w:r>
                                <w:r w:rsidR="001B5134">
                                  <w:t>ber 2024</w:t>
                                </w:r>
                              </w:p>
                            </w:tc>
                          </w:tr>
                          <w:tr w:rsidR="00D7087B" w14:paraId="35E02B0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36C427" w14:textId="77777777" w:rsidR="00D7087B" w:rsidRDefault="0003486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E0FF96A" w14:textId="137A93C3" w:rsidR="00D7087B" w:rsidRDefault="008D15E5">
                                <w:r>
                                  <w:t>Voordracht koninklijk besluit verlenging Tijdelijke wet uitwisseling persoonsgegevens UHP KOT</w:t>
                                </w:r>
                              </w:p>
                            </w:tc>
                          </w:tr>
                        </w:tbl>
                        <w:p w14:paraId="73E07FDD" w14:textId="77777777" w:rsidR="0003486C" w:rsidRDefault="0003486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09B74A" id="46feebd0-aa3c-11ea-a756-beb5f67e67be" o:spid="_x0000_s1030" type="#_x0000_t202" style="position:absolute;margin-left:325.8pt;margin-top:263.95pt;width:377pt;height:41.2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7087B" w14:paraId="5AFEA61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C6B83A" w14:textId="77777777" w:rsidR="00D7087B" w:rsidRDefault="0003486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89659C5" w14:textId="4CA1442E" w:rsidR="00D7087B" w:rsidRDefault="004F67E0">
                          <w:r>
                            <w:t>7</w:t>
                          </w:r>
                          <w:r w:rsidR="001B5134">
                            <w:t xml:space="preserve"> </w:t>
                          </w:r>
                          <w:r w:rsidR="00EA2E0B">
                            <w:t>okto</w:t>
                          </w:r>
                          <w:r w:rsidR="001B5134">
                            <w:t>ber 2024</w:t>
                          </w:r>
                        </w:p>
                      </w:tc>
                    </w:tr>
                    <w:tr w:rsidR="00D7087B" w14:paraId="35E02B0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36C427" w14:textId="77777777" w:rsidR="00D7087B" w:rsidRDefault="0003486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E0FF96A" w14:textId="137A93C3" w:rsidR="00D7087B" w:rsidRDefault="008D15E5">
                          <w:r>
                            <w:t>Voordracht koninklijk besluit verlenging Tijdelijke wet uitwisseling persoonsgegevens UHP KOT</w:t>
                          </w:r>
                        </w:p>
                      </w:tc>
                    </w:tr>
                  </w:tbl>
                  <w:p w14:paraId="73E07FDD" w14:textId="77777777" w:rsidR="0003486C" w:rsidRDefault="0003486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B7E7227" wp14:editId="3CEE3D2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139C3B" w14:textId="3EA76AA8" w:rsidR="00D7087B" w:rsidRDefault="0003486C" w:rsidP="00CE214B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325D7626" w14:textId="5A85A159" w:rsidR="00D7087B" w:rsidRDefault="00CE214B">
                          <w:pPr>
                            <w:pStyle w:val="Referentiegegevens"/>
                          </w:pPr>
                          <w:r>
                            <w:t xml:space="preserve">Sector </w:t>
                          </w:r>
                          <w:r w:rsidR="0003486C">
                            <w:t>Privaatrecht</w:t>
                          </w:r>
                        </w:p>
                        <w:p w14:paraId="468A6D2A" w14:textId="77777777" w:rsidR="00D7087B" w:rsidRDefault="00D7087B">
                          <w:pPr>
                            <w:pStyle w:val="WitregelW1"/>
                          </w:pPr>
                        </w:p>
                        <w:p w14:paraId="478ACA89" w14:textId="77777777" w:rsidR="00D7087B" w:rsidRPr="006C6C8D" w:rsidRDefault="0003486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C6C8D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3288C149" w14:textId="77777777" w:rsidR="00D7087B" w:rsidRPr="006C6C8D" w:rsidRDefault="0003486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C6C8D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436BED5A" w14:textId="77777777" w:rsidR="00D7087B" w:rsidRPr="006C6C8D" w:rsidRDefault="0003486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C6C8D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E7D7BC0" w14:textId="77777777" w:rsidR="00D7087B" w:rsidRPr="006C6C8D" w:rsidRDefault="0003486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C6C8D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F01375C" w14:textId="77777777" w:rsidR="00D7087B" w:rsidRPr="006C6C8D" w:rsidRDefault="0003486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C6C8D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CB5B09D" w14:textId="77777777" w:rsidR="00D7087B" w:rsidRPr="006C6C8D" w:rsidRDefault="00D7087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1458253" w14:textId="77777777" w:rsidR="00D7087B" w:rsidRDefault="0003486C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2A59DC4" w14:textId="20BE25E0" w:rsidR="00D7087B" w:rsidRDefault="009D045D">
                          <w:pPr>
                            <w:pStyle w:val="Referentiegegevens"/>
                          </w:pPr>
                          <w:r>
                            <w:t>5754798</w:t>
                          </w:r>
                        </w:p>
                        <w:p w14:paraId="1E2FBEC2" w14:textId="77777777" w:rsidR="00F77282" w:rsidRDefault="00F77282" w:rsidP="00F77282"/>
                        <w:p w14:paraId="2EA50088" w14:textId="223FC83A" w:rsidR="00F77282" w:rsidRPr="00F77282" w:rsidRDefault="00F77282" w:rsidP="001B513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F7728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  <w:r w:rsidRPr="00F77282">
                            <w:rPr>
                              <w:sz w:val="13"/>
                              <w:szCs w:val="13"/>
                            </w:rPr>
                            <w:br/>
                            <w:t>1</w:t>
                          </w:r>
                        </w:p>
                        <w:p w14:paraId="542D097E" w14:textId="77777777" w:rsidR="00F77282" w:rsidRDefault="00F77282" w:rsidP="001B5134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3A9F0B00" w14:textId="77777777" w:rsidR="00F77282" w:rsidRPr="00F77282" w:rsidRDefault="00F77282" w:rsidP="001B5134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3110B5CC" w14:textId="77777777" w:rsidR="001B5134" w:rsidRDefault="001B5134" w:rsidP="001B5134">
                          <w:pPr>
                            <w:pStyle w:val="clausule"/>
                          </w:pPr>
                          <w:r>
                            <w:t>Bij beantwoording de datum en ons kenmerk vermelden. Wilt u slechts één zaak in uw brief behandelen.</w:t>
                          </w:r>
                        </w:p>
                        <w:p w14:paraId="6FDDF519" w14:textId="77777777" w:rsidR="001B5134" w:rsidRPr="001B5134" w:rsidRDefault="001B5134" w:rsidP="001B51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7E7227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3139C3B" w14:textId="3EA76AA8" w:rsidR="00D7087B" w:rsidRDefault="0003486C" w:rsidP="00CE214B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325D7626" w14:textId="5A85A159" w:rsidR="00D7087B" w:rsidRDefault="00CE214B">
                    <w:pPr>
                      <w:pStyle w:val="Referentiegegevens"/>
                    </w:pPr>
                    <w:r>
                      <w:t xml:space="preserve">Sector </w:t>
                    </w:r>
                    <w:r w:rsidR="0003486C">
                      <w:t>Privaatrecht</w:t>
                    </w:r>
                  </w:p>
                  <w:p w14:paraId="468A6D2A" w14:textId="77777777" w:rsidR="00D7087B" w:rsidRDefault="00D7087B">
                    <w:pPr>
                      <w:pStyle w:val="WitregelW1"/>
                    </w:pPr>
                  </w:p>
                  <w:p w14:paraId="478ACA89" w14:textId="77777777" w:rsidR="00D7087B" w:rsidRPr="006C6C8D" w:rsidRDefault="0003486C">
                    <w:pPr>
                      <w:pStyle w:val="Referentiegegevens"/>
                      <w:rPr>
                        <w:lang w:val="de-DE"/>
                      </w:rPr>
                    </w:pPr>
                    <w:r w:rsidRPr="006C6C8D">
                      <w:rPr>
                        <w:lang w:val="de-DE"/>
                      </w:rPr>
                      <w:t>Turfmarkt 147</w:t>
                    </w:r>
                  </w:p>
                  <w:p w14:paraId="3288C149" w14:textId="77777777" w:rsidR="00D7087B" w:rsidRPr="006C6C8D" w:rsidRDefault="0003486C">
                    <w:pPr>
                      <w:pStyle w:val="Referentiegegevens"/>
                      <w:rPr>
                        <w:lang w:val="de-DE"/>
                      </w:rPr>
                    </w:pPr>
                    <w:r w:rsidRPr="006C6C8D">
                      <w:rPr>
                        <w:lang w:val="de-DE"/>
                      </w:rPr>
                      <w:t>2511 DP   Den Haag</w:t>
                    </w:r>
                  </w:p>
                  <w:p w14:paraId="436BED5A" w14:textId="77777777" w:rsidR="00D7087B" w:rsidRPr="006C6C8D" w:rsidRDefault="0003486C">
                    <w:pPr>
                      <w:pStyle w:val="Referentiegegevens"/>
                      <w:rPr>
                        <w:lang w:val="de-DE"/>
                      </w:rPr>
                    </w:pPr>
                    <w:r w:rsidRPr="006C6C8D">
                      <w:rPr>
                        <w:lang w:val="de-DE"/>
                      </w:rPr>
                      <w:t>Postbus 20301</w:t>
                    </w:r>
                  </w:p>
                  <w:p w14:paraId="1E7D7BC0" w14:textId="77777777" w:rsidR="00D7087B" w:rsidRPr="006C6C8D" w:rsidRDefault="0003486C">
                    <w:pPr>
                      <w:pStyle w:val="Referentiegegevens"/>
                      <w:rPr>
                        <w:lang w:val="de-DE"/>
                      </w:rPr>
                    </w:pPr>
                    <w:r w:rsidRPr="006C6C8D">
                      <w:rPr>
                        <w:lang w:val="de-DE"/>
                      </w:rPr>
                      <w:t>2500 EH   Den Haag</w:t>
                    </w:r>
                  </w:p>
                  <w:p w14:paraId="4F01375C" w14:textId="77777777" w:rsidR="00D7087B" w:rsidRPr="006C6C8D" w:rsidRDefault="0003486C">
                    <w:pPr>
                      <w:pStyle w:val="Referentiegegevens"/>
                      <w:rPr>
                        <w:lang w:val="de-DE"/>
                      </w:rPr>
                    </w:pPr>
                    <w:r w:rsidRPr="006C6C8D">
                      <w:rPr>
                        <w:lang w:val="de-DE"/>
                      </w:rPr>
                      <w:t>www.rijksoverheid.nl/jenv</w:t>
                    </w:r>
                  </w:p>
                  <w:p w14:paraId="7CB5B09D" w14:textId="77777777" w:rsidR="00D7087B" w:rsidRPr="006C6C8D" w:rsidRDefault="00D7087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1458253" w14:textId="77777777" w:rsidR="00D7087B" w:rsidRDefault="0003486C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2A59DC4" w14:textId="20BE25E0" w:rsidR="00D7087B" w:rsidRDefault="009D045D">
                    <w:pPr>
                      <w:pStyle w:val="Referentiegegevens"/>
                    </w:pPr>
                    <w:r>
                      <w:t>5754798</w:t>
                    </w:r>
                  </w:p>
                  <w:p w14:paraId="1E2FBEC2" w14:textId="77777777" w:rsidR="00F77282" w:rsidRDefault="00F77282" w:rsidP="00F77282"/>
                  <w:p w14:paraId="2EA50088" w14:textId="223FC83A" w:rsidR="00F77282" w:rsidRPr="00F77282" w:rsidRDefault="00F77282" w:rsidP="001B5134">
                    <w:pPr>
                      <w:rPr>
                        <w:sz w:val="13"/>
                        <w:szCs w:val="13"/>
                      </w:rPr>
                    </w:pPr>
                    <w:r w:rsidRPr="00F77282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  <w:r w:rsidRPr="00F77282">
                      <w:rPr>
                        <w:sz w:val="13"/>
                        <w:szCs w:val="13"/>
                      </w:rPr>
                      <w:br/>
                      <w:t>1</w:t>
                    </w:r>
                  </w:p>
                  <w:p w14:paraId="542D097E" w14:textId="77777777" w:rsidR="00F77282" w:rsidRDefault="00F77282" w:rsidP="001B5134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3A9F0B00" w14:textId="77777777" w:rsidR="00F77282" w:rsidRPr="00F77282" w:rsidRDefault="00F77282" w:rsidP="001B5134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3110B5CC" w14:textId="77777777" w:rsidR="001B5134" w:rsidRDefault="001B5134" w:rsidP="001B5134">
                    <w:pPr>
                      <w:pStyle w:val="clausule"/>
                    </w:pPr>
                    <w:r>
                      <w:t>Bij beantwoording de datum en ons kenmerk vermelden. Wilt u slechts één zaak in uw brief behandelen.</w:t>
                    </w:r>
                  </w:p>
                  <w:p w14:paraId="6FDDF519" w14:textId="77777777" w:rsidR="001B5134" w:rsidRPr="001B5134" w:rsidRDefault="001B5134" w:rsidP="001B51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AABD150" wp14:editId="4C89B7F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5BFFB0" w14:textId="77777777" w:rsidR="0003486C" w:rsidRDefault="000348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ABD150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B5BFFB0" w14:textId="77777777" w:rsidR="0003486C" w:rsidRDefault="000348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A643B27" wp14:editId="523E23A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1AA00" w14:textId="759668C6" w:rsidR="00D7087B" w:rsidRDefault="0003486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59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59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643B2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5871AA00" w14:textId="759668C6" w:rsidR="00D7087B" w:rsidRDefault="0003486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59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59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4E9B6DF" wp14:editId="05196B9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138130" w14:textId="77777777" w:rsidR="00D7087B" w:rsidRDefault="0003486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298D05" wp14:editId="5813D68D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E9B6D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8138130" w14:textId="77777777" w:rsidR="00D7087B" w:rsidRDefault="0003486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298D05" wp14:editId="5813D68D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B4267BD" wp14:editId="7D92813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A3E19E" w14:textId="77777777" w:rsidR="00D7087B" w:rsidRDefault="0003486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1AC1FB" wp14:editId="79907D17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4267B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1A3E19E" w14:textId="77777777" w:rsidR="00D7087B" w:rsidRDefault="0003486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1AC1FB" wp14:editId="79907D17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8752194" wp14:editId="409626EC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301FF" w14:textId="77777777" w:rsidR="00D7087B" w:rsidRDefault="0003486C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752194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6CA301FF" w14:textId="77777777" w:rsidR="00D7087B" w:rsidRDefault="0003486C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A48974"/>
    <w:multiLevelType w:val="multilevel"/>
    <w:tmpl w:val="C2F3148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D7E8FA0"/>
    <w:multiLevelType w:val="multilevel"/>
    <w:tmpl w:val="D3BB9CA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AEC5A01"/>
    <w:multiLevelType w:val="multilevel"/>
    <w:tmpl w:val="1942217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DF82437D"/>
    <w:multiLevelType w:val="multilevel"/>
    <w:tmpl w:val="72EEFC6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26B6001"/>
    <w:multiLevelType w:val="multilevel"/>
    <w:tmpl w:val="8F398B5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181BAEBE"/>
    <w:multiLevelType w:val="multilevel"/>
    <w:tmpl w:val="EF2B226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5E0106A6"/>
    <w:multiLevelType w:val="hybridMultilevel"/>
    <w:tmpl w:val="8CBCB1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6C"/>
    <w:rsid w:val="0003486C"/>
    <w:rsid w:val="000706A0"/>
    <w:rsid w:val="000B0308"/>
    <w:rsid w:val="00157CA5"/>
    <w:rsid w:val="001B5134"/>
    <w:rsid w:val="002025DC"/>
    <w:rsid w:val="00214FB3"/>
    <w:rsid w:val="0029419C"/>
    <w:rsid w:val="002B1F56"/>
    <w:rsid w:val="003D70BC"/>
    <w:rsid w:val="003D717F"/>
    <w:rsid w:val="00411F91"/>
    <w:rsid w:val="004C250C"/>
    <w:rsid w:val="004E6B80"/>
    <w:rsid w:val="004F67E0"/>
    <w:rsid w:val="00570447"/>
    <w:rsid w:val="00652773"/>
    <w:rsid w:val="006C6C8D"/>
    <w:rsid w:val="00777E82"/>
    <w:rsid w:val="008A019C"/>
    <w:rsid w:val="008A092B"/>
    <w:rsid w:val="008D15E5"/>
    <w:rsid w:val="009D045D"/>
    <w:rsid w:val="00B52ABC"/>
    <w:rsid w:val="00B975D2"/>
    <w:rsid w:val="00C77B3D"/>
    <w:rsid w:val="00CC1E8E"/>
    <w:rsid w:val="00CE214B"/>
    <w:rsid w:val="00D7087B"/>
    <w:rsid w:val="00E725A1"/>
    <w:rsid w:val="00EA2E0B"/>
    <w:rsid w:val="00ED7C94"/>
    <w:rsid w:val="00F77282"/>
    <w:rsid w:val="00FA6CF3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0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D15E5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5E5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C6C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C6C8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C6C8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6C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6C8D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3D70B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2B1F56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jstalinea">
    <w:name w:val="List Paragraph"/>
    <w:basedOn w:val="Standaard"/>
    <w:uiPriority w:val="34"/>
    <w:semiHidden/>
    <w:rsid w:val="008A092B"/>
    <w:pPr>
      <w:ind w:left="720"/>
      <w:contextualSpacing/>
    </w:pPr>
  </w:style>
  <w:style w:type="paragraph" w:customStyle="1" w:styleId="clausule">
    <w:name w:val="clausule"/>
    <w:basedOn w:val="Standaard"/>
    <w:rsid w:val="001B5134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i/>
      <w:color w:val="auto"/>
      <w:sz w:val="13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57CA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57CA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57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254</ap:Words>
  <ap:Characters>1399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</vt:lpstr>
    </vt:vector>
  </ap:TitlesOfParts>
  <ap:LinksUpToDate>false</ap:LinksUpToDate>
  <ap:CharactersWithSpaces>1650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2024-10-07T14:38:00.0000000Z</dcterms:created>
  <dcterms:modified xsi:type="dcterms:W3CDTF">2024-10-07T14:38:00.0000000Z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 mei 2024</vt:lpwstr>
  </property>
  <property fmtid="{D5CDD505-2E9C-101B-9397-08002B2CF9AE}" pid="13" name="Opgesteld door, Naam">
    <vt:lpwstr>H. Logmans</vt:lpwstr>
  </property>
  <property fmtid="{D5CDD505-2E9C-101B-9397-08002B2CF9AE}" pid="14" name="Opgesteld door, Telefoonnummer">
    <vt:lpwstr/>
  </property>
  <property fmtid="{D5CDD505-2E9C-101B-9397-08002B2CF9AE}" pid="15" name="Kenmerk">
    <vt:lpwstr>5754798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