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2BB9497" w14:textId="77777777">
        <w:tc>
          <w:tcPr>
            <w:tcW w:w="7792" w:type="dxa"/>
            <w:gridSpan w:val="2"/>
          </w:tcPr>
          <w:p w:rsidR="005D2AE9" w:rsidP="00A75997" w:rsidRDefault="005D2AE9" w14:paraId="1BBCBD6C" w14:textId="77777777">
            <w:pPr>
              <w:spacing w:after="40"/>
            </w:pPr>
            <w:r w:rsidRPr="00093942">
              <w:rPr>
                <w:sz w:val="13"/>
              </w:rPr>
              <w:t>&gt; Retouradres Postbus 20701 2500 ES Den Haag</w:t>
            </w:r>
          </w:p>
        </w:tc>
      </w:tr>
      <w:tr w:rsidR="005D2AE9" w:rsidTr="005D2AE9" w14:paraId="40440335" w14:textId="77777777">
        <w:tc>
          <w:tcPr>
            <w:tcW w:w="7792" w:type="dxa"/>
            <w:gridSpan w:val="2"/>
          </w:tcPr>
          <w:p w:rsidR="005D2AE9" w:rsidP="00A75997" w:rsidRDefault="005D2AE9" w14:paraId="61403776" w14:textId="77777777">
            <w:pPr>
              <w:tabs>
                <w:tab w:val="left" w:pos="614"/>
              </w:tabs>
              <w:spacing w:after="0"/>
            </w:pPr>
            <w:r>
              <w:t>de Voorzitter van de Tweede Kamer</w:t>
            </w:r>
          </w:p>
          <w:p w:rsidR="005D2AE9" w:rsidP="00A75997" w:rsidRDefault="005D2AE9" w14:paraId="779CA0D0" w14:textId="77777777">
            <w:pPr>
              <w:tabs>
                <w:tab w:val="left" w:pos="614"/>
              </w:tabs>
              <w:spacing w:after="0"/>
            </w:pPr>
            <w:r>
              <w:t>der Staten-Generaal</w:t>
            </w:r>
          </w:p>
          <w:p w:rsidR="005D2AE9" w:rsidP="00A75997" w:rsidRDefault="005D2AE9" w14:paraId="4ED24625" w14:textId="77777777">
            <w:pPr>
              <w:tabs>
                <w:tab w:val="left" w:pos="614"/>
              </w:tabs>
              <w:spacing w:after="0"/>
            </w:pPr>
            <w:proofErr w:type="spellStart"/>
            <w:r>
              <w:t>Bezuidenhoutseweg</w:t>
            </w:r>
            <w:proofErr w:type="spellEnd"/>
            <w:r>
              <w:t xml:space="preserve"> 67 </w:t>
            </w:r>
          </w:p>
          <w:p w:rsidR="005D2AE9" w:rsidP="005D2AE9" w:rsidRDefault="005D2AE9" w14:paraId="73D9D992" w14:textId="77777777">
            <w:pPr>
              <w:tabs>
                <w:tab w:val="left" w:pos="614"/>
              </w:tabs>
              <w:spacing w:after="240"/>
            </w:pPr>
            <w:r>
              <w:t>2594 AC Den Haag</w:t>
            </w:r>
          </w:p>
          <w:p w:rsidR="005D2AE9" w:rsidP="00A75997" w:rsidRDefault="005D2AE9" w14:paraId="077CB7F8" w14:textId="77777777">
            <w:pPr>
              <w:spacing w:after="240"/>
            </w:pPr>
          </w:p>
          <w:p w:rsidR="00866A83" w:rsidP="00A75997" w:rsidRDefault="00866A83" w14:paraId="56AA575F" w14:textId="77777777">
            <w:pPr>
              <w:spacing w:after="240"/>
            </w:pPr>
          </w:p>
          <w:p w:rsidR="00866A83" w:rsidP="00A75997" w:rsidRDefault="00866A83" w14:paraId="5FE6ACC7" w14:textId="77777777">
            <w:pPr>
              <w:spacing w:after="240"/>
            </w:pPr>
          </w:p>
          <w:p w:rsidRPr="00093942" w:rsidR="00866A83" w:rsidP="00A75997" w:rsidRDefault="00866A83" w14:paraId="2F7F4342" w14:textId="77777777">
            <w:pPr>
              <w:spacing w:after="240"/>
              <w:rPr>
                <w:sz w:val="13"/>
              </w:rPr>
            </w:pPr>
          </w:p>
        </w:tc>
      </w:tr>
      <w:tr w:rsidR="005D2AE9" w:rsidTr="005D2AE9" w14:paraId="34FA4C08" w14:textId="77777777">
        <w:trPr>
          <w:trHeight w:val="283"/>
        </w:trPr>
        <w:tc>
          <w:tcPr>
            <w:tcW w:w="1969" w:type="dxa"/>
          </w:tcPr>
          <w:p w:rsidR="005D2AE9" w:rsidP="00A75997" w:rsidRDefault="005D2AE9" w14:paraId="0C3BE5FE" w14:textId="77777777">
            <w:pPr>
              <w:tabs>
                <w:tab w:val="left" w:pos="614"/>
              </w:tabs>
              <w:spacing w:after="0"/>
            </w:pPr>
            <w:r>
              <w:t>Datum</w:t>
            </w:r>
          </w:p>
        </w:tc>
        <w:sdt>
          <w:sdtPr>
            <w:alias w:val="Datum daadwerkelijke verzending"/>
            <w:tag w:val="Datum daadwerkelijke verzending"/>
            <w:id w:val="1978256768"/>
            <w:placeholder>
              <w:docPart w:val="C539689E9ED845DE87A4699DC9C213D1"/>
            </w:placeholder>
            <w:date w:fullDate="2024-10-06T00:00:00Z">
              <w:dateFormat w:val="d MMMM yyyy"/>
              <w:lid w:val="nl-NL"/>
              <w:storeMappedDataAs w:val="dateTime"/>
              <w:calendar w:val="gregorian"/>
            </w:date>
          </w:sdtPr>
          <w:sdtEndPr/>
          <w:sdtContent>
            <w:tc>
              <w:tcPr>
                <w:tcW w:w="5823" w:type="dxa"/>
              </w:tcPr>
              <w:p w:rsidR="005D2AE9" w:rsidP="000605A5" w:rsidRDefault="00DF1472" w14:paraId="70F2FDAA" w14:textId="365E3561">
                <w:pPr>
                  <w:keepNext/>
                  <w:spacing w:after="0"/>
                </w:pPr>
                <w:r>
                  <w:t>6</w:t>
                </w:r>
                <w:r w:rsidR="00A75997">
                  <w:t xml:space="preserve"> oktober 2024</w:t>
                </w:r>
              </w:p>
            </w:tc>
          </w:sdtContent>
        </w:sdt>
      </w:tr>
      <w:tr w:rsidR="005D2AE9" w:rsidTr="005D2AE9" w14:paraId="1231E641" w14:textId="77777777">
        <w:trPr>
          <w:trHeight w:val="283"/>
        </w:trPr>
        <w:tc>
          <w:tcPr>
            <w:tcW w:w="1969" w:type="dxa"/>
          </w:tcPr>
          <w:p w:rsidR="005D2AE9" w:rsidP="00A75997" w:rsidRDefault="005D2AE9" w14:paraId="0143B0B1" w14:textId="77777777">
            <w:pPr>
              <w:tabs>
                <w:tab w:val="left" w:pos="614"/>
              </w:tabs>
              <w:spacing w:after="0"/>
            </w:pPr>
            <w:r>
              <w:t>Betreft</w:t>
            </w:r>
          </w:p>
        </w:tc>
        <w:tc>
          <w:tcPr>
            <w:tcW w:w="5823" w:type="dxa"/>
          </w:tcPr>
          <w:p w:rsidR="005D2AE9" w:rsidP="00A75997" w:rsidRDefault="00866A83" w14:paraId="1CDE2B5A" w14:textId="77777777">
            <w:pPr>
              <w:tabs>
                <w:tab w:val="left" w:pos="614"/>
              </w:tabs>
              <w:spacing w:after="0"/>
            </w:pPr>
            <w:r>
              <w:t>Leveringen militaire goederen aan Oekraïne</w:t>
            </w:r>
          </w:p>
        </w:tc>
      </w:tr>
    </w:tbl>
    <w:p w:rsidRPr="005D2AE9" w:rsidR="005D2AE9" w:rsidP="005D2AE9" w:rsidRDefault="005D2AE9" w14:paraId="1F5B0054" w14:textId="77777777">
      <w:r>
        <w:rPr>
          <w:noProof/>
          <w:lang w:eastAsia="nl-NL" w:bidi="ar-SA"/>
        </w:rPr>
        <mc:AlternateContent>
          <mc:Choice Requires="wps">
            <w:drawing>
              <wp:anchor distT="0" distB="0" distL="114300" distR="114300" simplePos="0" relativeHeight="251658240" behindDoc="0" locked="0" layoutInCell="1" allowOverlap="1" wp14:editId="5638F895" wp14:anchorId="15937D4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D0E58" w:rsidP="00A75997" w:rsidRDefault="007D0E58" w14:paraId="2B5483D4" w14:textId="77777777">
                            <w:pPr>
                              <w:pStyle w:val="ReferentiegegevenskopW1-Huisstijl"/>
                              <w:spacing w:before="360"/>
                            </w:pPr>
                            <w:r>
                              <w:t>Ministerie van Defensie</w:t>
                            </w:r>
                          </w:p>
                          <w:p w:rsidR="007D0E58" w:rsidP="00A75997" w:rsidRDefault="007D0E58" w14:paraId="64522811" w14:textId="77777777">
                            <w:pPr>
                              <w:pStyle w:val="Referentiegegevens-Huisstijl"/>
                            </w:pPr>
                            <w:r>
                              <w:t>Plein 4</w:t>
                            </w:r>
                          </w:p>
                          <w:p w:rsidR="007D0E58" w:rsidP="00A75997" w:rsidRDefault="007D0E58" w14:paraId="3ED7FC07" w14:textId="77777777">
                            <w:pPr>
                              <w:pStyle w:val="Referentiegegevens-Huisstijl"/>
                            </w:pPr>
                            <w:r>
                              <w:t>MPC 58 B</w:t>
                            </w:r>
                          </w:p>
                          <w:p w:rsidRPr="00866A83" w:rsidR="007D0E58" w:rsidP="00A75997" w:rsidRDefault="007D0E58" w14:paraId="7EEC68F0" w14:textId="77777777">
                            <w:pPr>
                              <w:pStyle w:val="Referentiegegevens-Huisstijl"/>
                              <w:rPr>
                                <w:lang w:val="de-DE"/>
                              </w:rPr>
                            </w:pPr>
                            <w:r w:rsidRPr="00866A83">
                              <w:rPr>
                                <w:lang w:val="de-DE"/>
                              </w:rPr>
                              <w:t>Postbus 20701</w:t>
                            </w:r>
                          </w:p>
                          <w:p w:rsidRPr="00866A83" w:rsidR="007D0E58" w:rsidP="00A75997" w:rsidRDefault="007D0E58" w14:paraId="4E82BB91" w14:textId="77777777">
                            <w:pPr>
                              <w:pStyle w:val="Referentiegegevens-Huisstijl"/>
                              <w:rPr>
                                <w:lang w:val="de-DE"/>
                              </w:rPr>
                            </w:pPr>
                            <w:r w:rsidRPr="00866A83">
                              <w:rPr>
                                <w:lang w:val="de-DE"/>
                              </w:rPr>
                              <w:t>2500 ES Den Haag</w:t>
                            </w:r>
                          </w:p>
                          <w:p w:rsidRPr="00866A83" w:rsidR="007D0E58" w:rsidP="00A75997" w:rsidRDefault="007D0E58" w14:paraId="08629799" w14:textId="77777777">
                            <w:pPr>
                              <w:pStyle w:val="Referentiegegevens-Huisstijl"/>
                              <w:rPr>
                                <w:lang w:val="de-DE"/>
                              </w:rPr>
                            </w:pPr>
                            <w:r w:rsidRPr="00866A83">
                              <w:rPr>
                                <w:lang w:val="de-DE"/>
                              </w:rPr>
                              <w:t>www.defensie.nl</w:t>
                            </w:r>
                          </w:p>
                          <w:sdt>
                            <w:sdtPr>
                              <w:id w:val="-1579366926"/>
                              <w:lock w:val="contentLocked"/>
                              <w:placeholder>
                                <w:docPart w:val="57E68DABBED84F31BAB8ED822AF20A57"/>
                              </w:placeholder>
                            </w:sdtPr>
                            <w:sdtEndPr/>
                            <w:sdtContent>
                              <w:p w:rsidR="007D0E58" w:rsidP="00A75997" w:rsidRDefault="007D0E58" w14:paraId="495E8DF7" w14:textId="77777777">
                                <w:pPr>
                                  <w:pStyle w:val="ReferentiegegevenskopW1-Huisstijl"/>
                                  <w:spacing w:before="120"/>
                                </w:pPr>
                                <w:r>
                                  <w:t>Onze referentie</w:t>
                                </w:r>
                              </w:p>
                            </w:sdtContent>
                          </w:sdt>
                          <w:p w:rsidR="007D0E58" w:rsidP="00A75997" w:rsidRDefault="007D0E58" w14:paraId="4B791E36" w14:textId="22E45E89">
                            <w:pPr>
                              <w:pStyle w:val="Referentiegegevens-Huisstijl"/>
                            </w:pPr>
                            <w:r>
                              <w:t>BS2024033764</w:t>
                            </w:r>
                          </w:p>
                          <w:p w:rsidR="007D0E58" w:rsidP="00A75997" w:rsidRDefault="007D0E58" w14:paraId="0088E386" w14:textId="77777777">
                            <w:pPr>
                              <w:pStyle w:val="Algemenevoorwaarden-Huisstijl"/>
                            </w:pPr>
                            <w:r>
                              <w:t>Bij beantwoording, datum, onze referentie en onderwerp vermelden.</w:t>
                            </w:r>
                          </w:p>
                          <w:p w:rsidR="007D0E58" w:rsidP="008967D1" w:rsidRDefault="007D0E58" w14:paraId="1E8D405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937D42">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7D0E58" w:rsidP="00A75997" w:rsidRDefault="007D0E58" w14:paraId="2B5483D4" w14:textId="77777777">
                      <w:pPr>
                        <w:pStyle w:val="ReferentiegegevenskopW1-Huisstijl"/>
                        <w:spacing w:before="360"/>
                      </w:pPr>
                      <w:r>
                        <w:t>Ministerie van Defensie</w:t>
                      </w:r>
                    </w:p>
                    <w:p w:rsidR="007D0E58" w:rsidP="00A75997" w:rsidRDefault="007D0E58" w14:paraId="64522811" w14:textId="77777777">
                      <w:pPr>
                        <w:pStyle w:val="Referentiegegevens-Huisstijl"/>
                      </w:pPr>
                      <w:r>
                        <w:t>Plein 4</w:t>
                      </w:r>
                    </w:p>
                    <w:p w:rsidR="007D0E58" w:rsidP="00A75997" w:rsidRDefault="007D0E58" w14:paraId="3ED7FC07" w14:textId="77777777">
                      <w:pPr>
                        <w:pStyle w:val="Referentiegegevens-Huisstijl"/>
                      </w:pPr>
                      <w:r>
                        <w:t>MPC 58 B</w:t>
                      </w:r>
                    </w:p>
                    <w:p w:rsidRPr="00866A83" w:rsidR="007D0E58" w:rsidP="00A75997" w:rsidRDefault="007D0E58" w14:paraId="7EEC68F0" w14:textId="77777777">
                      <w:pPr>
                        <w:pStyle w:val="Referentiegegevens-Huisstijl"/>
                        <w:rPr>
                          <w:lang w:val="de-DE"/>
                        </w:rPr>
                      </w:pPr>
                      <w:r w:rsidRPr="00866A83">
                        <w:rPr>
                          <w:lang w:val="de-DE"/>
                        </w:rPr>
                        <w:t>Postbus 20701</w:t>
                      </w:r>
                    </w:p>
                    <w:p w:rsidRPr="00866A83" w:rsidR="007D0E58" w:rsidP="00A75997" w:rsidRDefault="007D0E58" w14:paraId="4E82BB91" w14:textId="77777777">
                      <w:pPr>
                        <w:pStyle w:val="Referentiegegevens-Huisstijl"/>
                        <w:rPr>
                          <w:lang w:val="de-DE"/>
                        </w:rPr>
                      </w:pPr>
                      <w:r w:rsidRPr="00866A83">
                        <w:rPr>
                          <w:lang w:val="de-DE"/>
                        </w:rPr>
                        <w:t>2500 ES Den Haag</w:t>
                      </w:r>
                    </w:p>
                    <w:p w:rsidRPr="00866A83" w:rsidR="007D0E58" w:rsidP="00A75997" w:rsidRDefault="007D0E58" w14:paraId="08629799" w14:textId="77777777">
                      <w:pPr>
                        <w:pStyle w:val="Referentiegegevens-Huisstijl"/>
                        <w:rPr>
                          <w:lang w:val="de-DE"/>
                        </w:rPr>
                      </w:pPr>
                      <w:r w:rsidRPr="00866A83">
                        <w:rPr>
                          <w:lang w:val="de-DE"/>
                        </w:rPr>
                        <w:t>www.defensie.nl</w:t>
                      </w:r>
                    </w:p>
                    <w:sdt>
                      <w:sdtPr>
                        <w:id w:val="-1579366926"/>
                        <w:lock w:val="contentLocked"/>
                        <w:placeholder>
                          <w:docPart w:val="57E68DABBED84F31BAB8ED822AF20A57"/>
                        </w:placeholder>
                      </w:sdtPr>
                      <w:sdtContent>
                        <w:p w:rsidR="007D0E58" w:rsidP="00A75997" w:rsidRDefault="007D0E58" w14:paraId="495E8DF7" w14:textId="77777777">
                          <w:pPr>
                            <w:pStyle w:val="ReferentiegegevenskopW1-Huisstijl"/>
                            <w:spacing w:before="120"/>
                          </w:pPr>
                          <w:r>
                            <w:t>Onze referentie</w:t>
                          </w:r>
                        </w:p>
                      </w:sdtContent>
                    </w:sdt>
                    <w:p w:rsidR="007D0E58" w:rsidP="00A75997" w:rsidRDefault="007D0E58" w14:paraId="4B791E36" w14:textId="22E45E89">
                      <w:pPr>
                        <w:pStyle w:val="Referentiegegevens-Huisstijl"/>
                      </w:pPr>
                      <w:r>
                        <w:t>BS2024033764</w:t>
                      </w:r>
                    </w:p>
                    <w:p w:rsidR="007D0E58" w:rsidP="00A75997" w:rsidRDefault="007D0E58" w14:paraId="0088E386" w14:textId="77777777">
                      <w:pPr>
                        <w:pStyle w:val="Algemenevoorwaarden-Huisstijl"/>
                      </w:pPr>
                      <w:r>
                        <w:t>Bij beantwoording, datum, onze referentie en onderwerp vermelden.</w:t>
                      </w:r>
                    </w:p>
                    <w:p w:rsidR="007D0E58" w:rsidP="008967D1" w:rsidRDefault="007D0E58" w14:paraId="1E8D405B" w14:textId="77777777">
                      <w:pPr>
                        <w:pStyle w:val="Algemenevoorwaarden-Huisstijl"/>
                      </w:pPr>
                    </w:p>
                  </w:txbxContent>
                </v:textbox>
                <w10:wrap anchorx="page" anchory="page"/>
              </v:shape>
            </w:pict>
          </mc:Fallback>
        </mc:AlternateContent>
      </w:r>
    </w:p>
    <w:p w:rsidR="008967D1" w:rsidP="00BE2D79" w:rsidRDefault="008967D1" w14:paraId="012854E6" w14:textId="77777777">
      <w:pPr>
        <w:spacing w:after="240"/>
      </w:pPr>
    </w:p>
    <w:p w:rsidR="00A13329" w:rsidP="00A13329" w:rsidRDefault="00A13329" w14:paraId="034DA422" w14:textId="77777777">
      <w:pPr>
        <w:spacing w:after="0" w:line="276" w:lineRule="auto"/>
        <w:rPr>
          <w:color w:val="000000"/>
        </w:rPr>
      </w:pPr>
      <w:r>
        <w:rPr>
          <w:color w:val="000000"/>
        </w:rPr>
        <w:t xml:space="preserve">Geachte voorzitter, </w:t>
      </w:r>
    </w:p>
    <w:p w:rsidR="00A13329" w:rsidP="00A13329" w:rsidRDefault="00A13329" w14:paraId="549E5A65" w14:textId="77777777">
      <w:pPr>
        <w:spacing w:after="0" w:line="276" w:lineRule="auto"/>
        <w:rPr>
          <w:color w:val="000000"/>
        </w:rPr>
      </w:pPr>
    </w:p>
    <w:p w:rsidR="00A13329" w:rsidP="00A13329" w:rsidRDefault="00A13329" w14:paraId="59FEBE90" w14:textId="41625897">
      <w:pPr>
        <w:spacing w:after="0" w:line="276" w:lineRule="auto"/>
      </w:pPr>
      <w:r>
        <w:rPr>
          <w:color w:val="000000"/>
        </w:rPr>
        <w:t xml:space="preserve">In vervolg </w:t>
      </w:r>
      <w:r>
        <w:t>op de vorige update van leveringen van militaire goederen aan Oekraïne (K</w:t>
      </w:r>
      <w:r w:rsidR="00807154">
        <w:t>amerstuk 22 054, nr. 420, van 13 juni 2024</w:t>
      </w:r>
      <w:r>
        <w:t xml:space="preserve">), informeer ik u, </w:t>
      </w:r>
      <w:bookmarkStart w:name="_GoBack" w:id="0"/>
      <w:r>
        <w:t xml:space="preserve">mede </w:t>
      </w:r>
      <w:bookmarkEnd w:id="0"/>
      <w:r>
        <w:t>namens de minister van Buitenlandse Zaken en de minister voor Buitenlandse Handel en Ontwikkeling</w:t>
      </w:r>
      <w:r w:rsidR="00C078B7">
        <w:t>shulp</w:t>
      </w:r>
      <w:r>
        <w:t xml:space="preserve"> in bijgaande vertrouwelijke bijlage</w:t>
      </w:r>
      <w:r>
        <w:rPr>
          <w:rStyle w:val="Voetnootmarkering"/>
        </w:rPr>
        <w:footnoteReference w:id="2"/>
      </w:r>
      <w:r>
        <w:t xml:space="preserve"> over de laatste stand van zaken omtrent de levering van militaire goederen aan Oekraïne. De vertrouwelijke bijlage bevat een totaalov</w:t>
      </w:r>
      <w:r w:rsidR="00A75997">
        <w:t xml:space="preserve">erzicht van de tot en met </w:t>
      </w:r>
      <w:r w:rsidR="00BD6A25">
        <w:t>29</w:t>
      </w:r>
      <w:r w:rsidR="00A75997">
        <w:t xml:space="preserve"> </w:t>
      </w:r>
      <w:r w:rsidR="00BD6A25">
        <w:t xml:space="preserve">september </w:t>
      </w:r>
      <w:r>
        <w:t xml:space="preserve">2024 door Defensie geleverde goederen. </w:t>
      </w:r>
    </w:p>
    <w:p w:rsidR="00A13329" w:rsidP="00A13329" w:rsidRDefault="00A13329" w14:paraId="1CE17667" w14:textId="77777777">
      <w:pPr>
        <w:spacing w:after="0" w:line="276" w:lineRule="auto"/>
      </w:pPr>
    </w:p>
    <w:p w:rsidR="00A13329" w:rsidP="00A13329" w:rsidRDefault="00A13329" w14:paraId="108809F7" w14:textId="24203577">
      <w:pPr>
        <w:spacing w:after="0" w:line="276" w:lineRule="auto"/>
      </w:pPr>
      <w:r>
        <w:t>In het openbare overzicht meldt het kabinet enkel de leveringen die nieuw zijn ten opzichte van het overzicht in de laatste periodieke u</w:t>
      </w:r>
      <w:r w:rsidR="00807154">
        <w:t>pdate (Kamerstuk 22 054, nr. 420, van 13</w:t>
      </w:r>
      <w:r>
        <w:t xml:space="preserve"> </w:t>
      </w:r>
      <w:r w:rsidR="00807154">
        <w:t>juni 2024</w:t>
      </w:r>
      <w:r>
        <w:t>). Per levering wordt een afweging gemaakt of openbaarmaking mogelijk is. De operationele veiligheid blijft leidend in de afweging om informatie al dan niet openbaar te maken. Ook houdt Defensie rekening met de belangen van bij leveringen betrokken derde partijen, zoals bondgenoten, partners en de industrie.</w:t>
      </w:r>
    </w:p>
    <w:p w:rsidR="00A13329" w:rsidP="00A13329" w:rsidRDefault="00A13329" w14:paraId="4DF2F337" w14:textId="77777777">
      <w:pPr>
        <w:spacing w:after="0" w:line="276" w:lineRule="auto"/>
      </w:pPr>
    </w:p>
    <w:p w:rsidR="00A13329" w:rsidP="00A13329" w:rsidRDefault="00A13329" w14:paraId="7C695E71" w14:textId="77777777">
      <w:pPr>
        <w:pStyle w:val="Default"/>
        <w:spacing w:line="276" w:lineRule="auto"/>
        <w:rPr>
          <w:i/>
          <w:sz w:val="18"/>
          <w:szCs w:val="18"/>
        </w:rPr>
      </w:pPr>
      <w:r>
        <w:rPr>
          <w:i/>
          <w:sz w:val="18"/>
          <w:szCs w:val="18"/>
        </w:rPr>
        <w:t>Nederlandse militaire steun</w:t>
      </w:r>
    </w:p>
    <w:p w:rsidR="00A13329" w:rsidP="00A13329" w:rsidRDefault="00A13329" w14:paraId="7159109B" w14:textId="1DDA07EF">
      <w:pPr>
        <w:pStyle w:val="Default"/>
        <w:spacing w:line="276" w:lineRule="auto"/>
        <w:rPr>
          <w:sz w:val="18"/>
          <w:szCs w:val="18"/>
        </w:rPr>
      </w:pPr>
      <w:r>
        <w:rPr>
          <w:sz w:val="18"/>
          <w:szCs w:val="18"/>
        </w:rPr>
        <w:t xml:space="preserve">Het </w:t>
      </w:r>
      <w:r w:rsidR="00F52D52">
        <w:rPr>
          <w:sz w:val="18"/>
          <w:szCs w:val="18"/>
        </w:rPr>
        <w:t xml:space="preserve">vorige </w:t>
      </w:r>
      <w:r>
        <w:rPr>
          <w:sz w:val="18"/>
          <w:szCs w:val="18"/>
        </w:rPr>
        <w:t>kabinet heeft in de Voorjaarsnota besloten om voor de periode 2024-2026 aanvullend 4 miljard euro beschikbaar te stellen, bovenop de eerder aangekondigde 2 miljard euro die voor 2024 d</w:t>
      </w:r>
      <w:r w:rsidRPr="00885BE4">
        <w:rPr>
          <w:sz w:val="18"/>
          <w:szCs w:val="18"/>
        </w:rPr>
        <w:t xml:space="preserve">oor het kabinet </w:t>
      </w:r>
      <w:r>
        <w:rPr>
          <w:sz w:val="18"/>
          <w:szCs w:val="18"/>
        </w:rPr>
        <w:t>ter beschikking was gesteld (Kamerstuk 36 550, nr. 1). Daarmee ondersteunt Nederland Oekraïne met circa 10 miljard euro aan militaire steun sinds de</w:t>
      </w:r>
      <w:r w:rsidR="00C078B7">
        <w:rPr>
          <w:sz w:val="18"/>
          <w:szCs w:val="18"/>
        </w:rPr>
        <w:t xml:space="preserve"> aanvang van de</w:t>
      </w:r>
      <w:r>
        <w:rPr>
          <w:sz w:val="18"/>
          <w:szCs w:val="18"/>
        </w:rPr>
        <w:t xml:space="preserve"> grootschalige Russische invasie op 24 februari 2022.</w:t>
      </w:r>
    </w:p>
    <w:p w:rsidR="00A13329" w:rsidP="00A13329" w:rsidRDefault="00A13329" w14:paraId="00DEF862" w14:textId="77777777">
      <w:pPr>
        <w:pStyle w:val="Default"/>
        <w:spacing w:line="276" w:lineRule="auto"/>
        <w:rPr>
          <w:i/>
          <w:sz w:val="18"/>
          <w:szCs w:val="18"/>
        </w:rPr>
      </w:pPr>
    </w:p>
    <w:p w:rsidR="00A13329" w:rsidP="00A13329" w:rsidRDefault="00A13329" w14:paraId="04EB74A3" w14:textId="613D22CB">
      <w:pPr>
        <w:pStyle w:val="Default"/>
        <w:spacing w:line="276" w:lineRule="auto"/>
        <w:rPr>
          <w:sz w:val="18"/>
          <w:szCs w:val="18"/>
        </w:rPr>
      </w:pPr>
      <w:r>
        <w:rPr>
          <w:sz w:val="18"/>
          <w:szCs w:val="18"/>
        </w:rPr>
        <w:t>Het onderstaande overzicht bevat een weergave van aan Oekraïne geleverde militaire goederen</w:t>
      </w:r>
      <w:r w:rsidR="007D4B04">
        <w:rPr>
          <w:sz w:val="18"/>
          <w:szCs w:val="18"/>
        </w:rPr>
        <w:t xml:space="preserve"> </w:t>
      </w:r>
      <w:r w:rsidR="00C078B7">
        <w:rPr>
          <w:sz w:val="18"/>
          <w:szCs w:val="18"/>
        </w:rPr>
        <w:t>sinds de leveringenbrief van 13 juni 2024</w:t>
      </w:r>
      <w:r w:rsidR="00640CB1">
        <w:rPr>
          <w:sz w:val="18"/>
          <w:szCs w:val="18"/>
        </w:rPr>
        <w:t>,</w:t>
      </w:r>
      <w:r w:rsidR="00C078B7">
        <w:rPr>
          <w:rStyle w:val="Voetnootmarkering"/>
          <w:sz w:val="18"/>
          <w:szCs w:val="18"/>
        </w:rPr>
        <w:footnoteReference w:id="3"/>
      </w:r>
      <w:r>
        <w:rPr>
          <w:sz w:val="18"/>
          <w:szCs w:val="18"/>
        </w:rPr>
        <w:t xml:space="preserve"> rekening houdend met operationele veiligheid(-</w:t>
      </w:r>
      <w:proofErr w:type="spellStart"/>
      <w:r>
        <w:rPr>
          <w:sz w:val="18"/>
          <w:szCs w:val="18"/>
        </w:rPr>
        <w:t>soverwegingen</w:t>
      </w:r>
      <w:proofErr w:type="spellEnd"/>
      <w:r>
        <w:rPr>
          <w:sz w:val="18"/>
          <w:szCs w:val="18"/>
        </w:rPr>
        <w:t>). Deze lijst is derhalve niet uitputtend.</w:t>
      </w:r>
    </w:p>
    <w:p w:rsidR="00A13329" w:rsidP="00A13329" w:rsidRDefault="00A13329" w14:paraId="57E64B0F" w14:textId="77777777">
      <w:pPr>
        <w:pStyle w:val="Default"/>
        <w:spacing w:line="276" w:lineRule="auto"/>
      </w:pPr>
    </w:p>
    <w:p w:rsidR="00A13329" w:rsidP="00A13329" w:rsidRDefault="00A13329" w14:paraId="38DA6C7A" w14:textId="77777777">
      <w:pPr>
        <w:pStyle w:val="Default"/>
        <w:spacing w:line="276" w:lineRule="auto"/>
      </w:pPr>
    </w:p>
    <w:p w:rsidR="00A13329" w:rsidP="00A13329" w:rsidRDefault="00A13329" w14:paraId="2E805FBC" w14:textId="77777777">
      <w:pPr>
        <w:pStyle w:val="Default"/>
        <w:spacing w:line="276" w:lineRule="auto"/>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7473"/>
      </w:tblGrid>
      <w:tr w:rsidR="00A13329" w:rsidTr="00A75997" w14:paraId="15529D07" w14:textId="77777777">
        <w:tc>
          <w:tcPr>
            <w:tcW w:w="7473" w:type="dxa"/>
          </w:tcPr>
          <w:p w:rsidR="007A7018" w:rsidP="00A13329" w:rsidRDefault="007A7018" w14:paraId="7CCD0D69" w14:textId="2FBFA0D0">
            <w:pPr>
              <w:pStyle w:val="Default"/>
              <w:numPr>
                <w:ilvl w:val="0"/>
                <w:numId w:val="20"/>
              </w:numPr>
              <w:adjustRightInd/>
              <w:spacing w:line="276" w:lineRule="auto"/>
              <w:rPr>
                <w:color w:val="000000" w:themeColor="text1"/>
                <w:sz w:val="18"/>
                <w:szCs w:val="18"/>
              </w:rPr>
            </w:pPr>
            <w:r>
              <w:rPr>
                <w:color w:val="000000" w:themeColor="text1"/>
                <w:sz w:val="18"/>
                <w:szCs w:val="18"/>
              </w:rPr>
              <w:t>Gevechtsvliegtuigen (F-16)</w:t>
            </w:r>
          </w:p>
          <w:p w:rsidR="007A7018" w:rsidP="007A7018" w:rsidRDefault="00807154" w14:paraId="08BDA6D0" w14:textId="334F3813">
            <w:pPr>
              <w:pStyle w:val="Default"/>
              <w:numPr>
                <w:ilvl w:val="0"/>
                <w:numId w:val="20"/>
              </w:numPr>
              <w:adjustRightInd/>
              <w:spacing w:line="276" w:lineRule="auto"/>
              <w:rPr>
                <w:color w:val="000000" w:themeColor="text1"/>
                <w:sz w:val="18"/>
                <w:szCs w:val="18"/>
              </w:rPr>
            </w:pPr>
            <w:r>
              <w:rPr>
                <w:color w:val="000000" w:themeColor="text1"/>
                <w:sz w:val="18"/>
                <w:szCs w:val="18"/>
              </w:rPr>
              <w:t>Gevechtsvoertuigen</w:t>
            </w:r>
          </w:p>
          <w:p w:rsidRPr="007A7018" w:rsidR="007A7018" w:rsidP="007A7018" w:rsidRDefault="007A7018" w14:paraId="012702A7" w14:textId="0A8ACB76">
            <w:pPr>
              <w:pStyle w:val="Default"/>
              <w:adjustRightInd/>
              <w:spacing w:line="276" w:lineRule="auto"/>
              <w:ind w:left="360"/>
              <w:rPr>
                <w:color w:val="000000" w:themeColor="text1"/>
                <w:sz w:val="18"/>
                <w:szCs w:val="18"/>
              </w:rPr>
            </w:pPr>
            <w:r w:rsidRPr="007A7018">
              <w:rPr>
                <w:i/>
                <w:color w:val="000000" w:themeColor="text1"/>
                <w:sz w:val="18"/>
                <w:szCs w:val="18"/>
              </w:rPr>
              <w:t>Leopard 2A4 (14), YPR (54) en Viking-rupsvoertuigen.</w:t>
            </w:r>
          </w:p>
          <w:p w:rsidR="00A13329" w:rsidP="00A13329" w:rsidRDefault="00A13329" w14:paraId="37806FC5" w14:textId="48003910">
            <w:pPr>
              <w:pStyle w:val="Default"/>
              <w:numPr>
                <w:ilvl w:val="0"/>
                <w:numId w:val="20"/>
              </w:numPr>
              <w:adjustRightInd/>
              <w:spacing w:line="276" w:lineRule="auto"/>
              <w:rPr>
                <w:color w:val="000000" w:themeColor="text1"/>
                <w:sz w:val="18"/>
                <w:szCs w:val="18"/>
              </w:rPr>
            </w:pPr>
            <w:r>
              <w:rPr>
                <w:color w:val="000000" w:themeColor="text1"/>
                <w:sz w:val="18"/>
                <w:szCs w:val="18"/>
              </w:rPr>
              <w:t>Vuursteunsystemen</w:t>
            </w:r>
          </w:p>
          <w:p w:rsidR="007A7018" w:rsidP="00A13329" w:rsidRDefault="008172E6" w14:paraId="4B99E8D0" w14:textId="3F639C3F">
            <w:pPr>
              <w:pStyle w:val="Default"/>
              <w:numPr>
                <w:ilvl w:val="0"/>
                <w:numId w:val="20"/>
              </w:numPr>
              <w:adjustRightInd/>
              <w:spacing w:line="276" w:lineRule="auto"/>
              <w:rPr>
                <w:color w:val="000000" w:themeColor="text1"/>
                <w:sz w:val="18"/>
                <w:szCs w:val="18"/>
              </w:rPr>
            </w:pPr>
            <w:r>
              <w:rPr>
                <w:color w:val="000000" w:themeColor="text1"/>
                <w:sz w:val="18"/>
                <w:szCs w:val="18"/>
              </w:rPr>
              <w:t>Luchtverdedi</w:t>
            </w:r>
            <w:r w:rsidR="007A7018">
              <w:rPr>
                <w:color w:val="000000" w:themeColor="text1"/>
                <w:sz w:val="18"/>
                <w:szCs w:val="18"/>
              </w:rPr>
              <w:t>gingssystemen</w:t>
            </w:r>
          </w:p>
          <w:p w:rsidR="007A7018" w:rsidP="007A7018" w:rsidRDefault="007A7018" w14:paraId="3BB4AF23" w14:textId="2E73AD65">
            <w:pPr>
              <w:pStyle w:val="Default"/>
              <w:adjustRightInd/>
              <w:spacing w:line="276" w:lineRule="auto"/>
              <w:ind w:left="360"/>
              <w:rPr>
                <w:color w:val="000000" w:themeColor="text1"/>
                <w:sz w:val="18"/>
                <w:szCs w:val="18"/>
              </w:rPr>
            </w:pPr>
            <w:r>
              <w:rPr>
                <w:i/>
                <w:color w:val="000000" w:themeColor="text1"/>
                <w:sz w:val="18"/>
                <w:szCs w:val="18"/>
              </w:rPr>
              <w:t>Patriot componenten</w:t>
            </w:r>
          </w:p>
          <w:p w:rsidR="00A13329" w:rsidP="00A13329" w:rsidRDefault="00A13329" w14:paraId="79D557EB" w14:textId="4CF753A4">
            <w:pPr>
              <w:pStyle w:val="Default"/>
              <w:numPr>
                <w:ilvl w:val="0"/>
                <w:numId w:val="20"/>
              </w:numPr>
              <w:adjustRightInd/>
              <w:spacing w:line="276" w:lineRule="auto"/>
              <w:rPr>
                <w:i/>
                <w:color w:val="000000" w:themeColor="text1"/>
                <w:sz w:val="18"/>
                <w:szCs w:val="18"/>
              </w:rPr>
            </w:pPr>
            <w:r>
              <w:rPr>
                <w:color w:val="000000" w:themeColor="text1"/>
                <w:sz w:val="18"/>
                <w:szCs w:val="18"/>
              </w:rPr>
              <w:t>Individuele wapens, zoals MAG</w:t>
            </w:r>
            <w:r w:rsidR="00166B51">
              <w:rPr>
                <w:color w:val="000000" w:themeColor="text1"/>
                <w:sz w:val="18"/>
                <w:szCs w:val="18"/>
              </w:rPr>
              <w:t xml:space="preserve"> mitrailleurs</w:t>
            </w:r>
            <w:r>
              <w:rPr>
                <w:color w:val="000000" w:themeColor="text1"/>
                <w:sz w:val="18"/>
                <w:szCs w:val="18"/>
              </w:rPr>
              <w:t xml:space="preserve"> en </w:t>
            </w:r>
            <w:r w:rsidR="009459A1">
              <w:rPr>
                <w:color w:val="000000" w:themeColor="text1"/>
                <w:sz w:val="18"/>
                <w:szCs w:val="18"/>
              </w:rPr>
              <w:t>geweren</w:t>
            </w:r>
          </w:p>
          <w:p w:rsidRPr="007A7018" w:rsidR="00A13329" w:rsidP="00807154" w:rsidRDefault="00807154" w14:paraId="1C36819B" w14:textId="77777777">
            <w:pPr>
              <w:pStyle w:val="Default"/>
              <w:numPr>
                <w:ilvl w:val="0"/>
                <w:numId w:val="20"/>
              </w:numPr>
              <w:adjustRightInd/>
              <w:spacing w:line="276" w:lineRule="auto"/>
              <w:rPr>
                <w:i/>
                <w:color w:val="000000" w:themeColor="text1"/>
                <w:sz w:val="18"/>
                <w:szCs w:val="18"/>
              </w:rPr>
            </w:pPr>
            <w:r>
              <w:rPr>
                <w:color w:val="000000" w:themeColor="text1"/>
                <w:sz w:val="18"/>
                <w:szCs w:val="18"/>
              </w:rPr>
              <w:t>Munitie</w:t>
            </w:r>
          </w:p>
          <w:p w:rsidRPr="00807154" w:rsidR="007A7018" w:rsidP="007A7018" w:rsidRDefault="007A7018" w14:paraId="32DE4D92" w14:textId="5F0D95D9">
            <w:pPr>
              <w:pStyle w:val="Default"/>
              <w:adjustRightInd/>
              <w:spacing w:line="276" w:lineRule="auto"/>
              <w:ind w:left="360"/>
              <w:rPr>
                <w:i/>
                <w:color w:val="000000" w:themeColor="text1"/>
                <w:sz w:val="18"/>
                <w:szCs w:val="18"/>
              </w:rPr>
            </w:pPr>
            <w:r w:rsidRPr="007A7018">
              <w:rPr>
                <w:i/>
                <w:color w:val="000000" w:themeColor="text1"/>
                <w:sz w:val="18"/>
                <w:szCs w:val="18"/>
              </w:rPr>
              <w:t xml:space="preserve">Diverse soorten </w:t>
            </w:r>
            <w:proofErr w:type="spellStart"/>
            <w:r w:rsidRPr="007A7018">
              <w:rPr>
                <w:i/>
                <w:color w:val="000000" w:themeColor="text1"/>
                <w:sz w:val="18"/>
                <w:szCs w:val="18"/>
              </w:rPr>
              <w:t>kleinkaliber</w:t>
            </w:r>
            <w:proofErr w:type="spellEnd"/>
            <w:r w:rsidRPr="007A7018">
              <w:rPr>
                <w:i/>
                <w:color w:val="000000" w:themeColor="text1"/>
                <w:sz w:val="18"/>
                <w:szCs w:val="18"/>
              </w:rPr>
              <w:t xml:space="preserve"> munitie voor individuele wapens en zware munitie voor tanks en artillerie</w:t>
            </w:r>
          </w:p>
        </w:tc>
      </w:tr>
      <w:tr w:rsidR="00A13329" w:rsidTr="00A75997" w14:paraId="3DD9F927" w14:textId="77777777">
        <w:tc>
          <w:tcPr>
            <w:tcW w:w="7473" w:type="dxa"/>
          </w:tcPr>
          <w:p w:rsidRPr="007A7018" w:rsidR="00A13329" w:rsidP="00807154" w:rsidRDefault="00A13329" w14:paraId="75DFAFD7" w14:textId="77777777">
            <w:pPr>
              <w:pStyle w:val="Default"/>
              <w:numPr>
                <w:ilvl w:val="0"/>
                <w:numId w:val="20"/>
              </w:numPr>
              <w:adjustRightInd/>
              <w:spacing w:line="276" w:lineRule="auto"/>
              <w:rPr>
                <w:i/>
                <w:color w:val="000000" w:themeColor="text1"/>
                <w:sz w:val="18"/>
                <w:szCs w:val="18"/>
              </w:rPr>
            </w:pPr>
            <w:r>
              <w:rPr>
                <w:color w:val="000000" w:themeColor="text1"/>
                <w:sz w:val="18"/>
                <w:szCs w:val="18"/>
              </w:rPr>
              <w:t>Sensoren en waar</w:t>
            </w:r>
            <w:r w:rsidR="00807154">
              <w:rPr>
                <w:color w:val="000000" w:themeColor="text1"/>
                <w:sz w:val="18"/>
                <w:szCs w:val="18"/>
              </w:rPr>
              <w:t>nemingsmiddelen</w:t>
            </w:r>
          </w:p>
          <w:p w:rsidRPr="00807154" w:rsidR="007A7018" w:rsidP="007A7018" w:rsidRDefault="007A7018" w14:paraId="5A8BBCE1" w14:textId="60931E1B">
            <w:pPr>
              <w:pStyle w:val="Default"/>
              <w:adjustRightInd/>
              <w:spacing w:line="276" w:lineRule="auto"/>
              <w:ind w:left="360"/>
              <w:rPr>
                <w:i/>
                <w:color w:val="000000" w:themeColor="text1"/>
                <w:sz w:val="18"/>
                <w:szCs w:val="18"/>
              </w:rPr>
            </w:pPr>
            <w:r>
              <w:rPr>
                <w:i/>
                <w:color w:val="000000" w:themeColor="text1"/>
                <w:sz w:val="18"/>
                <w:szCs w:val="18"/>
              </w:rPr>
              <w:t>Drones en VERA-NG radarsystemen</w:t>
            </w:r>
          </w:p>
        </w:tc>
      </w:tr>
      <w:tr w:rsidR="00A13329" w:rsidTr="00A75997" w14:paraId="276CDEA2" w14:textId="77777777">
        <w:tc>
          <w:tcPr>
            <w:tcW w:w="7473" w:type="dxa"/>
          </w:tcPr>
          <w:p w:rsidR="00A13329" w:rsidP="00A13329" w:rsidRDefault="00A13329" w14:paraId="6E3818D8" w14:textId="77777777">
            <w:pPr>
              <w:pStyle w:val="Default"/>
              <w:numPr>
                <w:ilvl w:val="0"/>
                <w:numId w:val="20"/>
              </w:numPr>
              <w:adjustRightInd/>
              <w:spacing w:line="276" w:lineRule="auto"/>
              <w:rPr>
                <w:i/>
                <w:color w:val="000000" w:themeColor="text1"/>
                <w:sz w:val="18"/>
                <w:szCs w:val="18"/>
              </w:rPr>
            </w:pPr>
            <w:r>
              <w:rPr>
                <w:color w:val="000000" w:themeColor="text1"/>
                <w:sz w:val="18"/>
                <w:szCs w:val="18"/>
              </w:rPr>
              <w:t>Voertuigen</w:t>
            </w:r>
          </w:p>
          <w:p w:rsidR="00A13329" w:rsidP="00807154" w:rsidRDefault="007A7018" w14:paraId="4EA83E5A" w14:textId="59E1FB7C">
            <w:pPr>
              <w:pStyle w:val="Default"/>
              <w:spacing w:line="276" w:lineRule="auto"/>
              <w:ind w:left="360"/>
              <w:rPr>
                <w:i/>
                <w:color w:val="000000" w:themeColor="text1"/>
                <w:sz w:val="18"/>
                <w:szCs w:val="18"/>
              </w:rPr>
            </w:pPr>
            <w:r>
              <w:rPr>
                <w:i/>
                <w:color w:val="000000" w:themeColor="text1"/>
                <w:sz w:val="18"/>
                <w:szCs w:val="18"/>
              </w:rPr>
              <w:t>Diverse soorten voertuigen</w:t>
            </w:r>
            <w:r w:rsidR="00A13329">
              <w:rPr>
                <w:i/>
                <w:color w:val="000000" w:themeColor="text1"/>
                <w:sz w:val="18"/>
                <w:szCs w:val="18"/>
              </w:rPr>
              <w:t xml:space="preserve"> </w:t>
            </w:r>
          </w:p>
        </w:tc>
      </w:tr>
      <w:tr w:rsidR="00A13329" w:rsidTr="00A75997" w14:paraId="68660D37" w14:textId="77777777">
        <w:tc>
          <w:tcPr>
            <w:tcW w:w="7473" w:type="dxa"/>
          </w:tcPr>
          <w:p w:rsidR="00A13329" w:rsidP="00A13329" w:rsidRDefault="00807154" w14:paraId="16A5C1D3" w14:textId="6421EA59">
            <w:pPr>
              <w:pStyle w:val="Default"/>
              <w:numPr>
                <w:ilvl w:val="0"/>
                <w:numId w:val="20"/>
              </w:numPr>
              <w:adjustRightInd/>
              <w:spacing w:line="276" w:lineRule="auto"/>
              <w:rPr>
                <w:color w:val="000000" w:themeColor="text1"/>
                <w:sz w:val="18"/>
                <w:szCs w:val="18"/>
              </w:rPr>
            </w:pPr>
            <w:r>
              <w:rPr>
                <w:color w:val="000000" w:themeColor="text1"/>
                <w:sz w:val="18"/>
                <w:szCs w:val="18"/>
              </w:rPr>
              <w:t>Vaartuigen</w:t>
            </w:r>
            <w:r w:rsidR="007A7018">
              <w:rPr>
                <w:color w:val="000000" w:themeColor="text1"/>
                <w:sz w:val="18"/>
                <w:szCs w:val="18"/>
              </w:rPr>
              <w:t xml:space="preserve"> (48)</w:t>
            </w:r>
          </w:p>
          <w:p w:rsidR="00A13329" w:rsidP="00A13329" w:rsidRDefault="00A13329" w14:paraId="042707E2" w14:textId="137BBECD">
            <w:pPr>
              <w:pStyle w:val="Default"/>
              <w:numPr>
                <w:ilvl w:val="0"/>
                <w:numId w:val="20"/>
              </w:numPr>
              <w:adjustRightInd/>
              <w:spacing w:line="276" w:lineRule="auto"/>
              <w:rPr>
                <w:color w:val="000000" w:themeColor="text1"/>
                <w:sz w:val="18"/>
                <w:szCs w:val="18"/>
              </w:rPr>
            </w:pPr>
            <w:r>
              <w:rPr>
                <w:color w:val="000000" w:themeColor="text1"/>
                <w:sz w:val="18"/>
                <w:szCs w:val="18"/>
              </w:rPr>
              <w:t>Aggregaten</w:t>
            </w:r>
          </w:p>
        </w:tc>
      </w:tr>
      <w:tr w:rsidR="00A13329" w:rsidTr="00A75997" w14:paraId="51BC9F7B" w14:textId="77777777">
        <w:tc>
          <w:tcPr>
            <w:tcW w:w="7473" w:type="dxa"/>
          </w:tcPr>
          <w:p w:rsidRPr="007A7018" w:rsidR="00A13329" w:rsidP="007A7018" w:rsidRDefault="00A13329" w14:paraId="0E4A416D" w14:textId="56496559">
            <w:pPr>
              <w:pStyle w:val="Default"/>
              <w:numPr>
                <w:ilvl w:val="0"/>
                <w:numId w:val="20"/>
              </w:numPr>
              <w:adjustRightInd/>
              <w:spacing w:line="276" w:lineRule="auto"/>
              <w:rPr>
                <w:color w:val="000000" w:themeColor="text1"/>
                <w:sz w:val="18"/>
                <w:szCs w:val="18"/>
              </w:rPr>
            </w:pPr>
            <w:r>
              <w:rPr>
                <w:color w:val="000000" w:themeColor="text1"/>
                <w:sz w:val="18"/>
                <w:szCs w:val="18"/>
              </w:rPr>
              <w:t>Reservedelen voor diverse soorten voertuigen en (wapen-)systemen</w:t>
            </w:r>
          </w:p>
        </w:tc>
      </w:tr>
      <w:tr w:rsidR="00A13329" w:rsidTr="00A75997" w14:paraId="63BAA8E7" w14:textId="77777777">
        <w:trPr>
          <w:trHeight w:val="70"/>
        </w:trPr>
        <w:tc>
          <w:tcPr>
            <w:tcW w:w="7473" w:type="dxa"/>
          </w:tcPr>
          <w:p w:rsidR="00A13329" w:rsidP="00A13329" w:rsidRDefault="00A13329" w14:paraId="4C3F03F4" w14:textId="77777777">
            <w:pPr>
              <w:pStyle w:val="Default"/>
              <w:numPr>
                <w:ilvl w:val="0"/>
                <w:numId w:val="21"/>
              </w:numPr>
              <w:adjustRightInd/>
              <w:spacing w:line="276" w:lineRule="auto"/>
              <w:rPr>
                <w:color w:val="000000" w:themeColor="text1"/>
                <w:sz w:val="18"/>
                <w:szCs w:val="18"/>
              </w:rPr>
            </w:pPr>
            <w:r>
              <w:rPr>
                <w:color w:val="000000" w:themeColor="text1"/>
                <w:sz w:val="18"/>
                <w:szCs w:val="18"/>
              </w:rPr>
              <w:t>Persoonlijke uitrusting, waaronder kleding, helmen, scherfvesten</w:t>
            </w:r>
          </w:p>
          <w:p w:rsidR="00A13329" w:rsidP="00A13329" w:rsidRDefault="00A13329" w14:paraId="2887926A" w14:textId="77777777">
            <w:pPr>
              <w:pStyle w:val="Default"/>
              <w:numPr>
                <w:ilvl w:val="0"/>
                <w:numId w:val="21"/>
              </w:numPr>
              <w:adjustRightInd/>
              <w:spacing w:line="276" w:lineRule="auto"/>
              <w:rPr>
                <w:color w:val="000000" w:themeColor="text1"/>
                <w:sz w:val="18"/>
                <w:szCs w:val="18"/>
              </w:rPr>
            </w:pPr>
            <w:r>
              <w:rPr>
                <w:color w:val="000000" w:themeColor="text1"/>
                <w:sz w:val="18"/>
                <w:szCs w:val="18"/>
              </w:rPr>
              <w:t>Rantsoenen</w:t>
            </w:r>
          </w:p>
          <w:p w:rsidR="00A13329" w:rsidP="00A13329" w:rsidRDefault="00A13329" w14:paraId="7408C020" w14:textId="77777777">
            <w:pPr>
              <w:pStyle w:val="Default"/>
              <w:numPr>
                <w:ilvl w:val="0"/>
                <w:numId w:val="21"/>
              </w:numPr>
              <w:adjustRightInd/>
              <w:spacing w:line="276" w:lineRule="auto"/>
              <w:rPr>
                <w:i/>
                <w:color w:val="000000" w:themeColor="text1"/>
                <w:sz w:val="18"/>
                <w:szCs w:val="18"/>
              </w:rPr>
            </w:pPr>
            <w:r>
              <w:rPr>
                <w:color w:val="000000" w:themeColor="text1"/>
                <w:sz w:val="18"/>
                <w:szCs w:val="18"/>
              </w:rPr>
              <w:t>Medische goederen, zoals persoonlijke EHBO-pakketten en medicijnen</w:t>
            </w:r>
          </w:p>
          <w:p w:rsidR="00A13329" w:rsidP="00A13329" w:rsidRDefault="00A13329" w14:paraId="0EBF80BE" w14:textId="77777777">
            <w:pPr>
              <w:pStyle w:val="Default"/>
              <w:numPr>
                <w:ilvl w:val="0"/>
                <w:numId w:val="21"/>
              </w:numPr>
              <w:adjustRightInd/>
              <w:spacing w:line="276" w:lineRule="auto"/>
              <w:rPr>
                <w:i/>
                <w:color w:val="000000" w:themeColor="text1"/>
                <w:sz w:val="18"/>
                <w:szCs w:val="18"/>
              </w:rPr>
            </w:pPr>
            <w:r>
              <w:rPr>
                <w:color w:val="000000" w:themeColor="text1"/>
                <w:sz w:val="18"/>
                <w:szCs w:val="18"/>
              </w:rPr>
              <w:t>Brandstoffen</w:t>
            </w:r>
          </w:p>
        </w:tc>
      </w:tr>
    </w:tbl>
    <w:p w:rsidRPr="00697BA5" w:rsidR="00A13329" w:rsidP="00A13329" w:rsidRDefault="00A13329" w14:paraId="0AEE8262" w14:textId="77777777">
      <w:pPr>
        <w:spacing w:after="0" w:line="276" w:lineRule="auto"/>
        <w:rPr>
          <w:i/>
        </w:rPr>
      </w:pPr>
    </w:p>
    <w:p w:rsidRPr="00697BA5" w:rsidR="00A13329" w:rsidP="00A13329" w:rsidRDefault="00A13329" w14:paraId="7B0CA29E" w14:textId="74ED7491">
      <w:pPr>
        <w:spacing w:after="0" w:line="276" w:lineRule="auto"/>
        <w:rPr>
          <w:i/>
        </w:rPr>
      </w:pPr>
      <w:r w:rsidRPr="00697BA5">
        <w:rPr>
          <w:i/>
        </w:rPr>
        <w:t>Financiële stand van zaken levering van militaire goederen</w:t>
      </w:r>
    </w:p>
    <w:p w:rsidRPr="00697BA5" w:rsidR="00A13329" w:rsidP="00A13329" w:rsidRDefault="00A13329" w14:paraId="2EC7905E" w14:textId="4D4834D3">
      <w:pPr>
        <w:spacing w:after="0" w:line="276" w:lineRule="auto"/>
      </w:pPr>
      <w:r w:rsidRPr="00697BA5">
        <w:t xml:space="preserve">De totale waarde van de geleverde militaire steun aan Oekraïne bedroeg op </w:t>
      </w:r>
      <w:r w:rsidR="00E61511">
        <w:t xml:space="preserve">29 september </w:t>
      </w:r>
      <w:r w:rsidRPr="00697BA5">
        <w:t>2024 ongeveer 3,</w:t>
      </w:r>
      <w:r w:rsidRPr="00697BA5" w:rsidR="00697BA5">
        <w:t>7</w:t>
      </w:r>
      <w:r w:rsidR="00E61511">
        <w:t>6</w:t>
      </w:r>
      <w:r w:rsidRPr="00697BA5">
        <w:t xml:space="preserve"> miljard euro. Dit is een toename van ca. </w:t>
      </w:r>
      <w:r w:rsidRPr="00697BA5" w:rsidR="00697BA5">
        <w:t>6</w:t>
      </w:r>
      <w:r w:rsidR="007239C0">
        <w:t>8</w:t>
      </w:r>
      <w:r w:rsidR="00395828">
        <w:t>3</w:t>
      </w:r>
      <w:r w:rsidRPr="00697BA5" w:rsidR="00697BA5">
        <w:t xml:space="preserve"> </w:t>
      </w:r>
      <w:r w:rsidRPr="00697BA5" w:rsidR="00001972">
        <w:t>mln. euro ten opzichte van 5</w:t>
      </w:r>
      <w:r w:rsidRPr="00697BA5">
        <w:t xml:space="preserve"> </w:t>
      </w:r>
      <w:r w:rsidRPr="00697BA5" w:rsidR="00001972">
        <w:t>juni jl. (Kamerstuk 22 054, nr. 420</w:t>
      </w:r>
      <w:r w:rsidRPr="00697BA5">
        <w:t>). De Nederlandse steun bestaat uit:</w:t>
      </w:r>
    </w:p>
    <w:p w:rsidRPr="00697BA5" w:rsidR="00A13329" w:rsidP="00A13329" w:rsidRDefault="00A13329" w14:paraId="38FA417D" w14:textId="77777777">
      <w:pPr>
        <w:spacing w:after="0" w:line="276" w:lineRule="auto"/>
      </w:pPr>
    </w:p>
    <w:tbl>
      <w:tblPr>
        <w:tblStyle w:val="Tabelraster"/>
        <w:tblW w:w="0" w:type="auto"/>
        <w:tblBorders>
          <w:left w:val="nil"/>
          <w:right w:val="nil"/>
        </w:tblBorders>
        <w:tblLook w:val="04A0" w:firstRow="1" w:lastRow="0" w:firstColumn="1" w:lastColumn="0" w:noHBand="0" w:noVBand="1"/>
      </w:tblPr>
      <w:tblGrid>
        <w:gridCol w:w="3402"/>
        <w:gridCol w:w="704"/>
        <w:gridCol w:w="1276"/>
        <w:gridCol w:w="850"/>
        <w:gridCol w:w="1241"/>
      </w:tblGrid>
      <w:tr w:rsidRPr="00697BA5" w:rsidR="00697BA5" w:rsidTr="00A75997" w14:paraId="0F150A81" w14:textId="77777777">
        <w:tc>
          <w:tcPr>
            <w:tcW w:w="3402" w:type="dxa"/>
            <w:tcBorders>
              <w:top w:val="single" w:color="auto" w:sz="4" w:space="0"/>
              <w:bottom w:val="single" w:color="auto" w:sz="4" w:space="0"/>
              <w:right w:val="nil"/>
            </w:tcBorders>
          </w:tcPr>
          <w:p w:rsidRPr="00697BA5" w:rsidR="00A13329" w:rsidP="00A13329" w:rsidRDefault="00A13329" w14:paraId="73AF1BFE" w14:textId="77777777">
            <w:pPr>
              <w:spacing w:after="0" w:line="276" w:lineRule="auto"/>
              <w:rPr>
                <w:b/>
              </w:rPr>
            </w:pPr>
            <w:r w:rsidRPr="00697BA5">
              <w:rPr>
                <w:b/>
              </w:rPr>
              <w:t>Type steun</w:t>
            </w:r>
          </w:p>
        </w:tc>
        <w:tc>
          <w:tcPr>
            <w:tcW w:w="1980" w:type="dxa"/>
            <w:gridSpan w:val="2"/>
            <w:tcBorders>
              <w:top w:val="single" w:color="auto" w:sz="4" w:space="0"/>
              <w:left w:val="nil"/>
              <w:bottom w:val="single" w:color="auto" w:sz="4" w:space="0"/>
              <w:right w:val="nil"/>
            </w:tcBorders>
          </w:tcPr>
          <w:p w:rsidRPr="00697BA5" w:rsidR="00A13329" w:rsidP="00697BA5" w:rsidRDefault="006A03E6" w14:paraId="1FD1D955" w14:textId="273B3275">
            <w:pPr>
              <w:spacing w:after="0" w:line="276" w:lineRule="auto"/>
              <w:jc w:val="right"/>
              <w:rPr>
                <w:b/>
              </w:rPr>
            </w:pPr>
            <w:r>
              <w:rPr>
                <w:b/>
              </w:rPr>
              <w:t>29</w:t>
            </w:r>
            <w:r w:rsidRPr="00697BA5" w:rsidR="00A13329">
              <w:rPr>
                <w:b/>
              </w:rPr>
              <w:t xml:space="preserve"> </w:t>
            </w:r>
            <w:r w:rsidRPr="00697BA5" w:rsidR="00697BA5">
              <w:rPr>
                <w:b/>
              </w:rPr>
              <w:t xml:space="preserve">sept. </w:t>
            </w:r>
            <w:r w:rsidRPr="00697BA5" w:rsidR="00A13329">
              <w:rPr>
                <w:b/>
              </w:rPr>
              <w:t>2024</w:t>
            </w:r>
          </w:p>
        </w:tc>
        <w:tc>
          <w:tcPr>
            <w:tcW w:w="2091" w:type="dxa"/>
            <w:gridSpan w:val="2"/>
            <w:tcBorders>
              <w:top w:val="single" w:color="auto" w:sz="4" w:space="0"/>
              <w:left w:val="nil"/>
              <w:bottom w:val="single" w:color="auto" w:sz="4" w:space="0"/>
            </w:tcBorders>
          </w:tcPr>
          <w:p w:rsidRPr="00697BA5" w:rsidR="00A13329" w:rsidP="00807154" w:rsidRDefault="00807154" w14:paraId="508B67AC" w14:textId="69D8D0A5">
            <w:pPr>
              <w:spacing w:after="0" w:line="276" w:lineRule="auto"/>
              <w:jc w:val="right"/>
              <w:rPr>
                <w:b/>
              </w:rPr>
            </w:pPr>
            <w:r w:rsidRPr="00697BA5">
              <w:rPr>
                <w:b/>
              </w:rPr>
              <w:t xml:space="preserve"> 5</w:t>
            </w:r>
            <w:r w:rsidRPr="00697BA5" w:rsidR="00A13329">
              <w:rPr>
                <w:b/>
              </w:rPr>
              <w:t xml:space="preserve"> </w:t>
            </w:r>
            <w:r w:rsidRPr="00697BA5">
              <w:rPr>
                <w:b/>
              </w:rPr>
              <w:t>juni</w:t>
            </w:r>
            <w:r w:rsidRPr="00697BA5" w:rsidR="00A13329">
              <w:rPr>
                <w:b/>
              </w:rPr>
              <w:t xml:space="preserve"> 202</w:t>
            </w:r>
            <w:r w:rsidR="00D260CE">
              <w:rPr>
                <w:b/>
              </w:rPr>
              <w:t>4</w:t>
            </w:r>
          </w:p>
        </w:tc>
      </w:tr>
      <w:tr w:rsidRPr="00697BA5" w:rsidR="00697BA5" w:rsidTr="00A75997" w14:paraId="7A4F51B9" w14:textId="77777777">
        <w:tc>
          <w:tcPr>
            <w:tcW w:w="3402" w:type="dxa"/>
            <w:tcBorders>
              <w:top w:val="single" w:color="auto" w:sz="4" w:space="0"/>
              <w:bottom w:val="nil"/>
              <w:right w:val="nil"/>
            </w:tcBorders>
          </w:tcPr>
          <w:p w:rsidRPr="00697BA5" w:rsidR="00A13329" w:rsidP="00A13329" w:rsidRDefault="00A13329" w14:paraId="3540A23F" w14:textId="77777777">
            <w:pPr>
              <w:spacing w:after="0" w:line="276" w:lineRule="auto"/>
            </w:pPr>
            <w:r w:rsidRPr="00697BA5">
              <w:t>Directe levering (vervangingswaarde)</w:t>
            </w:r>
          </w:p>
        </w:tc>
        <w:tc>
          <w:tcPr>
            <w:tcW w:w="704" w:type="dxa"/>
            <w:tcBorders>
              <w:top w:val="single" w:color="auto" w:sz="4" w:space="0"/>
              <w:left w:val="nil"/>
              <w:bottom w:val="nil"/>
              <w:right w:val="nil"/>
            </w:tcBorders>
          </w:tcPr>
          <w:p w:rsidRPr="00697BA5" w:rsidR="00A13329" w:rsidP="00A13329" w:rsidRDefault="00A13329" w14:paraId="0B9D2B3F" w14:textId="77777777">
            <w:pPr>
              <w:spacing w:after="0" w:line="276" w:lineRule="auto"/>
              <w:jc w:val="right"/>
            </w:pPr>
            <w:r w:rsidRPr="00697BA5">
              <w:t xml:space="preserve">€ </w:t>
            </w:r>
          </w:p>
        </w:tc>
        <w:tc>
          <w:tcPr>
            <w:tcW w:w="1276" w:type="dxa"/>
            <w:tcBorders>
              <w:top w:val="single" w:color="auto" w:sz="4" w:space="0"/>
              <w:left w:val="nil"/>
              <w:bottom w:val="nil"/>
              <w:right w:val="nil"/>
            </w:tcBorders>
          </w:tcPr>
          <w:p w:rsidRPr="00697BA5" w:rsidR="00A13329" w:rsidP="00A13329" w:rsidRDefault="00697BA5" w14:paraId="2790D9FE" w14:textId="073C7661">
            <w:pPr>
              <w:spacing w:after="0" w:line="276" w:lineRule="auto"/>
              <w:jc w:val="right"/>
            </w:pPr>
            <w:r w:rsidRPr="00697BA5">
              <w:t>1,64</w:t>
            </w:r>
            <w:r w:rsidRPr="00697BA5" w:rsidR="00A13329">
              <w:t xml:space="preserve"> mld.</w:t>
            </w:r>
          </w:p>
        </w:tc>
        <w:tc>
          <w:tcPr>
            <w:tcW w:w="850" w:type="dxa"/>
            <w:tcBorders>
              <w:top w:val="single" w:color="auto" w:sz="4" w:space="0"/>
              <w:left w:val="nil"/>
              <w:bottom w:val="nil"/>
              <w:right w:val="nil"/>
            </w:tcBorders>
          </w:tcPr>
          <w:p w:rsidRPr="00697BA5" w:rsidR="00A13329" w:rsidP="00A13329" w:rsidRDefault="00A13329" w14:paraId="7B07B166" w14:textId="77777777">
            <w:pPr>
              <w:spacing w:after="0" w:line="276" w:lineRule="auto"/>
              <w:jc w:val="right"/>
            </w:pPr>
            <w:r w:rsidRPr="00697BA5">
              <w:t>€</w:t>
            </w:r>
          </w:p>
        </w:tc>
        <w:tc>
          <w:tcPr>
            <w:tcW w:w="1241" w:type="dxa"/>
            <w:tcBorders>
              <w:top w:val="single" w:color="auto" w:sz="4" w:space="0"/>
              <w:left w:val="nil"/>
              <w:bottom w:val="nil"/>
            </w:tcBorders>
          </w:tcPr>
          <w:p w:rsidRPr="00697BA5" w:rsidR="00A13329" w:rsidP="00A13329" w:rsidRDefault="00807154" w14:paraId="712D84DF" w14:textId="5E5FF7C8">
            <w:pPr>
              <w:spacing w:after="0" w:line="276" w:lineRule="auto"/>
              <w:jc w:val="right"/>
            </w:pPr>
            <w:r w:rsidRPr="00697BA5">
              <w:t>1,52</w:t>
            </w:r>
            <w:r w:rsidRPr="00697BA5" w:rsidR="00A13329">
              <w:t xml:space="preserve"> mld.</w:t>
            </w:r>
          </w:p>
        </w:tc>
      </w:tr>
      <w:tr w:rsidRPr="00697BA5" w:rsidR="00697BA5" w:rsidTr="00A75997" w14:paraId="2AF30317" w14:textId="77777777">
        <w:tc>
          <w:tcPr>
            <w:tcW w:w="3402" w:type="dxa"/>
            <w:tcBorders>
              <w:top w:val="nil"/>
              <w:bottom w:val="nil"/>
              <w:right w:val="nil"/>
            </w:tcBorders>
          </w:tcPr>
          <w:p w:rsidRPr="00697BA5" w:rsidR="00A13329" w:rsidP="00A13329" w:rsidRDefault="00A13329" w14:paraId="4FFF2A01" w14:textId="312695D1">
            <w:pPr>
              <w:spacing w:after="0" w:line="276" w:lineRule="auto"/>
            </w:pPr>
            <w:r w:rsidRPr="00697BA5">
              <w:t>Commerciële levering</w:t>
            </w:r>
            <w:r w:rsidR="00640CB1">
              <w:rPr>
                <w:rStyle w:val="Voetnootmarkering"/>
              </w:rPr>
              <w:footnoteReference w:id="4"/>
            </w:r>
          </w:p>
        </w:tc>
        <w:tc>
          <w:tcPr>
            <w:tcW w:w="704" w:type="dxa"/>
            <w:tcBorders>
              <w:top w:val="nil"/>
              <w:left w:val="nil"/>
              <w:bottom w:val="nil"/>
              <w:right w:val="nil"/>
            </w:tcBorders>
          </w:tcPr>
          <w:p w:rsidRPr="00697BA5" w:rsidR="00A13329" w:rsidP="00A13329" w:rsidRDefault="00A13329" w14:paraId="0AFB55B0" w14:textId="77777777">
            <w:pPr>
              <w:spacing w:after="0" w:line="276" w:lineRule="auto"/>
              <w:jc w:val="right"/>
            </w:pPr>
            <w:r w:rsidRPr="00697BA5">
              <w:t xml:space="preserve">€ </w:t>
            </w:r>
          </w:p>
        </w:tc>
        <w:tc>
          <w:tcPr>
            <w:tcW w:w="1276" w:type="dxa"/>
            <w:tcBorders>
              <w:top w:val="nil"/>
              <w:left w:val="nil"/>
              <w:bottom w:val="nil"/>
              <w:right w:val="nil"/>
            </w:tcBorders>
          </w:tcPr>
          <w:p w:rsidRPr="00697BA5" w:rsidR="00A13329" w:rsidP="00A13329" w:rsidRDefault="00697BA5" w14:paraId="6712F4F0" w14:textId="250B82FB">
            <w:pPr>
              <w:spacing w:after="0" w:line="276" w:lineRule="auto"/>
              <w:jc w:val="right"/>
            </w:pPr>
            <w:r w:rsidRPr="00697BA5">
              <w:t>2,0</w:t>
            </w:r>
            <w:r w:rsidR="00C017D6">
              <w:t>2</w:t>
            </w:r>
            <w:r w:rsidRPr="00697BA5" w:rsidR="00A13329">
              <w:t xml:space="preserve"> mld.</w:t>
            </w:r>
          </w:p>
        </w:tc>
        <w:tc>
          <w:tcPr>
            <w:tcW w:w="850" w:type="dxa"/>
            <w:tcBorders>
              <w:top w:val="nil"/>
              <w:left w:val="nil"/>
              <w:bottom w:val="nil"/>
              <w:right w:val="nil"/>
            </w:tcBorders>
          </w:tcPr>
          <w:p w:rsidRPr="00697BA5" w:rsidR="00A13329" w:rsidP="00A13329" w:rsidRDefault="00A13329" w14:paraId="5D4B7746" w14:textId="77777777">
            <w:pPr>
              <w:spacing w:after="0" w:line="276" w:lineRule="auto"/>
              <w:jc w:val="right"/>
            </w:pPr>
            <w:r w:rsidRPr="00697BA5">
              <w:t>€</w:t>
            </w:r>
          </w:p>
        </w:tc>
        <w:tc>
          <w:tcPr>
            <w:tcW w:w="1241" w:type="dxa"/>
            <w:tcBorders>
              <w:top w:val="nil"/>
              <w:left w:val="nil"/>
              <w:bottom w:val="nil"/>
            </w:tcBorders>
          </w:tcPr>
          <w:p w:rsidRPr="00697BA5" w:rsidR="00A13329" w:rsidP="00A13329" w:rsidRDefault="00807154" w14:paraId="332B9B56" w14:textId="2448455A">
            <w:pPr>
              <w:spacing w:after="0" w:line="276" w:lineRule="auto"/>
              <w:jc w:val="right"/>
            </w:pPr>
            <w:r w:rsidRPr="00697BA5">
              <w:t>1,35 mld</w:t>
            </w:r>
            <w:r w:rsidRPr="00697BA5" w:rsidR="00A13329">
              <w:t>.</w:t>
            </w:r>
          </w:p>
        </w:tc>
      </w:tr>
      <w:tr w:rsidRPr="00697BA5" w:rsidR="00697BA5" w:rsidTr="00A75997" w14:paraId="1E6A55A8" w14:textId="77777777">
        <w:tc>
          <w:tcPr>
            <w:tcW w:w="3402" w:type="dxa"/>
            <w:tcBorders>
              <w:top w:val="nil"/>
              <w:bottom w:val="single" w:color="auto" w:sz="4" w:space="0"/>
              <w:right w:val="nil"/>
            </w:tcBorders>
          </w:tcPr>
          <w:p w:rsidRPr="00697BA5" w:rsidR="00A13329" w:rsidP="00A13329" w:rsidRDefault="00A13329" w14:paraId="07080140" w14:textId="77777777">
            <w:pPr>
              <w:spacing w:after="0" w:line="276" w:lineRule="auto"/>
            </w:pPr>
            <w:r w:rsidRPr="00697BA5">
              <w:t>NAVO-</w:t>
            </w:r>
            <w:r w:rsidRPr="00697BA5">
              <w:rPr>
                <w:i/>
              </w:rPr>
              <w:t>trustfund</w:t>
            </w:r>
          </w:p>
        </w:tc>
        <w:tc>
          <w:tcPr>
            <w:tcW w:w="704" w:type="dxa"/>
            <w:tcBorders>
              <w:top w:val="nil"/>
              <w:left w:val="nil"/>
              <w:bottom w:val="single" w:color="auto" w:sz="4" w:space="0"/>
              <w:right w:val="nil"/>
            </w:tcBorders>
          </w:tcPr>
          <w:p w:rsidRPr="00697BA5" w:rsidR="00A13329" w:rsidP="00A13329" w:rsidRDefault="00A13329" w14:paraId="5924AE18" w14:textId="77777777">
            <w:pPr>
              <w:spacing w:after="0" w:line="276" w:lineRule="auto"/>
              <w:jc w:val="right"/>
            </w:pPr>
            <w:r w:rsidRPr="00697BA5">
              <w:t xml:space="preserve">€ </w:t>
            </w:r>
          </w:p>
        </w:tc>
        <w:tc>
          <w:tcPr>
            <w:tcW w:w="1276" w:type="dxa"/>
            <w:tcBorders>
              <w:top w:val="nil"/>
              <w:left w:val="nil"/>
              <w:bottom w:val="single" w:color="auto" w:sz="4" w:space="0"/>
              <w:right w:val="nil"/>
            </w:tcBorders>
          </w:tcPr>
          <w:p w:rsidRPr="00697BA5" w:rsidR="00A13329" w:rsidP="00A13329" w:rsidRDefault="00A13329" w14:paraId="6F37B13F" w14:textId="77777777">
            <w:pPr>
              <w:spacing w:after="0" w:line="276" w:lineRule="auto"/>
              <w:jc w:val="right"/>
            </w:pPr>
            <w:r w:rsidRPr="00697BA5">
              <w:t>100 mln.</w:t>
            </w:r>
          </w:p>
        </w:tc>
        <w:tc>
          <w:tcPr>
            <w:tcW w:w="850" w:type="dxa"/>
            <w:tcBorders>
              <w:top w:val="nil"/>
              <w:left w:val="nil"/>
              <w:bottom w:val="single" w:color="auto" w:sz="4" w:space="0"/>
              <w:right w:val="nil"/>
            </w:tcBorders>
          </w:tcPr>
          <w:p w:rsidRPr="00697BA5" w:rsidR="00A13329" w:rsidP="00A13329" w:rsidRDefault="00A13329" w14:paraId="4697B89F" w14:textId="77777777">
            <w:pPr>
              <w:spacing w:after="0" w:line="276" w:lineRule="auto"/>
              <w:jc w:val="right"/>
            </w:pPr>
            <w:r w:rsidRPr="00697BA5">
              <w:t>€</w:t>
            </w:r>
          </w:p>
        </w:tc>
        <w:tc>
          <w:tcPr>
            <w:tcW w:w="1241" w:type="dxa"/>
            <w:tcBorders>
              <w:top w:val="nil"/>
              <w:left w:val="nil"/>
              <w:bottom w:val="single" w:color="auto" w:sz="4" w:space="0"/>
            </w:tcBorders>
          </w:tcPr>
          <w:p w:rsidRPr="00697BA5" w:rsidR="00A13329" w:rsidP="00A13329" w:rsidRDefault="00A13329" w14:paraId="4592739E" w14:textId="77777777">
            <w:pPr>
              <w:spacing w:after="0" w:line="276" w:lineRule="auto"/>
              <w:jc w:val="right"/>
            </w:pPr>
            <w:r w:rsidRPr="00697BA5">
              <w:t>100 mln.</w:t>
            </w:r>
          </w:p>
        </w:tc>
      </w:tr>
      <w:tr w:rsidRPr="00697BA5" w:rsidR="00697BA5" w:rsidTr="00A75997" w14:paraId="5E7D8B7E" w14:textId="77777777">
        <w:tc>
          <w:tcPr>
            <w:tcW w:w="3402" w:type="dxa"/>
            <w:tcBorders>
              <w:top w:val="single" w:color="auto" w:sz="4" w:space="0"/>
              <w:bottom w:val="single" w:color="auto" w:sz="4" w:space="0"/>
              <w:right w:val="nil"/>
            </w:tcBorders>
          </w:tcPr>
          <w:p w:rsidRPr="00697BA5" w:rsidR="00A13329" w:rsidP="00A13329" w:rsidRDefault="00A13329" w14:paraId="7064DF07" w14:textId="77777777">
            <w:pPr>
              <w:spacing w:after="0" w:line="276" w:lineRule="auto"/>
              <w:rPr>
                <w:b/>
              </w:rPr>
            </w:pPr>
            <w:r w:rsidRPr="00697BA5">
              <w:rPr>
                <w:b/>
              </w:rPr>
              <w:t>Totaal</w:t>
            </w:r>
          </w:p>
        </w:tc>
        <w:tc>
          <w:tcPr>
            <w:tcW w:w="704" w:type="dxa"/>
            <w:tcBorders>
              <w:top w:val="single" w:color="auto" w:sz="4" w:space="0"/>
              <w:left w:val="nil"/>
              <w:bottom w:val="single" w:color="auto" w:sz="4" w:space="0"/>
              <w:right w:val="nil"/>
            </w:tcBorders>
          </w:tcPr>
          <w:p w:rsidRPr="00697BA5" w:rsidR="00A13329" w:rsidP="00A13329" w:rsidRDefault="00A13329" w14:paraId="68CCF6F1" w14:textId="77777777">
            <w:pPr>
              <w:spacing w:after="0" w:line="276" w:lineRule="auto"/>
              <w:jc w:val="right"/>
              <w:rPr>
                <w:b/>
              </w:rPr>
            </w:pPr>
            <w:r w:rsidRPr="00697BA5">
              <w:rPr>
                <w:b/>
              </w:rPr>
              <w:t xml:space="preserve">€ </w:t>
            </w:r>
          </w:p>
        </w:tc>
        <w:tc>
          <w:tcPr>
            <w:tcW w:w="1276" w:type="dxa"/>
            <w:tcBorders>
              <w:top w:val="single" w:color="auto" w:sz="4" w:space="0"/>
              <w:left w:val="nil"/>
              <w:bottom w:val="single" w:color="auto" w:sz="4" w:space="0"/>
              <w:right w:val="nil"/>
            </w:tcBorders>
          </w:tcPr>
          <w:p w:rsidRPr="00697BA5" w:rsidR="00A13329" w:rsidP="00A13329" w:rsidRDefault="00697BA5" w14:paraId="1A2A6EDE" w14:textId="45AC8DCE">
            <w:pPr>
              <w:spacing w:after="0" w:line="276" w:lineRule="auto"/>
              <w:jc w:val="right"/>
              <w:rPr>
                <w:b/>
              </w:rPr>
            </w:pPr>
            <w:r w:rsidRPr="00697BA5">
              <w:rPr>
                <w:b/>
              </w:rPr>
              <w:t>3,7</w:t>
            </w:r>
            <w:r w:rsidR="00C017D6">
              <w:rPr>
                <w:b/>
              </w:rPr>
              <w:t>6</w:t>
            </w:r>
            <w:r w:rsidRPr="00697BA5" w:rsidR="00A13329">
              <w:rPr>
                <w:b/>
              </w:rPr>
              <w:t xml:space="preserve"> mld.</w:t>
            </w:r>
          </w:p>
        </w:tc>
        <w:tc>
          <w:tcPr>
            <w:tcW w:w="850" w:type="dxa"/>
            <w:tcBorders>
              <w:top w:val="single" w:color="auto" w:sz="4" w:space="0"/>
              <w:left w:val="nil"/>
              <w:bottom w:val="single" w:color="auto" w:sz="4" w:space="0"/>
              <w:right w:val="nil"/>
            </w:tcBorders>
          </w:tcPr>
          <w:p w:rsidRPr="00697BA5" w:rsidR="00A13329" w:rsidP="00A13329" w:rsidRDefault="00A13329" w14:paraId="68EC0307" w14:textId="77777777">
            <w:pPr>
              <w:spacing w:after="0" w:line="276" w:lineRule="auto"/>
              <w:jc w:val="right"/>
              <w:rPr>
                <w:b/>
              </w:rPr>
            </w:pPr>
            <w:r w:rsidRPr="00697BA5">
              <w:t>€</w:t>
            </w:r>
          </w:p>
        </w:tc>
        <w:tc>
          <w:tcPr>
            <w:tcW w:w="1241" w:type="dxa"/>
            <w:tcBorders>
              <w:top w:val="single" w:color="auto" w:sz="4" w:space="0"/>
              <w:left w:val="nil"/>
              <w:bottom w:val="single" w:color="auto" w:sz="4" w:space="0"/>
            </w:tcBorders>
          </w:tcPr>
          <w:p w:rsidRPr="00697BA5" w:rsidR="00A13329" w:rsidP="00A13329" w:rsidRDefault="00807154" w14:paraId="413D0F37" w14:textId="3C711858">
            <w:pPr>
              <w:spacing w:after="0" w:line="276" w:lineRule="auto"/>
              <w:jc w:val="right"/>
              <w:rPr>
                <w:b/>
              </w:rPr>
            </w:pPr>
            <w:r w:rsidRPr="00697BA5">
              <w:rPr>
                <w:b/>
              </w:rPr>
              <w:t>3,1</w:t>
            </w:r>
            <w:r w:rsidRPr="00697BA5" w:rsidR="00A13329">
              <w:rPr>
                <w:b/>
              </w:rPr>
              <w:t xml:space="preserve"> mld.</w:t>
            </w:r>
          </w:p>
        </w:tc>
      </w:tr>
    </w:tbl>
    <w:p w:rsidRPr="00697BA5" w:rsidR="00A13329" w:rsidP="00A13329" w:rsidRDefault="00A13329" w14:paraId="115D4ACD" w14:textId="77777777">
      <w:pPr>
        <w:spacing w:after="0" w:line="276" w:lineRule="auto"/>
      </w:pPr>
    </w:p>
    <w:p w:rsidRPr="00697BA5" w:rsidR="00A13329" w:rsidP="00A13329" w:rsidRDefault="00A13329" w14:paraId="430B4EC6" w14:textId="07C901A3">
      <w:pPr>
        <w:pStyle w:val="Lijstalinea"/>
        <w:numPr>
          <w:ilvl w:val="0"/>
          <w:numId w:val="19"/>
        </w:numPr>
        <w:suppressAutoHyphens w:val="0"/>
        <w:autoSpaceDN/>
        <w:spacing w:after="0" w:line="276" w:lineRule="auto"/>
        <w:contextualSpacing w:val="0"/>
        <w:textAlignment w:val="auto"/>
        <w:rPr>
          <w:szCs w:val="18"/>
        </w:rPr>
      </w:pPr>
      <w:r w:rsidRPr="00697BA5">
        <w:rPr>
          <w:i/>
          <w:szCs w:val="18"/>
        </w:rPr>
        <w:t>Directe levering</w:t>
      </w:r>
      <w:r w:rsidRPr="00697BA5">
        <w:rPr>
          <w:szCs w:val="18"/>
        </w:rPr>
        <w:t>: Defensie zal het geleverde materieel waar nodig zo spoedig mogelijk aanvullen of vervangen. De totale vervangingswaarde van</w:t>
      </w:r>
      <w:r w:rsidRPr="00697BA5" w:rsidR="00807154">
        <w:rPr>
          <w:szCs w:val="18"/>
        </w:rPr>
        <w:t xml:space="preserve"> de materiële steun bedroeg op </w:t>
      </w:r>
      <w:r w:rsidR="006A03E6">
        <w:rPr>
          <w:szCs w:val="18"/>
        </w:rPr>
        <w:t>29</w:t>
      </w:r>
      <w:r w:rsidRPr="00697BA5" w:rsidR="00697BA5">
        <w:rPr>
          <w:szCs w:val="18"/>
        </w:rPr>
        <w:t xml:space="preserve"> september</w:t>
      </w:r>
      <w:r w:rsidRPr="00697BA5">
        <w:rPr>
          <w:szCs w:val="18"/>
        </w:rPr>
        <w:t xml:space="preserve"> 2024 in totaal circa 1,</w:t>
      </w:r>
      <w:r w:rsidRPr="00697BA5" w:rsidR="00697BA5">
        <w:rPr>
          <w:szCs w:val="18"/>
        </w:rPr>
        <w:t>64</w:t>
      </w:r>
      <w:r w:rsidRPr="00697BA5" w:rsidR="00697BA5">
        <w:rPr>
          <w:b/>
          <w:szCs w:val="18"/>
        </w:rPr>
        <w:t xml:space="preserve"> </w:t>
      </w:r>
      <w:r w:rsidRPr="00697BA5">
        <w:rPr>
          <w:szCs w:val="18"/>
        </w:rPr>
        <w:t>miljard euro. In de vorige Kamer</w:t>
      </w:r>
      <w:r w:rsidRPr="00697BA5" w:rsidR="00807154">
        <w:rPr>
          <w:szCs w:val="18"/>
        </w:rPr>
        <w:t>brief (Kamerstuk 22 054, nr. 420, van 13 juni 2024</w:t>
      </w:r>
      <w:r w:rsidRPr="00697BA5">
        <w:rPr>
          <w:szCs w:val="18"/>
        </w:rPr>
        <w:t xml:space="preserve">) stond de totale vervangingswaarde van de materiële steun op </w:t>
      </w:r>
      <w:r w:rsidRPr="00697BA5" w:rsidR="00807154">
        <w:rPr>
          <w:szCs w:val="18"/>
        </w:rPr>
        <w:t>1,52</w:t>
      </w:r>
      <w:r w:rsidRPr="00697BA5">
        <w:rPr>
          <w:szCs w:val="18"/>
        </w:rPr>
        <w:t xml:space="preserve"> miljard euro (peildatum </w:t>
      </w:r>
      <w:r w:rsidRPr="00697BA5" w:rsidR="00807154">
        <w:rPr>
          <w:szCs w:val="18"/>
        </w:rPr>
        <w:t xml:space="preserve">5 juni </w:t>
      </w:r>
      <w:r w:rsidRPr="00697BA5" w:rsidR="00C078B7">
        <w:rPr>
          <w:szCs w:val="18"/>
        </w:rPr>
        <w:t>2024</w:t>
      </w:r>
      <w:r w:rsidRPr="00697BA5">
        <w:rPr>
          <w:szCs w:val="18"/>
        </w:rPr>
        <w:t>).</w:t>
      </w:r>
    </w:p>
    <w:p w:rsidR="00A13329" w:rsidP="00A13329" w:rsidRDefault="00A13329" w14:paraId="23D9D387" w14:textId="6BDDC01A">
      <w:pPr>
        <w:pStyle w:val="Lijstalinea"/>
        <w:numPr>
          <w:ilvl w:val="0"/>
          <w:numId w:val="19"/>
        </w:numPr>
        <w:suppressAutoHyphens w:val="0"/>
        <w:autoSpaceDN/>
        <w:spacing w:after="0" w:line="276" w:lineRule="auto"/>
        <w:contextualSpacing w:val="0"/>
        <w:textAlignment w:val="auto"/>
        <w:rPr>
          <w:szCs w:val="18"/>
        </w:rPr>
      </w:pPr>
      <w:r w:rsidRPr="00697BA5">
        <w:rPr>
          <w:i/>
          <w:szCs w:val="18"/>
        </w:rPr>
        <w:t>Commerciële levering</w:t>
      </w:r>
      <w:r w:rsidRPr="00697BA5">
        <w:rPr>
          <w:szCs w:val="18"/>
        </w:rPr>
        <w:t xml:space="preserve">: De waarde van de commercieel verworven militaire goederen ten behoeve van Oekraïne bedraagt op dit moment circa </w:t>
      </w:r>
      <w:r w:rsidRPr="00697BA5" w:rsidR="00697BA5">
        <w:rPr>
          <w:szCs w:val="18"/>
        </w:rPr>
        <w:t>2,0</w:t>
      </w:r>
      <w:r w:rsidR="009E1207">
        <w:rPr>
          <w:szCs w:val="18"/>
        </w:rPr>
        <w:t>2</w:t>
      </w:r>
      <w:r w:rsidRPr="00697BA5">
        <w:rPr>
          <w:szCs w:val="18"/>
        </w:rPr>
        <w:t xml:space="preserve"> miljard euro (t.o.v. </w:t>
      </w:r>
      <w:r w:rsidRPr="00697BA5" w:rsidR="00807154">
        <w:rPr>
          <w:szCs w:val="18"/>
        </w:rPr>
        <w:t>1,3</w:t>
      </w:r>
      <w:r w:rsidR="00640CB1">
        <w:rPr>
          <w:szCs w:val="18"/>
        </w:rPr>
        <w:t>5</w:t>
      </w:r>
      <w:r w:rsidRPr="00697BA5" w:rsidR="00807154">
        <w:rPr>
          <w:szCs w:val="18"/>
        </w:rPr>
        <w:t xml:space="preserve"> miljard op 5 juni 2024</w:t>
      </w:r>
      <w:r w:rsidRPr="00697BA5">
        <w:rPr>
          <w:szCs w:val="18"/>
        </w:rPr>
        <w:t xml:space="preserve">.). </w:t>
      </w:r>
      <w:r w:rsidRPr="00697BA5" w:rsidR="00001972">
        <w:rPr>
          <w:szCs w:val="18"/>
        </w:rPr>
        <w:t>R</w:t>
      </w:r>
      <w:r w:rsidRPr="00697BA5">
        <w:rPr>
          <w:szCs w:val="18"/>
        </w:rPr>
        <w:t xml:space="preserve">ecent aangekondigde bijdragen voor </w:t>
      </w:r>
      <w:r w:rsidRPr="00697BA5" w:rsidR="00001972">
        <w:rPr>
          <w:szCs w:val="18"/>
        </w:rPr>
        <w:t xml:space="preserve">internationale </w:t>
      </w:r>
      <w:r w:rsidR="00001972">
        <w:rPr>
          <w:szCs w:val="18"/>
        </w:rPr>
        <w:t>samenwerkingsprojecten of specifieke donaties die commercieel worden verworven</w:t>
      </w:r>
      <w:r w:rsidR="00E54970">
        <w:rPr>
          <w:szCs w:val="18"/>
        </w:rPr>
        <w:t>,</w:t>
      </w:r>
      <w:r w:rsidR="00001972">
        <w:rPr>
          <w:szCs w:val="18"/>
        </w:rPr>
        <w:t xml:space="preserve"> worden</w:t>
      </w:r>
      <w:r>
        <w:rPr>
          <w:szCs w:val="18"/>
        </w:rPr>
        <w:t xml:space="preserve"> na realisatie bij de commerciële leveringen opgeteld. </w:t>
      </w:r>
      <w:r w:rsidR="006A03E6">
        <w:rPr>
          <w:szCs w:val="18"/>
        </w:rPr>
        <w:t>De realisatie betreft in deze gevallen de betaling aan het samenwerkingsproject. De levering via dit project aan Oekraïne zal op een later moment plaatsvinden. Defensie houdt hier zicht op.</w:t>
      </w:r>
    </w:p>
    <w:p w:rsidR="00A13329" w:rsidP="00A13329" w:rsidRDefault="00A13329" w14:paraId="7694B476" w14:textId="50186167">
      <w:pPr>
        <w:pStyle w:val="Lijstalinea"/>
        <w:numPr>
          <w:ilvl w:val="0"/>
          <w:numId w:val="19"/>
        </w:numPr>
        <w:suppressAutoHyphens w:val="0"/>
        <w:autoSpaceDN/>
        <w:spacing w:after="0" w:line="276" w:lineRule="auto"/>
        <w:contextualSpacing w:val="0"/>
        <w:textAlignment w:val="auto"/>
        <w:rPr>
          <w:szCs w:val="18"/>
        </w:rPr>
      </w:pPr>
      <w:r w:rsidRPr="00885BE4">
        <w:rPr>
          <w:i/>
          <w:szCs w:val="18"/>
        </w:rPr>
        <w:lastRenderedPageBreak/>
        <w:t>Luchtverdediging</w:t>
      </w:r>
      <w:r w:rsidRPr="00885BE4">
        <w:rPr>
          <w:szCs w:val="18"/>
        </w:rPr>
        <w:t xml:space="preserve">: </w:t>
      </w:r>
      <w:r w:rsidR="00640CB1">
        <w:rPr>
          <w:szCs w:val="18"/>
        </w:rPr>
        <w:t>Aanvullend op het</w:t>
      </w:r>
      <w:r>
        <w:rPr>
          <w:szCs w:val="18"/>
        </w:rPr>
        <w:t xml:space="preserve"> Patriot initiatief</w:t>
      </w:r>
      <w:r w:rsidR="00640CB1">
        <w:rPr>
          <w:szCs w:val="18"/>
        </w:rPr>
        <w:t xml:space="preserve"> </w:t>
      </w:r>
      <w:r w:rsidR="00D260CE">
        <w:rPr>
          <w:szCs w:val="18"/>
        </w:rPr>
        <w:t>draagt</w:t>
      </w:r>
      <w:r w:rsidR="00640CB1">
        <w:rPr>
          <w:szCs w:val="18"/>
        </w:rPr>
        <w:t xml:space="preserve"> NLD</w:t>
      </w:r>
      <w:r w:rsidR="00907E0E">
        <w:rPr>
          <w:szCs w:val="18"/>
        </w:rPr>
        <w:t xml:space="preserve"> </w:t>
      </w:r>
      <w:r w:rsidR="007D4B04">
        <w:rPr>
          <w:szCs w:val="18"/>
        </w:rPr>
        <w:t>150 miljoen euro bij</w:t>
      </w:r>
      <w:r>
        <w:rPr>
          <w:szCs w:val="18"/>
        </w:rPr>
        <w:t xml:space="preserve"> aan het Duits geleide </w:t>
      </w:r>
      <w:proofErr w:type="spellStart"/>
      <w:r>
        <w:rPr>
          <w:i/>
          <w:szCs w:val="18"/>
        </w:rPr>
        <w:t>Immediate</w:t>
      </w:r>
      <w:proofErr w:type="spellEnd"/>
      <w:r>
        <w:rPr>
          <w:i/>
          <w:szCs w:val="18"/>
        </w:rPr>
        <w:t xml:space="preserve"> Action on Air </w:t>
      </w:r>
      <w:proofErr w:type="spellStart"/>
      <w:r>
        <w:rPr>
          <w:i/>
          <w:szCs w:val="18"/>
        </w:rPr>
        <w:t>Defence</w:t>
      </w:r>
      <w:proofErr w:type="spellEnd"/>
      <w:r>
        <w:rPr>
          <w:szCs w:val="18"/>
        </w:rPr>
        <w:t xml:space="preserve"> (IAAD) initiatief. Nederland </w:t>
      </w:r>
      <w:r w:rsidR="00D260CE">
        <w:rPr>
          <w:szCs w:val="18"/>
        </w:rPr>
        <w:t>stelt</w:t>
      </w:r>
      <w:r>
        <w:rPr>
          <w:szCs w:val="18"/>
        </w:rPr>
        <w:t xml:space="preserve"> daarnaast </w:t>
      </w:r>
      <w:r w:rsidR="00D260CE">
        <w:rPr>
          <w:szCs w:val="18"/>
        </w:rPr>
        <w:t>ca.</w:t>
      </w:r>
      <w:r>
        <w:rPr>
          <w:szCs w:val="18"/>
        </w:rPr>
        <w:t xml:space="preserve"> 80 </w:t>
      </w:r>
      <w:r w:rsidR="007D4B04">
        <w:rPr>
          <w:szCs w:val="18"/>
        </w:rPr>
        <w:t>miljoen euro beschikbaar</w:t>
      </w:r>
      <w:r>
        <w:rPr>
          <w:szCs w:val="18"/>
        </w:rPr>
        <w:t xml:space="preserve"> voor luchtverdedigingsmiddelen voor de korte afstand voor Oekraïne.</w:t>
      </w:r>
    </w:p>
    <w:p w:rsidR="00A13329" w:rsidP="00F72F27" w:rsidRDefault="00A13329" w14:paraId="41DC0B94" w14:textId="49C279A0">
      <w:pPr>
        <w:pStyle w:val="Lijstalinea"/>
        <w:numPr>
          <w:ilvl w:val="0"/>
          <w:numId w:val="19"/>
        </w:numPr>
        <w:suppressAutoHyphens w:val="0"/>
        <w:autoSpaceDN/>
        <w:spacing w:after="0" w:line="276" w:lineRule="auto"/>
        <w:contextualSpacing w:val="0"/>
        <w:textAlignment w:val="auto"/>
        <w:rPr>
          <w:szCs w:val="18"/>
        </w:rPr>
      </w:pPr>
      <w:r>
        <w:rPr>
          <w:i/>
          <w:szCs w:val="18"/>
        </w:rPr>
        <w:t>Munitie</w:t>
      </w:r>
      <w:r>
        <w:rPr>
          <w:szCs w:val="18"/>
        </w:rPr>
        <w:t>: Nederland draagt 250 miljoen euro bij aan het Tsjechische artillerie-munitie initiatief (Kamerstuk 36045, nr. 177 van 1 maart 2024)</w:t>
      </w:r>
      <w:r w:rsidR="00F72F27">
        <w:rPr>
          <w:szCs w:val="18"/>
        </w:rPr>
        <w:t xml:space="preserve">. </w:t>
      </w:r>
      <w:r w:rsidR="007D4B04">
        <w:rPr>
          <w:szCs w:val="18"/>
        </w:rPr>
        <w:t>Tevens informeer ik hierbij uw K</w:t>
      </w:r>
      <w:r w:rsidR="006B6AE7">
        <w:rPr>
          <w:szCs w:val="18"/>
        </w:rPr>
        <w:t>amer dat d</w:t>
      </w:r>
      <w:r w:rsidR="00F72F27">
        <w:rPr>
          <w:szCs w:val="18"/>
        </w:rPr>
        <w:t xml:space="preserve">e reeds eerder aangekondigde bijdrage aan het Duitse artillerie initiatief (Kamerstuk 28676, nr. 452 van </w:t>
      </w:r>
      <w:r w:rsidR="006B6AE7">
        <w:rPr>
          <w:szCs w:val="18"/>
        </w:rPr>
        <w:t>28 februari 2024)</w:t>
      </w:r>
      <w:r w:rsidR="00EB3E8C">
        <w:rPr>
          <w:szCs w:val="18"/>
        </w:rPr>
        <w:t xml:space="preserve"> in verband</w:t>
      </w:r>
      <w:r w:rsidR="00F52D52">
        <w:rPr>
          <w:szCs w:val="18"/>
        </w:rPr>
        <w:t xml:space="preserve"> met relatief hogere prijzen </w:t>
      </w:r>
      <w:proofErr w:type="spellStart"/>
      <w:r w:rsidRPr="00F72F27" w:rsidR="00F72F27">
        <w:rPr>
          <w:szCs w:val="18"/>
        </w:rPr>
        <w:t>geheralloceerd</w:t>
      </w:r>
      <w:proofErr w:type="spellEnd"/>
      <w:r w:rsidR="00F72F27">
        <w:rPr>
          <w:szCs w:val="18"/>
        </w:rPr>
        <w:t xml:space="preserve"> </w:t>
      </w:r>
      <w:r w:rsidR="006B6AE7">
        <w:rPr>
          <w:szCs w:val="18"/>
        </w:rPr>
        <w:t xml:space="preserve">is </w:t>
      </w:r>
      <w:r w:rsidR="00F72F27">
        <w:rPr>
          <w:szCs w:val="18"/>
        </w:rPr>
        <w:t>aan vergelijkbare capaciteit</w:t>
      </w:r>
      <w:r w:rsidR="00F01183">
        <w:rPr>
          <w:szCs w:val="18"/>
        </w:rPr>
        <w:t>en</w:t>
      </w:r>
      <w:r>
        <w:rPr>
          <w:szCs w:val="18"/>
        </w:rPr>
        <w:t xml:space="preserve">. </w:t>
      </w:r>
      <w:r w:rsidR="00001972">
        <w:rPr>
          <w:szCs w:val="18"/>
        </w:rPr>
        <w:t xml:space="preserve">Eerder droeg </w:t>
      </w:r>
      <w:r w:rsidR="00C078B7">
        <w:rPr>
          <w:szCs w:val="18"/>
        </w:rPr>
        <w:t xml:space="preserve">het kabinet </w:t>
      </w:r>
      <w:r w:rsidR="00001972">
        <w:rPr>
          <w:szCs w:val="18"/>
        </w:rPr>
        <w:t>130 m</w:t>
      </w:r>
      <w:r w:rsidR="00C078B7">
        <w:rPr>
          <w:szCs w:val="18"/>
        </w:rPr>
        <w:t>iljoen</w:t>
      </w:r>
      <w:r w:rsidR="00001972">
        <w:rPr>
          <w:szCs w:val="18"/>
        </w:rPr>
        <w:t xml:space="preserve"> euro bi</w:t>
      </w:r>
      <w:r w:rsidR="000E5BD5">
        <w:rPr>
          <w:szCs w:val="18"/>
        </w:rPr>
        <w:t>j aan</w:t>
      </w:r>
      <w:r w:rsidR="00001972">
        <w:rPr>
          <w:szCs w:val="18"/>
        </w:rPr>
        <w:t xml:space="preserve"> de gemeenschappelijke aanschaf van 155mm </w:t>
      </w:r>
      <w:r w:rsidR="002442B6">
        <w:rPr>
          <w:szCs w:val="18"/>
        </w:rPr>
        <w:t>artillerie</w:t>
      </w:r>
      <w:r w:rsidR="00001972">
        <w:rPr>
          <w:szCs w:val="18"/>
        </w:rPr>
        <w:t>granaten door het Europese defensie agentschap (EDA) en tevens 130 m</w:t>
      </w:r>
      <w:r w:rsidR="00C078B7">
        <w:rPr>
          <w:szCs w:val="18"/>
        </w:rPr>
        <w:t>iljoen</w:t>
      </w:r>
      <w:r w:rsidR="00001972">
        <w:rPr>
          <w:szCs w:val="18"/>
        </w:rPr>
        <w:t xml:space="preserve"> euro </w:t>
      </w:r>
      <w:r w:rsidR="002442B6">
        <w:rPr>
          <w:szCs w:val="18"/>
        </w:rPr>
        <w:t>aan</w:t>
      </w:r>
      <w:r w:rsidR="00001972">
        <w:rPr>
          <w:szCs w:val="18"/>
        </w:rPr>
        <w:t xml:space="preserve"> het Duitse initiatief voor de aanschaf van 155mm</w:t>
      </w:r>
      <w:r w:rsidR="002442B6">
        <w:rPr>
          <w:szCs w:val="18"/>
        </w:rPr>
        <w:t xml:space="preserve"> artilleriegranaten</w:t>
      </w:r>
      <w:r w:rsidR="00001972">
        <w:rPr>
          <w:szCs w:val="18"/>
        </w:rPr>
        <w:t xml:space="preserve">. </w:t>
      </w:r>
    </w:p>
    <w:p w:rsidR="00A13329" w:rsidP="00A13329" w:rsidRDefault="00A13329" w14:paraId="31B4F838" w14:textId="199E7410">
      <w:pPr>
        <w:pStyle w:val="Lijstalinea"/>
        <w:numPr>
          <w:ilvl w:val="0"/>
          <w:numId w:val="19"/>
        </w:numPr>
        <w:suppressAutoHyphens w:val="0"/>
        <w:autoSpaceDN/>
        <w:spacing w:after="0" w:line="276" w:lineRule="auto"/>
        <w:contextualSpacing w:val="0"/>
        <w:textAlignment w:val="auto"/>
        <w:rPr>
          <w:szCs w:val="18"/>
        </w:rPr>
      </w:pPr>
      <w:r>
        <w:rPr>
          <w:i/>
          <w:szCs w:val="18"/>
        </w:rPr>
        <w:t>Drones</w:t>
      </w:r>
      <w:r>
        <w:rPr>
          <w:szCs w:val="18"/>
        </w:rPr>
        <w:t xml:space="preserve">: Nederland </w:t>
      </w:r>
      <w:r w:rsidR="00D260CE">
        <w:rPr>
          <w:szCs w:val="18"/>
        </w:rPr>
        <w:t>werkt aan een bijdrage van</w:t>
      </w:r>
      <w:r>
        <w:rPr>
          <w:szCs w:val="18"/>
        </w:rPr>
        <w:t xml:space="preserve"> 60 miljoen euro aan offensieve dronecapaciteit voor Oekraïne, waaronder via de internationale dronecoalitie. </w:t>
      </w:r>
      <w:r w:rsidRPr="00A41EDE">
        <w:rPr>
          <w:szCs w:val="18"/>
        </w:rPr>
        <w:t>Waar mogelijk wordt de Nederlandse industrie hierbij betrokken.</w:t>
      </w:r>
    </w:p>
    <w:p w:rsidR="00A13329" w:rsidP="00A13329" w:rsidRDefault="00A13329" w14:paraId="06A352D1" w14:textId="450F6B23">
      <w:pPr>
        <w:pStyle w:val="Lijstalinea"/>
        <w:numPr>
          <w:ilvl w:val="0"/>
          <w:numId w:val="19"/>
        </w:numPr>
        <w:suppressAutoHyphens w:val="0"/>
        <w:autoSpaceDN/>
        <w:spacing w:after="0" w:line="276" w:lineRule="auto"/>
        <w:contextualSpacing w:val="0"/>
        <w:textAlignment w:val="auto"/>
        <w:rPr>
          <w:szCs w:val="18"/>
        </w:rPr>
      </w:pPr>
      <w:r>
        <w:rPr>
          <w:i/>
          <w:szCs w:val="18"/>
        </w:rPr>
        <w:t>Infanteriegevechtsvoertuigen</w:t>
      </w:r>
      <w:r>
        <w:rPr>
          <w:szCs w:val="18"/>
        </w:rPr>
        <w:t xml:space="preserve">: Nederland </w:t>
      </w:r>
      <w:r w:rsidR="00D260CE">
        <w:rPr>
          <w:szCs w:val="18"/>
        </w:rPr>
        <w:t xml:space="preserve">werkt aan een bijdrage van </w:t>
      </w:r>
      <w:r>
        <w:rPr>
          <w:szCs w:val="18"/>
        </w:rPr>
        <w:t>400 miljoen euro aan een Zweeds fonds voor de bouw van CV90 infanteriegevechtsvoertuigen voor Oekraïne (Kamerstuk 2024D23713 van 7 juni 2024).</w:t>
      </w:r>
    </w:p>
    <w:p w:rsidR="00A13329" w:rsidP="00A13329" w:rsidRDefault="00A13329" w14:paraId="42ACC091" w14:textId="119AC2F5">
      <w:pPr>
        <w:pStyle w:val="Lijstalinea"/>
        <w:numPr>
          <w:ilvl w:val="0"/>
          <w:numId w:val="19"/>
        </w:numPr>
        <w:suppressAutoHyphens w:val="0"/>
        <w:autoSpaceDN/>
        <w:spacing w:after="0" w:line="276" w:lineRule="auto"/>
        <w:contextualSpacing w:val="0"/>
        <w:textAlignment w:val="auto"/>
        <w:rPr>
          <w:szCs w:val="18"/>
        </w:rPr>
      </w:pPr>
      <w:r>
        <w:rPr>
          <w:i/>
          <w:szCs w:val="18"/>
        </w:rPr>
        <w:t xml:space="preserve">Bijdrage International Fund </w:t>
      </w:r>
      <w:proofErr w:type="spellStart"/>
      <w:r>
        <w:rPr>
          <w:i/>
          <w:szCs w:val="18"/>
        </w:rPr>
        <w:t>for</w:t>
      </w:r>
      <w:proofErr w:type="spellEnd"/>
      <w:r>
        <w:rPr>
          <w:i/>
          <w:szCs w:val="18"/>
        </w:rPr>
        <w:t xml:space="preserve"> Ukraine</w:t>
      </w:r>
      <w:r>
        <w:rPr>
          <w:szCs w:val="18"/>
        </w:rPr>
        <w:t xml:space="preserve">: Nederland </w:t>
      </w:r>
      <w:r w:rsidR="00F01183">
        <w:rPr>
          <w:szCs w:val="18"/>
        </w:rPr>
        <w:t xml:space="preserve">draagt </w:t>
      </w:r>
      <w:r>
        <w:rPr>
          <w:szCs w:val="18"/>
        </w:rPr>
        <w:t xml:space="preserve">125 miljoen euro </w:t>
      </w:r>
      <w:r w:rsidR="00F01183">
        <w:rPr>
          <w:szCs w:val="18"/>
        </w:rPr>
        <w:t>bij aan</w:t>
      </w:r>
      <w:r>
        <w:rPr>
          <w:szCs w:val="18"/>
        </w:rPr>
        <w:t xml:space="preserve"> het </w:t>
      </w:r>
      <w:r>
        <w:rPr>
          <w:i/>
          <w:szCs w:val="18"/>
        </w:rPr>
        <w:t xml:space="preserve">International Fund </w:t>
      </w:r>
      <w:proofErr w:type="spellStart"/>
      <w:r>
        <w:rPr>
          <w:i/>
          <w:szCs w:val="18"/>
        </w:rPr>
        <w:t>for</w:t>
      </w:r>
      <w:proofErr w:type="spellEnd"/>
      <w:r>
        <w:rPr>
          <w:i/>
          <w:szCs w:val="18"/>
        </w:rPr>
        <w:t xml:space="preserve"> Ukraine</w:t>
      </w:r>
      <w:r>
        <w:rPr>
          <w:szCs w:val="18"/>
        </w:rPr>
        <w:t xml:space="preserve"> (IFU)</w:t>
      </w:r>
      <w:r w:rsidR="00640CB1">
        <w:rPr>
          <w:szCs w:val="18"/>
        </w:rPr>
        <w:t xml:space="preserve"> </w:t>
      </w:r>
      <w:r>
        <w:rPr>
          <w:szCs w:val="18"/>
        </w:rPr>
        <w:t xml:space="preserve">(Kamerstuk 22 054, nr. 399 van 14 december 2023 en Kamerstuk 22 054, nr. 377 van 16 december 2022). Het IFU is een belangrijke manier voor de deelnemende landen om direct bij de industrie goederen te kopen voor steun aan Oekraïne.  </w:t>
      </w:r>
    </w:p>
    <w:p w:rsidR="00A13329" w:rsidP="00A13329" w:rsidRDefault="00A13329" w14:paraId="78644DB1" w14:textId="12E80C22">
      <w:pPr>
        <w:pStyle w:val="Lijstalinea"/>
        <w:numPr>
          <w:ilvl w:val="0"/>
          <w:numId w:val="19"/>
        </w:numPr>
        <w:suppressAutoHyphens w:val="0"/>
        <w:autoSpaceDN/>
        <w:spacing w:after="0" w:line="276" w:lineRule="auto"/>
        <w:contextualSpacing w:val="0"/>
        <w:textAlignment w:val="auto"/>
        <w:rPr>
          <w:i/>
          <w:szCs w:val="18"/>
        </w:rPr>
      </w:pPr>
      <w:r>
        <w:rPr>
          <w:szCs w:val="18"/>
        </w:rPr>
        <w:t>NAVO-</w:t>
      </w:r>
      <w:r>
        <w:rPr>
          <w:i/>
          <w:szCs w:val="18"/>
        </w:rPr>
        <w:t>trustfund</w:t>
      </w:r>
      <w:r>
        <w:rPr>
          <w:szCs w:val="18"/>
        </w:rPr>
        <w:t xml:space="preserve">: Nederland draagt 100 miljoen euro bij aan het NAVO </w:t>
      </w:r>
      <w:r w:rsidRPr="00EB249B">
        <w:rPr>
          <w:i/>
          <w:szCs w:val="18"/>
        </w:rPr>
        <w:t>Ukraine Comprehensive Assistance Package</w:t>
      </w:r>
      <w:r>
        <w:rPr>
          <w:szCs w:val="18"/>
        </w:rPr>
        <w:t xml:space="preserve"> (UCAP). Uit het UCAP levert NAVO niet-letale steun als brandstof, medische voorzieningen, winteruitrusting en drone </w:t>
      </w:r>
      <w:proofErr w:type="spellStart"/>
      <w:r>
        <w:rPr>
          <w:i/>
          <w:szCs w:val="18"/>
        </w:rPr>
        <w:t>jammers</w:t>
      </w:r>
      <w:proofErr w:type="spellEnd"/>
      <w:r>
        <w:rPr>
          <w:szCs w:val="18"/>
        </w:rPr>
        <w:t xml:space="preserve">, zoals eerder met de Kamer gedeeld (Kamerstuk 22 054, nr. 377 van 16 december 2022 en Kamerstuk 22 054, nr. 387 van 13 april </w:t>
      </w:r>
      <w:r w:rsidR="00C078B7">
        <w:rPr>
          <w:szCs w:val="18"/>
        </w:rPr>
        <w:t>2023</w:t>
      </w:r>
      <w:r>
        <w:rPr>
          <w:szCs w:val="18"/>
        </w:rPr>
        <w:t>).</w:t>
      </w:r>
    </w:p>
    <w:p w:rsidRPr="00EB2C68" w:rsidR="00A13329" w:rsidP="00A13329" w:rsidRDefault="00A13329" w14:paraId="3B058965" w14:textId="705287E2">
      <w:pPr>
        <w:pStyle w:val="Default"/>
        <w:spacing w:line="276" w:lineRule="auto"/>
        <w:rPr>
          <w:sz w:val="16"/>
          <w:szCs w:val="18"/>
        </w:rPr>
      </w:pPr>
    </w:p>
    <w:p w:rsidRPr="00EB2C68" w:rsidR="00CC4D1D" w:rsidP="00EB2C68" w:rsidRDefault="00CC4D1D" w14:paraId="760D2F1E" w14:textId="431A523A">
      <w:pPr>
        <w:spacing w:line="276" w:lineRule="auto"/>
        <w:rPr>
          <w:rFonts w:ascii="Calibri" w:hAnsi="Calibri"/>
        </w:rPr>
      </w:pPr>
      <w:r w:rsidRPr="00EB2C68">
        <w:t xml:space="preserve">Om de Russische agressie een halt toe te roepen heeft Oekraïne een acute behoefte aan grote hoeveelheden oud-Sovjet en westers materieel. De hoge vraag en de beperkte markt waar dit materieel kan worden verworven zorgt voor snel stijgende prijzen. Hierdoor moet Defensie voor commerciële </w:t>
      </w:r>
      <w:proofErr w:type="spellStart"/>
      <w:r w:rsidRPr="00EB2C68">
        <w:t>verwe</w:t>
      </w:r>
      <w:r w:rsidR="006D0E2E">
        <w:t>r</w:t>
      </w:r>
      <w:r w:rsidRPr="00EB2C68">
        <w:t>vingen</w:t>
      </w:r>
      <w:proofErr w:type="spellEnd"/>
      <w:r w:rsidRPr="00EB2C68">
        <w:t xml:space="preserve"> continue de afweging maken tussen de prijs en het urgente operationele belang van Oekraïne. </w:t>
      </w:r>
      <w:r w:rsidRPr="00B12E4C" w:rsidR="00B12E4C">
        <w:t xml:space="preserve">Hierbij is het mogelijk dat snelheid van levering zwaarder weegt dan </w:t>
      </w:r>
      <w:r w:rsidRPr="007C6C97" w:rsidR="007C6C97">
        <w:t>de beste prijs.</w:t>
      </w:r>
    </w:p>
    <w:p w:rsidR="00BD6A25" w:rsidP="00BD6A25" w:rsidRDefault="00BD6A25" w14:paraId="2F28CBB1" w14:textId="77777777">
      <w:pPr>
        <w:spacing w:after="0" w:line="276" w:lineRule="auto"/>
        <w:rPr>
          <w:i/>
        </w:rPr>
      </w:pPr>
      <w:r>
        <w:rPr>
          <w:i/>
        </w:rPr>
        <w:t>Levering Nederlandse F-16</w:t>
      </w:r>
    </w:p>
    <w:p w:rsidR="00BD6A25" w:rsidP="00BD6A25" w:rsidRDefault="00BD6A25" w14:paraId="4B1B10C1" w14:textId="4297914A">
      <w:pPr>
        <w:spacing w:after="0" w:line="276" w:lineRule="auto"/>
      </w:pPr>
      <w:r>
        <w:t xml:space="preserve">Op 22 december 2023, 5 februari jl. en 13 juni jl. is uw Kamer geïnformeerd over de ontwikkelingen omtrent de </w:t>
      </w:r>
      <w:proofErr w:type="spellStart"/>
      <w:r>
        <w:t>gereedstelling</w:t>
      </w:r>
      <w:proofErr w:type="spellEnd"/>
      <w:r>
        <w:t xml:space="preserve"> en levering van de F-16’s aan Oekraïne</w:t>
      </w:r>
      <w:r w:rsidR="005A3F68">
        <w:t>.</w:t>
      </w:r>
      <w:r>
        <w:rPr>
          <w:rStyle w:val="Voetnootmarkering"/>
        </w:rPr>
        <w:footnoteReference w:id="5"/>
      </w:r>
      <w:r w:rsidR="005A3F68">
        <w:t xml:space="preserve"> </w:t>
      </w:r>
      <w:r>
        <w:t xml:space="preserve">In aanvulling op het afgeven van de exportvergunning (Kamerstuk 22 054, nr. 421 van 1 juli 2024) </w:t>
      </w:r>
      <w:r w:rsidRPr="00697BA5">
        <w:t>informeer ik u dat de eerste Nederlandse F-16’s onlangs aan Oekraïne zijn geleverd.</w:t>
      </w:r>
      <w:r>
        <w:t xml:space="preserve"> </w:t>
      </w:r>
    </w:p>
    <w:p w:rsidR="00BD6A25" w:rsidP="00BD6A25" w:rsidRDefault="00BD6A25" w14:paraId="685E9294" w14:textId="77777777">
      <w:pPr>
        <w:spacing w:after="0" w:line="276" w:lineRule="auto"/>
        <w:rPr>
          <w:i/>
        </w:rPr>
      </w:pPr>
    </w:p>
    <w:p w:rsidRPr="00EB2C68" w:rsidR="00CC4D1D" w:rsidP="00EB2C68" w:rsidRDefault="00BD6A25" w14:paraId="20A29D9E" w14:textId="5BBC692D">
      <w:pPr>
        <w:spacing w:after="0" w:line="276" w:lineRule="auto"/>
      </w:pPr>
      <w:r>
        <w:t xml:space="preserve">Verder levert Nederland een significante bijdrage aan de ondersteuning en instandhouding van de F-16. Zo worden er luchtdoel raketten uit eigen voorraad geleverd en draagt Nederland voor €450 miljoen bij aan een Amerikaans fonds om munitie te verwerven. Ook financiert Nederland onderhoudscontracten en levert het een </w:t>
      </w:r>
      <w:r w:rsidR="00C87673">
        <w:t xml:space="preserve">groot aantal reservedelen. </w:t>
      </w:r>
      <w:r>
        <w:t xml:space="preserve">Verder voorziet Nederland Oekraïne van advies ten behoeve van de ingebruikname van de F-16 en de opbouw van een luchtmacht die op termijn </w:t>
      </w:r>
      <w:proofErr w:type="spellStart"/>
      <w:r>
        <w:t>interop</w:t>
      </w:r>
      <w:r w:rsidR="00C87673">
        <w:t>erabel</w:t>
      </w:r>
      <w:proofErr w:type="spellEnd"/>
      <w:r w:rsidR="00C87673">
        <w:t xml:space="preserve"> met de NAVO zal zijn.</w:t>
      </w:r>
    </w:p>
    <w:p w:rsidR="00CC4D1D" w:rsidP="00A13329" w:rsidRDefault="00CC4D1D" w14:paraId="76B10C1C" w14:textId="77777777">
      <w:pPr>
        <w:pStyle w:val="Default"/>
        <w:spacing w:line="276" w:lineRule="auto"/>
        <w:rPr>
          <w:i/>
          <w:sz w:val="18"/>
          <w:szCs w:val="18"/>
        </w:rPr>
      </w:pPr>
    </w:p>
    <w:p w:rsidR="00A13329" w:rsidP="00A13329" w:rsidRDefault="00A13329" w14:paraId="5E74B88A" w14:textId="77777777">
      <w:pPr>
        <w:spacing w:after="0" w:line="276" w:lineRule="auto"/>
        <w:ind w:left="708" w:hanging="708"/>
        <w:rPr>
          <w:i/>
        </w:rPr>
      </w:pPr>
      <w:r>
        <w:rPr>
          <w:i/>
        </w:rPr>
        <w:t>Toetsing</w:t>
      </w:r>
    </w:p>
    <w:p w:rsidR="00C017D6" w:rsidP="00A13329" w:rsidRDefault="00A13329" w14:paraId="2920EF2B" w14:textId="7A2C6860">
      <w:pPr>
        <w:spacing w:after="0" w:line="276" w:lineRule="auto"/>
      </w:pPr>
      <w:r>
        <w:t xml:space="preserve">Voor alle leveringen is, waar nodig, een zorgvuldige, maar gezien de uitzonderlijke omstandigheden versnelde, toetsing aan de EU wapenexportcriteria verricht door de minister van Buitenlandse Zaken </w:t>
      </w:r>
      <w:r>
        <w:lastRenderedPageBreak/>
        <w:t xml:space="preserve">waarna door de minister voor Buitenlandse Handel en </w:t>
      </w:r>
      <w:r w:rsidR="009459A1">
        <w:t xml:space="preserve">Ontwikkelingshulp </w:t>
      </w:r>
      <w:r>
        <w:t>een exportvergunning is afgegeven.</w:t>
      </w:r>
      <w:r>
        <w:rPr>
          <w:rStyle w:val="Voetnootmarkering"/>
        </w:rPr>
        <w:footnoteReference w:id="6"/>
      </w:r>
      <w:r>
        <w:t xml:space="preserve"> Ook bij eventuele nieuwe leveringen zal deze zorgvuldige en versnelde toetsing plaatsvinden.</w:t>
      </w:r>
      <w:r w:rsidR="00EB2C68">
        <w:t xml:space="preserve"> </w:t>
      </w:r>
    </w:p>
    <w:p w:rsidR="00C017D6" w:rsidP="00A13329" w:rsidRDefault="00C017D6" w14:paraId="38E8EC6F" w14:textId="77777777">
      <w:pPr>
        <w:spacing w:after="0" w:line="276" w:lineRule="auto"/>
      </w:pPr>
    </w:p>
    <w:p w:rsidR="00A13329" w:rsidP="00A13329" w:rsidRDefault="00A13329" w14:paraId="3CF9AAED" w14:textId="77777777">
      <w:pPr>
        <w:spacing w:after="0" w:line="276" w:lineRule="auto"/>
      </w:pPr>
      <w:r>
        <w:rPr>
          <w:i/>
        </w:rPr>
        <w:t>Effecten krijgsmacht</w:t>
      </w:r>
    </w:p>
    <w:p w:rsidR="00A13329" w:rsidP="00A13329" w:rsidRDefault="00A13329" w14:paraId="511F1273" w14:textId="309E0F8C">
      <w:pPr>
        <w:spacing w:after="0" w:line="276" w:lineRule="auto"/>
      </w:pPr>
      <w:r>
        <w:t xml:space="preserve">De effecten van de geleverde steun op de gereedheid van de Nederlandse strijdkrachten worden, gezien de omstandigheden, door Defensie als acceptabel beoordeeld. De voortdurende ondersteuning van Oekraïne en met name leveringen uit (operationele) voorraden hebben in toenemende mate en voor de langere termijn consequenties voor de eigen </w:t>
      </w:r>
      <w:proofErr w:type="spellStart"/>
      <w:r>
        <w:t>gereedstelling</w:t>
      </w:r>
      <w:proofErr w:type="spellEnd"/>
      <w:r>
        <w:t xml:space="preserve"> en inzet. Daarnaast heeft de voortdurende militaire steun aan Oekraïne een vertragend effect op verwervingsprojecten. Defensie neemt maatregelen om deze gevolgen zoveel als mogelijk te mitigeren. Zo zijn er maatregelen om de aankoop van vervangend materieel te versnellen en wordt project- en inkoopcapaciteit versterkt. Echter, de markt voor defensiematerieel blijft onder druk staan en de prijzen voor verschillende soorten materieel stijgen daardoor snel. Daarmee leidt de geleverde steun tot langdurige en significante effecten op de gereedheid van onze krijgsmacht. Het kabinet houdt ook bij toekomstige verzoeken aandacht voor de effecten op de gereedheid</w:t>
      </w:r>
      <w:r w:rsidR="00854E9B">
        <w:t xml:space="preserve"> gezien de </w:t>
      </w:r>
      <w:r w:rsidR="00821A27">
        <w:t>veranderende veiligheidssituatie</w:t>
      </w:r>
      <w:r w:rsidR="005A3F68">
        <w:t xml:space="preserve"> waarin de Nederlandse k</w:t>
      </w:r>
      <w:r w:rsidR="00854E9B">
        <w:t>rijgsmacht haar operationele gereedheid moet verhogen</w:t>
      </w:r>
      <w:r>
        <w:t>.</w:t>
      </w:r>
    </w:p>
    <w:p w:rsidR="00A13329" w:rsidP="00A13329" w:rsidRDefault="00A13329" w14:paraId="3013A324" w14:textId="77777777">
      <w:pPr>
        <w:spacing w:after="0" w:line="276" w:lineRule="auto"/>
      </w:pPr>
    </w:p>
    <w:p w:rsidR="00A13329" w:rsidP="00A13329" w:rsidRDefault="00A13329" w14:paraId="7C665BFD" w14:textId="77777777">
      <w:pPr>
        <w:spacing w:after="0" w:line="276" w:lineRule="auto"/>
        <w:rPr>
          <w:i/>
        </w:rPr>
      </w:pPr>
      <w:r>
        <w:rPr>
          <w:i/>
        </w:rPr>
        <w:t>Europese Vredesfaciliteit</w:t>
      </w:r>
    </w:p>
    <w:p w:rsidR="00A13329" w:rsidP="00A13329" w:rsidRDefault="00A13329" w14:paraId="7DE3F6C9" w14:textId="4F0E72B1">
      <w:pPr>
        <w:spacing w:after="0" w:line="276" w:lineRule="auto"/>
      </w:pPr>
      <w:r>
        <w:t>Vanuit de Europese Vredesfaciliteit (</w:t>
      </w:r>
      <w:r>
        <w:rPr>
          <w:i/>
        </w:rPr>
        <w:t xml:space="preserve">European </w:t>
      </w:r>
      <w:proofErr w:type="spellStart"/>
      <w:r>
        <w:rPr>
          <w:i/>
        </w:rPr>
        <w:t>Peace</w:t>
      </w:r>
      <w:proofErr w:type="spellEnd"/>
      <w:r>
        <w:rPr>
          <w:i/>
        </w:rPr>
        <w:t xml:space="preserve"> Facility </w:t>
      </w:r>
      <w:r>
        <w:t xml:space="preserve">– EPF) is reeds 5,9 miljard euro gecommitteerd aan steun voor Oekraïne en daarbovenop is nog 6,5 miljard euro geoormerkt voor het land (5 miljard euro </w:t>
      </w:r>
      <w:r>
        <w:rPr>
          <w:i/>
        </w:rPr>
        <w:t>Ukraine Assistance Fund</w:t>
      </w:r>
      <w:r>
        <w:t xml:space="preserve"> en circa 1,5 miljard euro onder het oude financiële plafond). De steun aan Oekraïne vanuit de EPF loopt langs drie sporen: levering van militair materieel uit voorraden van EU-lidstaten; gezamenlijke aanschaf van militair materieel op de markt; financiering van de gemeenschappelijke kosten voor EUMAM Oekraïne. </w:t>
      </w:r>
      <w:r w:rsidR="00E4715F">
        <w:t>Deze zomer is</w:t>
      </w:r>
      <w:r w:rsidRPr="00E4715F" w:rsidR="00E4715F">
        <w:t xml:space="preserve"> besloten om een eerste t</w:t>
      </w:r>
      <w:r w:rsidR="00E4715F">
        <w:t>ranche van 1,</w:t>
      </w:r>
      <w:r w:rsidRPr="00E4715F" w:rsidR="00E4715F">
        <w:t xml:space="preserve">4 miljard euro van de </w:t>
      </w:r>
      <w:proofErr w:type="spellStart"/>
      <w:r w:rsidRPr="00E4715F" w:rsidR="00E4715F">
        <w:rPr>
          <w:i/>
        </w:rPr>
        <w:t>windfall</w:t>
      </w:r>
      <w:proofErr w:type="spellEnd"/>
      <w:r w:rsidRPr="00E4715F" w:rsidR="00E4715F">
        <w:rPr>
          <w:i/>
        </w:rPr>
        <w:t xml:space="preserve"> </w:t>
      </w:r>
      <w:proofErr w:type="spellStart"/>
      <w:r w:rsidRPr="00E4715F" w:rsidR="00E4715F">
        <w:rPr>
          <w:i/>
        </w:rPr>
        <w:t>profits</w:t>
      </w:r>
      <w:proofErr w:type="spellEnd"/>
      <w:r w:rsidRPr="00E4715F" w:rsidR="00E4715F">
        <w:t xml:space="preserve"> op bevroren Russische tegoeden toe te voegen aan het EPF; geoormerkt voor militaire steun aan Oekraïne.</w:t>
      </w:r>
    </w:p>
    <w:p w:rsidR="00A13329" w:rsidP="00A13329" w:rsidRDefault="00A13329" w14:paraId="2D7F8338" w14:textId="77777777">
      <w:pPr>
        <w:spacing w:after="0" w:line="276" w:lineRule="auto"/>
      </w:pPr>
    </w:p>
    <w:p w:rsidRPr="00AD7830" w:rsidR="006F590B" w:rsidP="00A13329" w:rsidRDefault="00A13329" w14:paraId="5C7AFA68" w14:textId="43295873">
      <w:pPr>
        <w:spacing w:after="0" w:line="276" w:lineRule="auto"/>
        <w:rPr>
          <w:rFonts w:ascii="Calibri" w:hAnsi="Calibri"/>
          <w:sz w:val="22"/>
          <w:szCs w:val="22"/>
          <w:lang w:eastAsia="en-US"/>
        </w:rPr>
      </w:pPr>
      <w:r>
        <w:t xml:space="preserve">Omdat het totaal aan ingediende declaraties van de lidstaten groter is dan het beschikbare budget worden declaraties niet volledig gecompenseerd. Het vergoedingspercentage ligt gemiddeld op 50%. </w:t>
      </w:r>
      <w:r w:rsidR="00640CB1">
        <w:t>O</w:t>
      </w:r>
      <w:r>
        <w:t>m voldoende budget beschikbaar te houden voor o.a. EUMAM</w:t>
      </w:r>
      <w:r w:rsidR="00640CB1">
        <w:t xml:space="preserve"> is voor toekomstige leveringen via UAF een lager vergoedingspercentage overeen gekomen (43%)</w:t>
      </w:r>
      <w:r>
        <w:t xml:space="preserve">. Uitgangspunt is dat de lidstaten een vergoeding krijgen voor de boekwaarde van het geleverde materieel. Nederland krijgt voor de geleverde steun ter waarde van 462 miljoen euro (tot en met februari 2023) ruim 242 miljoen euro gecompenseerd. Besluitvorming over vergoedingen voor leveringen vanaf maart 2023 loopt nog vanwege de Hongaarse blokkade op het aannemen van volgende tranches steun. </w:t>
      </w:r>
      <w:r w:rsidRPr="00464E55">
        <w:t xml:space="preserve">In totaal heeft Nederland tot en met </w:t>
      </w:r>
      <w:r w:rsidRPr="00464E55" w:rsidR="00464E55">
        <w:t>8</w:t>
      </w:r>
      <w:r w:rsidRPr="00464E55" w:rsidR="001D3B3B">
        <w:t xml:space="preserve"> </w:t>
      </w:r>
      <w:r w:rsidRPr="00464E55" w:rsidR="00464E55">
        <w:t>september</w:t>
      </w:r>
      <w:r w:rsidRPr="00464E55">
        <w:t xml:space="preserve"> 2024 ongeveer </w:t>
      </w:r>
      <w:r w:rsidRPr="00464E55" w:rsidR="001D3B3B">
        <w:t>2,0</w:t>
      </w:r>
      <w:r w:rsidRPr="00464E55">
        <w:t xml:space="preserve"> miljard euro gedeclareerd.</w:t>
      </w:r>
      <w:r>
        <w:t xml:space="preserve"> Uw Kamer wordt via de reguliere leveringenbrieven op de hoogte gehouden van declaraties en compensatie via de EPF.</w:t>
      </w:r>
    </w:p>
    <w:p w:rsidR="006F590B" w:rsidP="00A13329" w:rsidRDefault="006F590B" w14:paraId="53007C19" w14:textId="77777777">
      <w:pPr>
        <w:spacing w:after="0" w:line="276" w:lineRule="auto"/>
      </w:pPr>
    </w:p>
    <w:p w:rsidR="00A13329" w:rsidP="00A13329" w:rsidRDefault="00A13329" w14:paraId="6C83E213" w14:textId="77777777">
      <w:pPr>
        <w:spacing w:after="0" w:line="276" w:lineRule="auto"/>
      </w:pPr>
      <w:r>
        <w:t>Hoogachtend,</w:t>
      </w:r>
    </w:p>
    <w:p w:rsidR="00A13329" w:rsidP="00A13329" w:rsidRDefault="00A13329" w14:paraId="1A84D416" w14:textId="77777777">
      <w:pPr>
        <w:spacing w:after="0" w:line="276" w:lineRule="auto"/>
        <w:rPr>
          <w:rFonts w:cs="Calibri"/>
        </w:rPr>
      </w:pPr>
    </w:p>
    <w:p w:rsidR="00A13329" w:rsidP="00A13329" w:rsidRDefault="00A13329" w14:paraId="74C91A18" w14:textId="77777777">
      <w:pPr>
        <w:spacing w:after="0" w:line="276" w:lineRule="auto"/>
        <w:rPr>
          <w:i/>
        </w:rPr>
      </w:pPr>
    </w:p>
    <w:p w:rsidR="00A13329" w:rsidP="00A13329" w:rsidRDefault="00A13329" w14:paraId="61FAFD35" w14:textId="77777777">
      <w:pPr>
        <w:spacing w:after="0" w:line="276" w:lineRule="auto"/>
        <w:rPr>
          <w:i/>
        </w:rPr>
      </w:pPr>
      <w:r>
        <w:rPr>
          <w:i/>
        </w:rPr>
        <w:t>DE MINISTER VAN DEFENSIE</w:t>
      </w:r>
      <w:r>
        <w:rPr>
          <w:i/>
        </w:rPr>
        <w:br/>
      </w:r>
    </w:p>
    <w:p w:rsidRPr="00F11072" w:rsidR="00A42B10" w:rsidP="00A13329" w:rsidRDefault="00A13329" w14:paraId="08BEAA2F" w14:textId="04C40F30">
      <w:pPr>
        <w:spacing w:after="0" w:line="276" w:lineRule="auto"/>
      </w:pPr>
      <w:r>
        <w:rPr>
          <w:i/>
        </w:rPr>
        <w:br/>
      </w:r>
      <w:r>
        <w:rPr>
          <w:i/>
        </w:rPr>
        <w:br/>
      </w:r>
      <w:r w:rsidR="00807154">
        <w:t xml:space="preserve">Ruben Brekelmans </w:t>
      </w:r>
    </w:p>
    <w:sectPr w:rsidRPr="00F11072"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5E10" w14:textId="77777777" w:rsidR="007D0E58" w:rsidRDefault="007D0E58" w:rsidP="001E0A0C">
      <w:r>
        <w:separator/>
      </w:r>
    </w:p>
  </w:endnote>
  <w:endnote w:type="continuationSeparator" w:id="0">
    <w:p w14:paraId="6BD13FC4" w14:textId="77777777" w:rsidR="007D0E58" w:rsidRDefault="007D0E58" w:rsidP="001E0A0C">
      <w:r>
        <w:continuationSeparator/>
      </w:r>
    </w:p>
  </w:endnote>
  <w:endnote w:type="continuationNotice" w:id="1">
    <w:p w14:paraId="67A1DEF0" w14:textId="77777777" w:rsidR="007D0E58" w:rsidRDefault="007D0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3BE3" w14:textId="77777777" w:rsidR="00FC2F7C" w:rsidRDefault="00FC2F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1E24" w14:textId="77777777" w:rsidR="007D0E58" w:rsidRDefault="007D0E58"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74382620" wp14:editId="291B98E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D0E58" w14:paraId="46A9787E" w14:textId="77777777">
                            <w:trPr>
                              <w:trHeight w:val="1274"/>
                            </w:trPr>
                            <w:tc>
                              <w:tcPr>
                                <w:tcW w:w="1968" w:type="dxa"/>
                                <w:tcMar>
                                  <w:left w:w="0" w:type="dxa"/>
                                  <w:right w:w="0" w:type="dxa"/>
                                </w:tcMar>
                                <w:vAlign w:val="bottom"/>
                              </w:tcPr>
                              <w:p w14:paraId="3655A2BB" w14:textId="77777777" w:rsidR="007D0E58" w:rsidRDefault="007D0E58">
                                <w:pPr>
                                  <w:pStyle w:val="Rubricering-Huisstijl"/>
                                </w:pPr>
                              </w:p>
                              <w:p w14:paraId="0E50A3D2" w14:textId="77777777" w:rsidR="007D0E58" w:rsidRDefault="007D0E58">
                                <w:pPr>
                                  <w:pStyle w:val="Rubricering-Huisstijl"/>
                                </w:pPr>
                              </w:p>
                            </w:tc>
                          </w:tr>
                        </w:tbl>
                        <w:p w14:paraId="6E80655E" w14:textId="77777777" w:rsidR="007D0E58" w:rsidRDefault="007D0E5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82620"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D0E58" w14:paraId="46A9787E" w14:textId="77777777">
                      <w:trPr>
                        <w:trHeight w:val="1274"/>
                      </w:trPr>
                      <w:tc>
                        <w:tcPr>
                          <w:tcW w:w="1968" w:type="dxa"/>
                          <w:tcMar>
                            <w:left w:w="0" w:type="dxa"/>
                            <w:right w:w="0" w:type="dxa"/>
                          </w:tcMar>
                          <w:vAlign w:val="bottom"/>
                        </w:tcPr>
                        <w:p w14:paraId="3655A2BB" w14:textId="77777777" w:rsidR="007D0E58" w:rsidRDefault="007D0E58">
                          <w:pPr>
                            <w:pStyle w:val="Rubricering-Huisstijl"/>
                          </w:pPr>
                        </w:p>
                        <w:p w14:paraId="0E50A3D2" w14:textId="77777777" w:rsidR="007D0E58" w:rsidRDefault="007D0E58">
                          <w:pPr>
                            <w:pStyle w:val="Rubricering-Huisstijl"/>
                          </w:pPr>
                        </w:p>
                      </w:tc>
                    </w:tr>
                  </w:tbl>
                  <w:p w14:paraId="6E80655E" w14:textId="77777777" w:rsidR="007D0E58" w:rsidRDefault="007D0E5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F669" w14:textId="77777777" w:rsidR="00FC2F7C" w:rsidRDefault="00FC2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042A" w14:textId="77777777" w:rsidR="007D0E58" w:rsidRDefault="007D0E58" w:rsidP="001E0A0C">
      <w:r>
        <w:separator/>
      </w:r>
    </w:p>
  </w:footnote>
  <w:footnote w:type="continuationSeparator" w:id="0">
    <w:p w14:paraId="10A08B60" w14:textId="77777777" w:rsidR="007D0E58" w:rsidRDefault="007D0E58" w:rsidP="001E0A0C">
      <w:r>
        <w:continuationSeparator/>
      </w:r>
    </w:p>
  </w:footnote>
  <w:footnote w:type="continuationNotice" w:id="1">
    <w:p w14:paraId="434EAA74" w14:textId="77777777" w:rsidR="007D0E58" w:rsidRDefault="007D0E58">
      <w:pPr>
        <w:spacing w:after="0" w:line="240" w:lineRule="auto"/>
      </w:pPr>
    </w:p>
  </w:footnote>
  <w:footnote w:id="2">
    <w:p w14:paraId="7B8A9DB7" w14:textId="77777777" w:rsidR="007D0E58" w:rsidRPr="00A13329" w:rsidRDefault="007D0E58" w:rsidP="00A13329">
      <w:pPr>
        <w:pStyle w:val="Voetnoottekst"/>
        <w:spacing w:before="0" w:after="0"/>
        <w:rPr>
          <w:rFonts w:ascii="Verdana" w:hAnsi="Verdana"/>
          <w:sz w:val="16"/>
          <w:szCs w:val="16"/>
        </w:rPr>
      </w:pPr>
      <w:r w:rsidRPr="00A13329">
        <w:rPr>
          <w:rStyle w:val="Voetnootmarkering"/>
          <w:rFonts w:ascii="Verdana" w:hAnsi="Verdana"/>
          <w:sz w:val="16"/>
          <w:szCs w:val="16"/>
        </w:rPr>
        <w:footnoteRef/>
      </w:r>
      <w:r w:rsidRPr="00A13329">
        <w:rPr>
          <w:rFonts w:ascii="Verdana" w:hAnsi="Verdana"/>
          <w:sz w:val="16"/>
          <w:szCs w:val="16"/>
        </w:rPr>
        <w:t xml:space="preserve"> </w:t>
      </w:r>
      <w:r w:rsidRPr="00A13329">
        <w:rPr>
          <w:rFonts w:ascii="Verdana" w:hAnsi="Verdana"/>
          <w:color w:val="000000"/>
          <w:sz w:val="16"/>
          <w:szCs w:val="16"/>
        </w:rPr>
        <w:t>Ter vertrouwelijke inzage gelegd, alleen voor de leden, bij het Centraal Informatiepunt Tweede Kamer.</w:t>
      </w:r>
    </w:p>
  </w:footnote>
  <w:footnote w:id="3">
    <w:p w14:paraId="1FF5AB90" w14:textId="77777777" w:rsidR="007D0E58" w:rsidRDefault="007D0E58" w:rsidP="00C078B7">
      <w:pPr>
        <w:pStyle w:val="Voetnoottekst"/>
        <w:spacing w:before="0" w:after="0"/>
      </w:pPr>
      <w:r w:rsidRPr="00A13329">
        <w:rPr>
          <w:rStyle w:val="Voetnootmarkering"/>
          <w:rFonts w:ascii="Verdana" w:hAnsi="Verdana"/>
          <w:sz w:val="16"/>
          <w:szCs w:val="16"/>
        </w:rPr>
        <w:footnoteRef/>
      </w:r>
      <w:r w:rsidRPr="00A13329">
        <w:rPr>
          <w:rFonts w:ascii="Verdana" w:hAnsi="Verdana"/>
          <w:sz w:val="16"/>
          <w:szCs w:val="16"/>
        </w:rPr>
        <w:t xml:space="preserve"> Kamerstuk 22 05</w:t>
      </w:r>
      <w:r>
        <w:rPr>
          <w:rFonts w:ascii="Verdana" w:hAnsi="Verdana"/>
          <w:sz w:val="16"/>
          <w:szCs w:val="16"/>
        </w:rPr>
        <w:t>4, nr. 420, van 13 juni 2024</w:t>
      </w:r>
      <w:r w:rsidRPr="00A13329">
        <w:rPr>
          <w:rFonts w:ascii="Verdana" w:hAnsi="Verdana"/>
          <w:sz w:val="16"/>
          <w:szCs w:val="16"/>
        </w:rPr>
        <w:t>.</w:t>
      </w:r>
      <w:r>
        <w:t xml:space="preserve"> </w:t>
      </w:r>
    </w:p>
  </w:footnote>
  <w:footnote w:id="4">
    <w:p w14:paraId="304E3AA2" w14:textId="7C4A0CEA" w:rsidR="007D0E58" w:rsidRPr="00D260B2" w:rsidRDefault="007D0E58">
      <w:pPr>
        <w:pStyle w:val="Voetnoottekst"/>
        <w:rPr>
          <w:rFonts w:ascii="Verdana" w:hAnsi="Verdana"/>
          <w:sz w:val="16"/>
          <w:szCs w:val="16"/>
        </w:rPr>
      </w:pPr>
      <w:r w:rsidRPr="00D260B2">
        <w:rPr>
          <w:rStyle w:val="Voetnootmarkering"/>
          <w:rFonts w:ascii="Verdana" w:hAnsi="Verdana"/>
          <w:sz w:val="16"/>
          <w:szCs w:val="16"/>
        </w:rPr>
        <w:footnoteRef/>
      </w:r>
      <w:r w:rsidRPr="00D260B2">
        <w:rPr>
          <w:rFonts w:ascii="Verdana" w:hAnsi="Verdana"/>
          <w:sz w:val="16"/>
          <w:szCs w:val="16"/>
        </w:rPr>
        <w:t xml:space="preserve"> </w:t>
      </w:r>
      <w:r>
        <w:rPr>
          <w:rFonts w:ascii="Verdana" w:hAnsi="Verdana"/>
          <w:sz w:val="16"/>
          <w:szCs w:val="16"/>
        </w:rPr>
        <w:t xml:space="preserve">De eerder hier weergegeven bijdrage aan het IFU van 125 mln. is opgenomen in het bedrag van commerciële leveringen. </w:t>
      </w:r>
    </w:p>
  </w:footnote>
  <w:footnote w:id="5">
    <w:p w14:paraId="38DEB03E" w14:textId="77777777" w:rsidR="007D0E58" w:rsidRPr="00C9663D" w:rsidRDefault="007D0E58" w:rsidP="00BD6A25">
      <w:pPr>
        <w:pStyle w:val="Voetnoottekst"/>
        <w:rPr>
          <w:rFonts w:ascii="Verdana" w:hAnsi="Verdana"/>
          <w:sz w:val="14"/>
          <w:szCs w:val="14"/>
        </w:rPr>
      </w:pPr>
      <w:r w:rsidRPr="00C9663D">
        <w:rPr>
          <w:rStyle w:val="Voetnootmarkering"/>
          <w:rFonts w:ascii="Verdana" w:hAnsi="Verdana"/>
          <w:sz w:val="14"/>
          <w:szCs w:val="14"/>
        </w:rPr>
        <w:footnoteRef/>
      </w:r>
      <w:r w:rsidRPr="00C9663D">
        <w:rPr>
          <w:rFonts w:ascii="Verdana" w:hAnsi="Verdana"/>
          <w:sz w:val="14"/>
          <w:szCs w:val="14"/>
        </w:rPr>
        <w:t xml:space="preserve"> Kamerstuk 36 045, nr. 173 van 23 december 2023, Kamerstuk 22 054, nr. 400 van 5 februari 2024 en Kamerstuk 22 054, nr. 420 van 13 juni 2024. </w:t>
      </w:r>
    </w:p>
  </w:footnote>
  <w:footnote w:id="6">
    <w:p w14:paraId="3B7E862D" w14:textId="1A0E3435" w:rsidR="007D0E58" w:rsidRDefault="007D0E58" w:rsidP="00A13329">
      <w:pPr>
        <w:pStyle w:val="Voetnoottekst"/>
        <w:spacing w:before="0" w:after="0"/>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De toetsing van specifieke transacties aan de EU wapenexportcriteria kan op verzoek in beginsel vertrouwelijk worden ingezien.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84B6" w14:textId="77777777" w:rsidR="00FC2F7C" w:rsidRDefault="00FC2F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E27C" w14:textId="77777777" w:rsidR="007D0E58" w:rsidRDefault="007D0E5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659160C4" wp14:editId="153A2F6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CBCF6C6" w14:textId="2757AC33" w:rsidR="007D0E58" w:rsidRDefault="007D0E58">
                          <w:pPr>
                            <w:pStyle w:val="Paginanummer-Huisstijl"/>
                          </w:pPr>
                          <w:r>
                            <w:t xml:space="preserve">Pagina </w:t>
                          </w:r>
                          <w:r>
                            <w:fldChar w:fldCharType="begin"/>
                          </w:r>
                          <w:r>
                            <w:instrText xml:space="preserve"> PAGE    \* MERGEFORMAT </w:instrText>
                          </w:r>
                          <w:r>
                            <w:fldChar w:fldCharType="separate"/>
                          </w:r>
                          <w:r w:rsidR="00FC2F7C">
                            <w:rPr>
                              <w:noProof/>
                            </w:rPr>
                            <w:t>4</w:t>
                          </w:r>
                          <w:r>
                            <w:fldChar w:fldCharType="end"/>
                          </w:r>
                          <w:r>
                            <w:t xml:space="preserve"> van </w:t>
                          </w:r>
                          <w:r w:rsidR="00FC2F7C">
                            <w:fldChar w:fldCharType="begin"/>
                          </w:r>
                          <w:r w:rsidR="00FC2F7C">
                            <w:instrText xml:space="preserve"> SECTIONPAGES  \* Arabic  \* MERGEFORMAT </w:instrText>
                          </w:r>
                          <w:r w:rsidR="00FC2F7C">
                            <w:fldChar w:fldCharType="separate"/>
                          </w:r>
                          <w:r w:rsidR="00FC2F7C">
                            <w:rPr>
                              <w:noProof/>
                            </w:rPr>
                            <w:t>4</w:t>
                          </w:r>
                          <w:r w:rsidR="00FC2F7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160C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CBCF6C6" w14:textId="2757AC33" w:rsidR="007D0E58" w:rsidRDefault="007D0E58">
                    <w:pPr>
                      <w:pStyle w:val="Paginanummer-Huisstijl"/>
                    </w:pPr>
                    <w:r>
                      <w:t xml:space="preserve">Pagina </w:t>
                    </w:r>
                    <w:r>
                      <w:fldChar w:fldCharType="begin"/>
                    </w:r>
                    <w:r>
                      <w:instrText xml:space="preserve"> PAGE    \* MERGEFORMAT </w:instrText>
                    </w:r>
                    <w:r>
                      <w:fldChar w:fldCharType="separate"/>
                    </w:r>
                    <w:r w:rsidR="00FC2F7C">
                      <w:rPr>
                        <w:noProof/>
                      </w:rPr>
                      <w:t>4</w:t>
                    </w:r>
                    <w:r>
                      <w:fldChar w:fldCharType="end"/>
                    </w:r>
                    <w:r>
                      <w:t xml:space="preserve"> van </w:t>
                    </w:r>
                    <w:r w:rsidR="00FC2F7C">
                      <w:fldChar w:fldCharType="begin"/>
                    </w:r>
                    <w:r w:rsidR="00FC2F7C">
                      <w:instrText xml:space="preserve"> SECTIONPAGES  \* Arabic  \* MERGEFORMAT </w:instrText>
                    </w:r>
                    <w:r w:rsidR="00FC2F7C">
                      <w:fldChar w:fldCharType="separate"/>
                    </w:r>
                    <w:r w:rsidR="00FC2F7C">
                      <w:rPr>
                        <w:noProof/>
                      </w:rPr>
                      <w:t>4</w:t>
                    </w:r>
                    <w:r w:rsidR="00FC2F7C">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5C36" w14:textId="180459FA" w:rsidR="007D0E58" w:rsidRDefault="007D0E5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C2F7C">
      <w:rPr>
        <w:noProof/>
      </w:rPr>
      <w:t>1</w:t>
    </w:r>
    <w:r>
      <w:fldChar w:fldCharType="end"/>
    </w:r>
    <w:r>
      <w:t xml:space="preserve"> van </w:t>
    </w:r>
    <w:r w:rsidR="00FC2F7C">
      <w:fldChar w:fldCharType="begin"/>
    </w:r>
    <w:r w:rsidR="00FC2F7C">
      <w:instrText xml:space="preserve"> NUMPAGES  \* Arabic  \* MERGEFORMAT </w:instrText>
    </w:r>
    <w:r w:rsidR="00FC2F7C">
      <w:fldChar w:fldCharType="separate"/>
    </w:r>
    <w:r w:rsidR="00FC2F7C">
      <w:rPr>
        <w:noProof/>
      </w:rPr>
      <w:t>4</w:t>
    </w:r>
    <w:r w:rsidR="00FC2F7C">
      <w:rPr>
        <w:noProof/>
      </w:rPr>
      <w:fldChar w:fldCharType="end"/>
    </w:r>
  </w:p>
  <w:p w14:paraId="494658BC" w14:textId="77777777" w:rsidR="007D0E58" w:rsidRDefault="007D0E58" w:rsidP="001E0A0C">
    <w:pPr>
      <w:pStyle w:val="Koptekst"/>
      <w:spacing w:after="0" w:line="240" w:lineRule="auto"/>
    </w:pPr>
  </w:p>
  <w:p w14:paraId="2AC70B53" w14:textId="77777777" w:rsidR="007D0E58" w:rsidRDefault="007D0E58" w:rsidP="001E0A0C">
    <w:pPr>
      <w:pStyle w:val="Koptekst"/>
      <w:spacing w:after="0" w:line="240" w:lineRule="auto"/>
    </w:pPr>
  </w:p>
  <w:p w14:paraId="310A3FA0" w14:textId="77777777" w:rsidR="007D0E58" w:rsidRDefault="007D0E58" w:rsidP="001E0A0C">
    <w:pPr>
      <w:pStyle w:val="Koptekst"/>
      <w:spacing w:after="0" w:line="240" w:lineRule="auto"/>
    </w:pPr>
  </w:p>
  <w:p w14:paraId="7137BA1C" w14:textId="77777777" w:rsidR="007D0E58" w:rsidRDefault="007D0E58" w:rsidP="001E0A0C">
    <w:pPr>
      <w:pStyle w:val="Koptekst"/>
      <w:spacing w:after="0" w:line="240" w:lineRule="auto"/>
    </w:pPr>
  </w:p>
  <w:p w14:paraId="01EBADFA" w14:textId="77777777" w:rsidR="007D0E58" w:rsidRDefault="007D0E58" w:rsidP="001E0A0C">
    <w:pPr>
      <w:pStyle w:val="Koptekst"/>
      <w:spacing w:after="0" w:line="240" w:lineRule="auto"/>
    </w:pPr>
  </w:p>
  <w:p w14:paraId="497DEF37" w14:textId="77777777" w:rsidR="007D0E58" w:rsidRDefault="007D0E58" w:rsidP="001E0A0C">
    <w:pPr>
      <w:pStyle w:val="Koptekst"/>
      <w:spacing w:after="0" w:line="240" w:lineRule="auto"/>
    </w:pPr>
  </w:p>
  <w:p w14:paraId="7F4EEEF0" w14:textId="77777777" w:rsidR="007D0E58" w:rsidRDefault="007D0E58" w:rsidP="001E0A0C">
    <w:pPr>
      <w:pStyle w:val="Koptekst"/>
      <w:spacing w:after="0" w:line="240" w:lineRule="auto"/>
    </w:pPr>
  </w:p>
  <w:p w14:paraId="12317BDB" w14:textId="77777777" w:rsidR="007D0E58" w:rsidRDefault="007D0E58" w:rsidP="001E0A0C">
    <w:pPr>
      <w:pStyle w:val="Koptekst"/>
      <w:spacing w:after="0" w:line="240" w:lineRule="auto"/>
    </w:pPr>
  </w:p>
  <w:p w14:paraId="0F692E0B" w14:textId="77777777" w:rsidR="007D0E58" w:rsidRDefault="007D0E58" w:rsidP="001E0A0C">
    <w:pPr>
      <w:pStyle w:val="Koptekst"/>
      <w:spacing w:after="0" w:line="240" w:lineRule="auto"/>
    </w:pPr>
  </w:p>
  <w:p w14:paraId="51181949" w14:textId="77777777" w:rsidR="007D0E58" w:rsidRDefault="007D0E58" w:rsidP="001E0A0C">
    <w:pPr>
      <w:pStyle w:val="Koptekst"/>
      <w:spacing w:after="0" w:line="240" w:lineRule="auto"/>
    </w:pPr>
  </w:p>
  <w:p w14:paraId="248EF5B0" w14:textId="77777777" w:rsidR="007D0E58" w:rsidRDefault="007D0E58" w:rsidP="001E0A0C">
    <w:pPr>
      <w:pStyle w:val="Koptekst"/>
      <w:spacing w:after="0" w:line="240" w:lineRule="auto"/>
    </w:pPr>
  </w:p>
  <w:p w14:paraId="1B74378F" w14:textId="77777777" w:rsidR="007D0E58" w:rsidRDefault="007D0E58"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2C6AD51" wp14:editId="3AF3C183">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4538433" wp14:editId="0303688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D0E58" w14:paraId="040A8938" w14:textId="77777777">
                            <w:trPr>
                              <w:trHeight w:hRule="exact" w:val="1049"/>
                            </w:trPr>
                            <w:tc>
                              <w:tcPr>
                                <w:tcW w:w="1983" w:type="dxa"/>
                                <w:tcMar>
                                  <w:left w:w="0" w:type="dxa"/>
                                  <w:right w:w="0" w:type="dxa"/>
                                </w:tcMar>
                                <w:vAlign w:val="bottom"/>
                              </w:tcPr>
                              <w:p w14:paraId="60A4244E" w14:textId="77777777" w:rsidR="007D0E58" w:rsidRDefault="007D0E58">
                                <w:pPr>
                                  <w:pStyle w:val="Rubricering-Huisstijl"/>
                                </w:pPr>
                              </w:p>
                              <w:p w14:paraId="1411A599" w14:textId="77777777" w:rsidR="007D0E58" w:rsidRDefault="007D0E58">
                                <w:pPr>
                                  <w:pStyle w:val="Rubricering-Huisstijl"/>
                                </w:pPr>
                              </w:p>
                            </w:tc>
                          </w:tr>
                        </w:tbl>
                        <w:p w14:paraId="233EEA62" w14:textId="77777777" w:rsidR="007D0E58" w:rsidRDefault="007D0E5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38433"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D0E58" w14:paraId="040A8938" w14:textId="77777777">
                      <w:trPr>
                        <w:trHeight w:hRule="exact" w:val="1049"/>
                      </w:trPr>
                      <w:tc>
                        <w:tcPr>
                          <w:tcW w:w="1983" w:type="dxa"/>
                          <w:tcMar>
                            <w:left w:w="0" w:type="dxa"/>
                            <w:right w:w="0" w:type="dxa"/>
                          </w:tcMar>
                          <w:vAlign w:val="bottom"/>
                        </w:tcPr>
                        <w:p w14:paraId="60A4244E" w14:textId="77777777" w:rsidR="007D0E58" w:rsidRDefault="007D0E58">
                          <w:pPr>
                            <w:pStyle w:val="Rubricering-Huisstijl"/>
                          </w:pPr>
                        </w:p>
                        <w:p w14:paraId="1411A599" w14:textId="77777777" w:rsidR="007D0E58" w:rsidRDefault="007D0E58">
                          <w:pPr>
                            <w:pStyle w:val="Rubricering-Huisstijl"/>
                          </w:pPr>
                        </w:p>
                      </w:tc>
                    </w:tr>
                  </w:tbl>
                  <w:p w14:paraId="233EEA62" w14:textId="77777777" w:rsidR="007D0E58" w:rsidRDefault="007D0E5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4CEC2C3" wp14:editId="7B128F0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D0E58" w14:paraId="147759EF" w14:textId="77777777">
                            <w:trPr>
                              <w:trHeight w:val="1274"/>
                            </w:trPr>
                            <w:tc>
                              <w:tcPr>
                                <w:tcW w:w="1968" w:type="dxa"/>
                                <w:tcMar>
                                  <w:left w:w="0" w:type="dxa"/>
                                  <w:right w:w="0" w:type="dxa"/>
                                </w:tcMar>
                                <w:vAlign w:val="bottom"/>
                              </w:tcPr>
                              <w:p w14:paraId="3DADD5F8" w14:textId="77777777" w:rsidR="007D0E58" w:rsidRDefault="007D0E58">
                                <w:pPr>
                                  <w:pStyle w:val="Rubricering-Huisstijl"/>
                                </w:pPr>
                              </w:p>
                              <w:p w14:paraId="50F65067" w14:textId="77777777" w:rsidR="007D0E58" w:rsidRDefault="007D0E58">
                                <w:pPr>
                                  <w:pStyle w:val="Rubricering-Huisstijl"/>
                                </w:pPr>
                              </w:p>
                            </w:tc>
                          </w:tr>
                        </w:tbl>
                        <w:p w14:paraId="41C1E97C" w14:textId="77777777" w:rsidR="007D0E58" w:rsidRDefault="007D0E5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EC2C3"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D0E58" w14:paraId="147759EF" w14:textId="77777777">
                      <w:trPr>
                        <w:trHeight w:val="1274"/>
                      </w:trPr>
                      <w:tc>
                        <w:tcPr>
                          <w:tcW w:w="1968" w:type="dxa"/>
                          <w:tcMar>
                            <w:left w:w="0" w:type="dxa"/>
                            <w:right w:w="0" w:type="dxa"/>
                          </w:tcMar>
                          <w:vAlign w:val="bottom"/>
                        </w:tcPr>
                        <w:p w14:paraId="3DADD5F8" w14:textId="77777777" w:rsidR="007D0E58" w:rsidRDefault="007D0E58">
                          <w:pPr>
                            <w:pStyle w:val="Rubricering-Huisstijl"/>
                          </w:pPr>
                        </w:p>
                        <w:p w14:paraId="50F65067" w14:textId="77777777" w:rsidR="007D0E58" w:rsidRDefault="007D0E58">
                          <w:pPr>
                            <w:pStyle w:val="Rubricering-Huisstijl"/>
                          </w:pPr>
                        </w:p>
                      </w:tc>
                    </w:tr>
                  </w:tbl>
                  <w:p w14:paraId="41C1E97C" w14:textId="77777777" w:rsidR="007D0E58" w:rsidRDefault="007D0E5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1204F3E1" wp14:editId="630CC26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2F000001"/>
    <w:multiLevelType w:val="hybridMultilevel"/>
    <w:tmpl w:val="4F5BD66C"/>
    <w:lvl w:ilvl="0" w:tplc="9BF45456">
      <w:start w:val="1"/>
      <w:numFmt w:val="bullet"/>
      <w:lvlText w:val="·"/>
      <w:lvlJc w:val="left"/>
      <w:pPr>
        <w:ind w:left="360" w:hanging="360"/>
      </w:pPr>
      <w:rPr>
        <w:rFonts w:ascii="Symbol" w:eastAsia="Symbol" w:hAnsi="Symbol" w:cs="Symbol" w:hint="default"/>
        <w:shd w:val="clear" w:color="auto" w:fill="auto"/>
      </w:rPr>
    </w:lvl>
    <w:lvl w:ilvl="1" w:tplc="EA545188">
      <w:start w:val="1"/>
      <w:numFmt w:val="bullet"/>
      <w:lvlText w:val="o"/>
      <w:lvlJc w:val="left"/>
      <w:pPr>
        <w:ind w:left="1080" w:hanging="360"/>
      </w:pPr>
      <w:rPr>
        <w:rFonts w:ascii="Courier New" w:eastAsia="Courier New" w:hAnsi="Courier New" w:cs="Courier New" w:hint="default"/>
        <w:shd w:val="clear" w:color="auto" w:fill="auto"/>
      </w:rPr>
    </w:lvl>
    <w:lvl w:ilvl="2" w:tplc="4490C4E2">
      <w:start w:val="1"/>
      <w:numFmt w:val="bullet"/>
      <w:lvlText w:val="§"/>
      <w:lvlJc w:val="left"/>
      <w:pPr>
        <w:ind w:left="1800" w:hanging="360"/>
      </w:pPr>
      <w:rPr>
        <w:rFonts w:ascii="Wingdings" w:eastAsia="Wingdings" w:hAnsi="Wingdings" w:cs="Wingdings" w:hint="default"/>
        <w:shd w:val="clear" w:color="auto" w:fill="auto"/>
      </w:rPr>
    </w:lvl>
    <w:lvl w:ilvl="3" w:tplc="AF26D684">
      <w:start w:val="1"/>
      <w:numFmt w:val="bullet"/>
      <w:lvlText w:val="·"/>
      <w:lvlJc w:val="left"/>
      <w:pPr>
        <w:ind w:left="2520" w:hanging="360"/>
      </w:pPr>
      <w:rPr>
        <w:rFonts w:ascii="Symbol" w:eastAsia="Symbol" w:hAnsi="Symbol" w:cs="Symbol" w:hint="default"/>
        <w:shd w:val="clear" w:color="auto" w:fill="auto"/>
      </w:rPr>
    </w:lvl>
    <w:lvl w:ilvl="4" w:tplc="37B22586">
      <w:start w:val="1"/>
      <w:numFmt w:val="bullet"/>
      <w:lvlText w:val="o"/>
      <w:lvlJc w:val="left"/>
      <w:pPr>
        <w:ind w:left="3240" w:hanging="360"/>
      </w:pPr>
      <w:rPr>
        <w:rFonts w:ascii="Courier New" w:eastAsia="Courier New" w:hAnsi="Courier New" w:cs="Courier New" w:hint="default"/>
        <w:shd w:val="clear" w:color="auto" w:fill="auto"/>
      </w:rPr>
    </w:lvl>
    <w:lvl w:ilvl="5" w:tplc="ED6A7CBC">
      <w:start w:val="1"/>
      <w:numFmt w:val="bullet"/>
      <w:lvlText w:val="§"/>
      <w:lvlJc w:val="left"/>
      <w:pPr>
        <w:ind w:left="3960" w:hanging="360"/>
      </w:pPr>
      <w:rPr>
        <w:rFonts w:ascii="Wingdings" w:eastAsia="Wingdings" w:hAnsi="Wingdings" w:cs="Wingdings" w:hint="default"/>
        <w:shd w:val="clear" w:color="auto" w:fill="auto"/>
      </w:rPr>
    </w:lvl>
    <w:lvl w:ilvl="6" w:tplc="BEEAA3DC">
      <w:start w:val="1"/>
      <w:numFmt w:val="bullet"/>
      <w:lvlText w:val="·"/>
      <w:lvlJc w:val="left"/>
      <w:pPr>
        <w:ind w:left="4680" w:hanging="360"/>
      </w:pPr>
      <w:rPr>
        <w:rFonts w:ascii="Symbol" w:eastAsia="Symbol" w:hAnsi="Symbol" w:cs="Symbol" w:hint="default"/>
        <w:shd w:val="clear" w:color="auto" w:fill="auto"/>
      </w:rPr>
    </w:lvl>
    <w:lvl w:ilvl="7" w:tplc="DC3441C0">
      <w:start w:val="1"/>
      <w:numFmt w:val="bullet"/>
      <w:lvlText w:val="o"/>
      <w:lvlJc w:val="left"/>
      <w:pPr>
        <w:ind w:left="5400" w:hanging="360"/>
      </w:pPr>
      <w:rPr>
        <w:rFonts w:ascii="Courier New" w:eastAsia="Courier New" w:hAnsi="Courier New" w:cs="Courier New" w:hint="default"/>
        <w:shd w:val="clear" w:color="auto" w:fill="auto"/>
      </w:rPr>
    </w:lvl>
    <w:lvl w:ilvl="8" w:tplc="B75A78DC">
      <w:start w:val="1"/>
      <w:numFmt w:val="bullet"/>
      <w:lvlText w:val="§"/>
      <w:lvlJc w:val="left"/>
      <w:pPr>
        <w:ind w:left="6120" w:hanging="360"/>
      </w:pPr>
      <w:rPr>
        <w:rFonts w:ascii="Wingdings" w:eastAsia="Wingdings" w:hAnsi="Wingdings" w:cs="Wingdings" w:hint="default"/>
        <w:shd w:val="clear" w:color="auto" w:fill="auto"/>
      </w:rPr>
    </w:lvl>
  </w:abstractNum>
  <w:abstractNum w:abstractNumId="11" w15:restartNumberingAfterBreak="0">
    <w:nsid w:val="2F000002"/>
    <w:multiLevelType w:val="hybridMultilevel"/>
    <w:tmpl w:val="3C5A8615"/>
    <w:lvl w:ilvl="0" w:tplc="FBF6C670">
      <w:start w:val="1"/>
      <w:numFmt w:val="bullet"/>
      <w:lvlText w:val="·"/>
      <w:lvlJc w:val="left"/>
      <w:pPr>
        <w:ind w:left="360" w:hanging="360"/>
      </w:pPr>
      <w:rPr>
        <w:rFonts w:ascii="Symbol" w:eastAsia="Symbol" w:hAnsi="Symbol" w:cs="Symbol" w:hint="default"/>
        <w:sz w:val="20"/>
        <w:szCs w:val="20"/>
        <w:shd w:val="clear" w:color="auto" w:fill="auto"/>
      </w:rPr>
    </w:lvl>
    <w:lvl w:ilvl="1" w:tplc="38A2198C">
      <w:start w:val="1"/>
      <w:numFmt w:val="bullet"/>
      <w:lvlText w:val="o"/>
      <w:lvlJc w:val="left"/>
      <w:pPr>
        <w:ind w:left="1440" w:hanging="360"/>
      </w:pPr>
      <w:rPr>
        <w:rFonts w:ascii="Courier New" w:eastAsia="Courier New" w:hAnsi="Courier New" w:cs="Courier New" w:hint="default"/>
        <w:shd w:val="clear" w:color="auto" w:fill="auto"/>
      </w:rPr>
    </w:lvl>
    <w:lvl w:ilvl="2" w:tplc="4E30FBF8">
      <w:start w:val="1"/>
      <w:numFmt w:val="bullet"/>
      <w:lvlText w:val="§"/>
      <w:lvlJc w:val="left"/>
      <w:pPr>
        <w:ind w:left="2160" w:hanging="360"/>
      </w:pPr>
      <w:rPr>
        <w:rFonts w:ascii="Wingdings" w:eastAsia="Wingdings" w:hAnsi="Wingdings" w:cs="Wingdings" w:hint="default"/>
        <w:shd w:val="clear" w:color="auto" w:fill="auto"/>
      </w:rPr>
    </w:lvl>
    <w:lvl w:ilvl="3" w:tplc="01244496">
      <w:start w:val="1"/>
      <w:numFmt w:val="bullet"/>
      <w:lvlText w:val="·"/>
      <w:lvlJc w:val="left"/>
      <w:pPr>
        <w:ind w:left="2880" w:hanging="360"/>
      </w:pPr>
      <w:rPr>
        <w:rFonts w:ascii="Symbol" w:eastAsia="Symbol" w:hAnsi="Symbol" w:cs="Symbol" w:hint="default"/>
        <w:shd w:val="clear" w:color="auto" w:fill="auto"/>
      </w:rPr>
    </w:lvl>
    <w:lvl w:ilvl="4" w:tplc="9E548574">
      <w:start w:val="1"/>
      <w:numFmt w:val="bullet"/>
      <w:lvlText w:val="o"/>
      <w:lvlJc w:val="left"/>
      <w:pPr>
        <w:ind w:left="3600" w:hanging="360"/>
      </w:pPr>
      <w:rPr>
        <w:rFonts w:ascii="Courier New" w:eastAsia="Courier New" w:hAnsi="Courier New" w:cs="Courier New" w:hint="default"/>
        <w:shd w:val="clear" w:color="auto" w:fill="auto"/>
      </w:rPr>
    </w:lvl>
    <w:lvl w:ilvl="5" w:tplc="4E0A3FE0">
      <w:start w:val="1"/>
      <w:numFmt w:val="bullet"/>
      <w:lvlText w:val="§"/>
      <w:lvlJc w:val="left"/>
      <w:pPr>
        <w:ind w:left="4320" w:hanging="360"/>
      </w:pPr>
      <w:rPr>
        <w:rFonts w:ascii="Wingdings" w:eastAsia="Wingdings" w:hAnsi="Wingdings" w:cs="Wingdings" w:hint="default"/>
        <w:shd w:val="clear" w:color="auto" w:fill="auto"/>
      </w:rPr>
    </w:lvl>
    <w:lvl w:ilvl="6" w:tplc="D29E9A36">
      <w:start w:val="1"/>
      <w:numFmt w:val="bullet"/>
      <w:lvlText w:val="·"/>
      <w:lvlJc w:val="left"/>
      <w:pPr>
        <w:ind w:left="5040" w:hanging="360"/>
      </w:pPr>
      <w:rPr>
        <w:rFonts w:ascii="Symbol" w:eastAsia="Symbol" w:hAnsi="Symbol" w:cs="Symbol" w:hint="default"/>
        <w:shd w:val="clear" w:color="auto" w:fill="auto"/>
      </w:rPr>
    </w:lvl>
    <w:lvl w:ilvl="7" w:tplc="6FEC37AA">
      <w:start w:val="1"/>
      <w:numFmt w:val="bullet"/>
      <w:lvlText w:val="o"/>
      <w:lvlJc w:val="left"/>
      <w:pPr>
        <w:ind w:left="5760" w:hanging="360"/>
      </w:pPr>
      <w:rPr>
        <w:rFonts w:ascii="Courier New" w:eastAsia="Courier New" w:hAnsi="Courier New" w:cs="Courier New" w:hint="default"/>
        <w:shd w:val="clear" w:color="auto" w:fill="auto"/>
      </w:rPr>
    </w:lvl>
    <w:lvl w:ilvl="8" w:tplc="E6922194">
      <w:start w:val="1"/>
      <w:numFmt w:val="bullet"/>
      <w:lvlText w:val="§"/>
      <w:lvlJc w:val="left"/>
      <w:pPr>
        <w:ind w:left="6480" w:hanging="360"/>
      </w:pPr>
      <w:rPr>
        <w:rFonts w:ascii="Wingdings" w:eastAsia="Wingdings" w:hAnsi="Wingdings" w:cs="Wingdings" w:hint="default"/>
        <w:shd w:val="clear" w:color="auto" w:fill="auto"/>
      </w:rPr>
    </w:lvl>
  </w:abstractNum>
  <w:abstractNum w:abstractNumId="12" w15:restartNumberingAfterBreak="0">
    <w:nsid w:val="2F000003"/>
    <w:multiLevelType w:val="hybridMultilevel"/>
    <w:tmpl w:val="4118DBC1"/>
    <w:lvl w:ilvl="0" w:tplc="126046E0">
      <w:start w:val="1"/>
      <w:numFmt w:val="bullet"/>
      <w:lvlText w:val="·"/>
      <w:lvlJc w:val="left"/>
      <w:pPr>
        <w:ind w:left="360" w:hanging="360"/>
      </w:pPr>
      <w:rPr>
        <w:rFonts w:ascii="Symbol" w:eastAsia="Symbol" w:hAnsi="Symbol" w:cs="Symbol" w:hint="default"/>
        <w:shd w:val="clear" w:color="auto" w:fill="auto"/>
      </w:rPr>
    </w:lvl>
    <w:lvl w:ilvl="1" w:tplc="5836930A">
      <w:start w:val="1"/>
      <w:numFmt w:val="bullet"/>
      <w:lvlText w:val="o"/>
      <w:lvlJc w:val="left"/>
      <w:pPr>
        <w:ind w:left="1080" w:hanging="360"/>
      </w:pPr>
      <w:rPr>
        <w:rFonts w:ascii="Courier New" w:eastAsia="Courier New" w:hAnsi="Courier New" w:cs="Courier New" w:hint="default"/>
        <w:shd w:val="clear" w:color="auto" w:fill="auto"/>
      </w:rPr>
    </w:lvl>
    <w:lvl w:ilvl="2" w:tplc="842AC0F4">
      <w:start w:val="1"/>
      <w:numFmt w:val="bullet"/>
      <w:lvlText w:val="§"/>
      <w:lvlJc w:val="left"/>
      <w:pPr>
        <w:ind w:left="1800" w:hanging="360"/>
      </w:pPr>
      <w:rPr>
        <w:rFonts w:ascii="Wingdings" w:eastAsia="Wingdings" w:hAnsi="Wingdings" w:cs="Wingdings" w:hint="default"/>
        <w:shd w:val="clear" w:color="auto" w:fill="auto"/>
      </w:rPr>
    </w:lvl>
    <w:lvl w:ilvl="3" w:tplc="F6C43F08">
      <w:start w:val="1"/>
      <w:numFmt w:val="bullet"/>
      <w:lvlText w:val="·"/>
      <w:lvlJc w:val="left"/>
      <w:pPr>
        <w:ind w:left="2520" w:hanging="360"/>
      </w:pPr>
      <w:rPr>
        <w:rFonts w:ascii="Symbol" w:eastAsia="Symbol" w:hAnsi="Symbol" w:cs="Symbol" w:hint="default"/>
        <w:shd w:val="clear" w:color="auto" w:fill="auto"/>
      </w:rPr>
    </w:lvl>
    <w:lvl w:ilvl="4" w:tplc="7AFEDA36">
      <w:start w:val="1"/>
      <w:numFmt w:val="bullet"/>
      <w:lvlText w:val="o"/>
      <w:lvlJc w:val="left"/>
      <w:pPr>
        <w:ind w:left="3240" w:hanging="360"/>
      </w:pPr>
      <w:rPr>
        <w:rFonts w:ascii="Courier New" w:eastAsia="Courier New" w:hAnsi="Courier New" w:cs="Courier New" w:hint="default"/>
        <w:shd w:val="clear" w:color="auto" w:fill="auto"/>
      </w:rPr>
    </w:lvl>
    <w:lvl w:ilvl="5" w:tplc="F27AC3FE">
      <w:start w:val="1"/>
      <w:numFmt w:val="bullet"/>
      <w:lvlText w:val="§"/>
      <w:lvlJc w:val="left"/>
      <w:pPr>
        <w:ind w:left="3960" w:hanging="360"/>
      </w:pPr>
      <w:rPr>
        <w:rFonts w:ascii="Wingdings" w:eastAsia="Wingdings" w:hAnsi="Wingdings" w:cs="Wingdings" w:hint="default"/>
        <w:shd w:val="clear" w:color="auto" w:fill="auto"/>
      </w:rPr>
    </w:lvl>
    <w:lvl w:ilvl="6" w:tplc="9C90CBA0">
      <w:start w:val="1"/>
      <w:numFmt w:val="bullet"/>
      <w:lvlText w:val="·"/>
      <w:lvlJc w:val="left"/>
      <w:pPr>
        <w:ind w:left="4680" w:hanging="360"/>
      </w:pPr>
      <w:rPr>
        <w:rFonts w:ascii="Symbol" w:eastAsia="Symbol" w:hAnsi="Symbol" w:cs="Symbol" w:hint="default"/>
        <w:shd w:val="clear" w:color="auto" w:fill="auto"/>
      </w:rPr>
    </w:lvl>
    <w:lvl w:ilvl="7" w:tplc="74E03C0E">
      <w:start w:val="1"/>
      <w:numFmt w:val="bullet"/>
      <w:lvlText w:val="o"/>
      <w:lvlJc w:val="left"/>
      <w:pPr>
        <w:ind w:left="5400" w:hanging="360"/>
      </w:pPr>
      <w:rPr>
        <w:rFonts w:ascii="Courier New" w:eastAsia="Courier New" w:hAnsi="Courier New" w:cs="Courier New" w:hint="default"/>
        <w:shd w:val="clear" w:color="auto" w:fill="auto"/>
      </w:rPr>
    </w:lvl>
    <w:lvl w:ilvl="8" w:tplc="771C0380">
      <w:start w:val="1"/>
      <w:numFmt w:val="bullet"/>
      <w:lvlText w:val="§"/>
      <w:lvlJc w:val="left"/>
      <w:pPr>
        <w:ind w:left="6120" w:hanging="360"/>
      </w:pPr>
      <w:rPr>
        <w:rFonts w:ascii="Wingdings" w:eastAsia="Wingdings" w:hAnsi="Wingdings" w:cs="Wingdings" w:hint="default"/>
        <w:shd w:val="clear" w:color="auto" w:fill="auto"/>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9"/>
  </w:num>
  <w:num w:numId="8">
    <w:abstractNumId w:val="7"/>
  </w:num>
  <w:num w:numId="9">
    <w:abstractNumId w:val="17"/>
  </w:num>
  <w:num w:numId="10">
    <w:abstractNumId w:val="14"/>
  </w:num>
  <w:num w:numId="11">
    <w:abstractNumId w:val="1"/>
  </w:num>
  <w:num w:numId="12">
    <w:abstractNumId w:val="16"/>
  </w:num>
  <w:num w:numId="13">
    <w:abstractNumId w:val="5"/>
  </w:num>
  <w:num w:numId="14">
    <w:abstractNumId w:val="20"/>
  </w:num>
  <w:num w:numId="15">
    <w:abstractNumId w:val="18"/>
  </w:num>
  <w:num w:numId="16">
    <w:abstractNumId w:val="8"/>
  </w:num>
  <w:num w:numId="17">
    <w:abstractNumId w:val="13"/>
  </w:num>
  <w:num w:numId="18">
    <w:abstractNumId w:val="15"/>
  </w:num>
  <w:num w:numId="19">
    <w:abstractNumId w:val="11"/>
  </w:num>
  <w:num w:numId="20">
    <w:abstractNumId w:val="12"/>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4915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3"/>
    <w:rsid w:val="00001972"/>
    <w:rsid w:val="0000462D"/>
    <w:rsid w:val="00007ABC"/>
    <w:rsid w:val="00013432"/>
    <w:rsid w:val="000247E4"/>
    <w:rsid w:val="00030F4B"/>
    <w:rsid w:val="00034587"/>
    <w:rsid w:val="00037E99"/>
    <w:rsid w:val="000503BE"/>
    <w:rsid w:val="000537BF"/>
    <w:rsid w:val="00057DFD"/>
    <w:rsid w:val="000605A5"/>
    <w:rsid w:val="000609D1"/>
    <w:rsid w:val="00070F18"/>
    <w:rsid w:val="000718DF"/>
    <w:rsid w:val="00076014"/>
    <w:rsid w:val="00090FCA"/>
    <w:rsid w:val="00096025"/>
    <w:rsid w:val="000B3DC6"/>
    <w:rsid w:val="000C5B9A"/>
    <w:rsid w:val="000D0975"/>
    <w:rsid w:val="000D19DB"/>
    <w:rsid w:val="000E25B3"/>
    <w:rsid w:val="000E5BD5"/>
    <w:rsid w:val="000F4AD1"/>
    <w:rsid w:val="00102BC7"/>
    <w:rsid w:val="00113A09"/>
    <w:rsid w:val="00114173"/>
    <w:rsid w:val="0012208E"/>
    <w:rsid w:val="0012473F"/>
    <w:rsid w:val="001261CA"/>
    <w:rsid w:val="00126A63"/>
    <w:rsid w:val="00145577"/>
    <w:rsid w:val="00147198"/>
    <w:rsid w:val="0015319A"/>
    <w:rsid w:val="00166B51"/>
    <w:rsid w:val="00173BA8"/>
    <w:rsid w:val="0018498B"/>
    <w:rsid w:val="001863E9"/>
    <w:rsid w:val="001874DF"/>
    <w:rsid w:val="00194892"/>
    <w:rsid w:val="00197AA3"/>
    <w:rsid w:val="001A38C2"/>
    <w:rsid w:val="001A4B9E"/>
    <w:rsid w:val="001A5484"/>
    <w:rsid w:val="001B1B69"/>
    <w:rsid w:val="001B1B99"/>
    <w:rsid w:val="001B3349"/>
    <w:rsid w:val="001C42AA"/>
    <w:rsid w:val="001C44AE"/>
    <w:rsid w:val="001D20F6"/>
    <w:rsid w:val="001D34D1"/>
    <w:rsid w:val="001D35F1"/>
    <w:rsid w:val="001D3B3B"/>
    <w:rsid w:val="001E0A0C"/>
    <w:rsid w:val="001E2263"/>
    <w:rsid w:val="001E23C4"/>
    <w:rsid w:val="001E45EE"/>
    <w:rsid w:val="001F2B92"/>
    <w:rsid w:val="001F5313"/>
    <w:rsid w:val="00210349"/>
    <w:rsid w:val="002161F3"/>
    <w:rsid w:val="00222085"/>
    <w:rsid w:val="002238A6"/>
    <w:rsid w:val="002315C9"/>
    <w:rsid w:val="002341CC"/>
    <w:rsid w:val="00234F08"/>
    <w:rsid w:val="00241EB6"/>
    <w:rsid w:val="0024266E"/>
    <w:rsid w:val="002442B6"/>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067E4"/>
    <w:rsid w:val="0031619B"/>
    <w:rsid w:val="00316E6F"/>
    <w:rsid w:val="003177F0"/>
    <w:rsid w:val="0032370A"/>
    <w:rsid w:val="003433DF"/>
    <w:rsid w:val="00343458"/>
    <w:rsid w:val="00372F73"/>
    <w:rsid w:val="00375465"/>
    <w:rsid w:val="00385E03"/>
    <w:rsid w:val="003918AF"/>
    <w:rsid w:val="00395828"/>
    <w:rsid w:val="003A5399"/>
    <w:rsid w:val="003C3279"/>
    <w:rsid w:val="003C4AA2"/>
    <w:rsid w:val="003C4F07"/>
    <w:rsid w:val="003D6BE4"/>
    <w:rsid w:val="003D7FAA"/>
    <w:rsid w:val="003E2999"/>
    <w:rsid w:val="003F2336"/>
    <w:rsid w:val="003F46A3"/>
    <w:rsid w:val="003F4F40"/>
    <w:rsid w:val="003F72C3"/>
    <w:rsid w:val="003F7896"/>
    <w:rsid w:val="0040612F"/>
    <w:rsid w:val="00411ECA"/>
    <w:rsid w:val="00421CB2"/>
    <w:rsid w:val="00423DED"/>
    <w:rsid w:val="0042405C"/>
    <w:rsid w:val="0042438A"/>
    <w:rsid w:val="00424CCD"/>
    <w:rsid w:val="00430A68"/>
    <w:rsid w:val="00432742"/>
    <w:rsid w:val="0044385C"/>
    <w:rsid w:val="004472CC"/>
    <w:rsid w:val="00447563"/>
    <w:rsid w:val="00460D4E"/>
    <w:rsid w:val="00464E55"/>
    <w:rsid w:val="004901B8"/>
    <w:rsid w:val="004942D2"/>
    <w:rsid w:val="004A1CC2"/>
    <w:rsid w:val="004B0E47"/>
    <w:rsid w:val="004C06E9"/>
    <w:rsid w:val="004D5253"/>
    <w:rsid w:val="004E2B06"/>
    <w:rsid w:val="004E34B0"/>
    <w:rsid w:val="004E53CB"/>
    <w:rsid w:val="0050690D"/>
    <w:rsid w:val="0052640B"/>
    <w:rsid w:val="005348AC"/>
    <w:rsid w:val="00534BC3"/>
    <w:rsid w:val="00554568"/>
    <w:rsid w:val="00566704"/>
    <w:rsid w:val="00587114"/>
    <w:rsid w:val="00596A52"/>
    <w:rsid w:val="005A2A6C"/>
    <w:rsid w:val="005A3F68"/>
    <w:rsid w:val="005A50BA"/>
    <w:rsid w:val="005C4B86"/>
    <w:rsid w:val="005D1E20"/>
    <w:rsid w:val="005D2AE9"/>
    <w:rsid w:val="005D33EB"/>
    <w:rsid w:val="005D5F99"/>
    <w:rsid w:val="005E51A9"/>
    <w:rsid w:val="005E7487"/>
    <w:rsid w:val="006003A0"/>
    <w:rsid w:val="0060422E"/>
    <w:rsid w:val="00623655"/>
    <w:rsid w:val="006241DB"/>
    <w:rsid w:val="006257EB"/>
    <w:rsid w:val="00626F8C"/>
    <w:rsid w:val="00637325"/>
    <w:rsid w:val="00640CB1"/>
    <w:rsid w:val="00642C52"/>
    <w:rsid w:val="006441DF"/>
    <w:rsid w:val="00646C84"/>
    <w:rsid w:val="0065060E"/>
    <w:rsid w:val="00652223"/>
    <w:rsid w:val="00655408"/>
    <w:rsid w:val="00675E64"/>
    <w:rsid w:val="00697BA5"/>
    <w:rsid w:val="006A03E6"/>
    <w:rsid w:val="006A0D68"/>
    <w:rsid w:val="006B2A52"/>
    <w:rsid w:val="006B51CD"/>
    <w:rsid w:val="006B6AE7"/>
    <w:rsid w:val="006D0865"/>
    <w:rsid w:val="006D0E2E"/>
    <w:rsid w:val="006D4DE7"/>
    <w:rsid w:val="006D6B61"/>
    <w:rsid w:val="006F590B"/>
    <w:rsid w:val="007008BD"/>
    <w:rsid w:val="00701C27"/>
    <w:rsid w:val="00701FEB"/>
    <w:rsid w:val="0070547E"/>
    <w:rsid w:val="0071103C"/>
    <w:rsid w:val="0071152F"/>
    <w:rsid w:val="00715023"/>
    <w:rsid w:val="007239C0"/>
    <w:rsid w:val="0072417E"/>
    <w:rsid w:val="00730786"/>
    <w:rsid w:val="00743FC8"/>
    <w:rsid w:val="00747697"/>
    <w:rsid w:val="007549D9"/>
    <w:rsid w:val="00755207"/>
    <w:rsid w:val="00762160"/>
    <w:rsid w:val="00765C53"/>
    <w:rsid w:val="00767792"/>
    <w:rsid w:val="00773D17"/>
    <w:rsid w:val="00791C0F"/>
    <w:rsid w:val="007A2822"/>
    <w:rsid w:val="007A7018"/>
    <w:rsid w:val="007B0B76"/>
    <w:rsid w:val="007B340F"/>
    <w:rsid w:val="007B4D24"/>
    <w:rsid w:val="007C6A73"/>
    <w:rsid w:val="007C6C97"/>
    <w:rsid w:val="007D0E58"/>
    <w:rsid w:val="007D4B04"/>
    <w:rsid w:val="007D75C6"/>
    <w:rsid w:val="00801481"/>
    <w:rsid w:val="00803B7B"/>
    <w:rsid w:val="00804927"/>
    <w:rsid w:val="00807154"/>
    <w:rsid w:val="00816463"/>
    <w:rsid w:val="008172E6"/>
    <w:rsid w:val="00821A27"/>
    <w:rsid w:val="00834709"/>
    <w:rsid w:val="00837C7F"/>
    <w:rsid w:val="00854E9B"/>
    <w:rsid w:val="008655E7"/>
    <w:rsid w:val="00866A83"/>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07E0E"/>
    <w:rsid w:val="00910062"/>
    <w:rsid w:val="0092106C"/>
    <w:rsid w:val="0093242C"/>
    <w:rsid w:val="009459A1"/>
    <w:rsid w:val="00964168"/>
    <w:rsid w:val="00965521"/>
    <w:rsid w:val="00971A71"/>
    <w:rsid w:val="00981162"/>
    <w:rsid w:val="0098313C"/>
    <w:rsid w:val="0099070B"/>
    <w:rsid w:val="009911EA"/>
    <w:rsid w:val="00992639"/>
    <w:rsid w:val="00993746"/>
    <w:rsid w:val="009A0B66"/>
    <w:rsid w:val="009B2E39"/>
    <w:rsid w:val="009C283A"/>
    <w:rsid w:val="009C5173"/>
    <w:rsid w:val="009C6316"/>
    <w:rsid w:val="009D15E6"/>
    <w:rsid w:val="009D4D9A"/>
    <w:rsid w:val="009E1207"/>
    <w:rsid w:val="009F01F6"/>
    <w:rsid w:val="009F741F"/>
    <w:rsid w:val="00A01699"/>
    <w:rsid w:val="00A13329"/>
    <w:rsid w:val="00A17844"/>
    <w:rsid w:val="00A20678"/>
    <w:rsid w:val="00A212C8"/>
    <w:rsid w:val="00A25A2B"/>
    <w:rsid w:val="00A42B10"/>
    <w:rsid w:val="00A4515C"/>
    <w:rsid w:val="00A473A2"/>
    <w:rsid w:val="00A54BF5"/>
    <w:rsid w:val="00A70CA4"/>
    <w:rsid w:val="00A73535"/>
    <w:rsid w:val="00A74EB5"/>
    <w:rsid w:val="00A75997"/>
    <w:rsid w:val="00A85074"/>
    <w:rsid w:val="00A93006"/>
    <w:rsid w:val="00AA5907"/>
    <w:rsid w:val="00AA62CF"/>
    <w:rsid w:val="00AB6B7D"/>
    <w:rsid w:val="00AB7285"/>
    <w:rsid w:val="00AB7964"/>
    <w:rsid w:val="00AC0AD7"/>
    <w:rsid w:val="00AC67B6"/>
    <w:rsid w:val="00AD28BD"/>
    <w:rsid w:val="00AD4968"/>
    <w:rsid w:val="00AD621D"/>
    <w:rsid w:val="00AD7830"/>
    <w:rsid w:val="00AE0249"/>
    <w:rsid w:val="00AE0C75"/>
    <w:rsid w:val="00AE4C45"/>
    <w:rsid w:val="00AE4F70"/>
    <w:rsid w:val="00AE5BFC"/>
    <w:rsid w:val="00B07EF5"/>
    <w:rsid w:val="00B12E4C"/>
    <w:rsid w:val="00B1421F"/>
    <w:rsid w:val="00B142BB"/>
    <w:rsid w:val="00B249F5"/>
    <w:rsid w:val="00B47722"/>
    <w:rsid w:val="00B61F48"/>
    <w:rsid w:val="00B669CF"/>
    <w:rsid w:val="00B821DA"/>
    <w:rsid w:val="00B91A7C"/>
    <w:rsid w:val="00B934C7"/>
    <w:rsid w:val="00BA4448"/>
    <w:rsid w:val="00BB0FCC"/>
    <w:rsid w:val="00BB69DA"/>
    <w:rsid w:val="00BC1A6B"/>
    <w:rsid w:val="00BD45B5"/>
    <w:rsid w:val="00BD6A25"/>
    <w:rsid w:val="00BE1E55"/>
    <w:rsid w:val="00BE2D79"/>
    <w:rsid w:val="00BE50A7"/>
    <w:rsid w:val="00BE708A"/>
    <w:rsid w:val="00BF05BB"/>
    <w:rsid w:val="00BF0A0A"/>
    <w:rsid w:val="00BF2927"/>
    <w:rsid w:val="00C017D6"/>
    <w:rsid w:val="00C05768"/>
    <w:rsid w:val="00C078B7"/>
    <w:rsid w:val="00C23CC7"/>
    <w:rsid w:val="00C3606D"/>
    <w:rsid w:val="00C36A6F"/>
    <w:rsid w:val="00C370CC"/>
    <w:rsid w:val="00C42927"/>
    <w:rsid w:val="00C45C39"/>
    <w:rsid w:val="00C45F17"/>
    <w:rsid w:val="00C539C2"/>
    <w:rsid w:val="00C55B33"/>
    <w:rsid w:val="00C70906"/>
    <w:rsid w:val="00C87479"/>
    <w:rsid w:val="00C87673"/>
    <w:rsid w:val="00C93038"/>
    <w:rsid w:val="00C9663D"/>
    <w:rsid w:val="00CB7EF3"/>
    <w:rsid w:val="00CC4D1D"/>
    <w:rsid w:val="00CC6BF3"/>
    <w:rsid w:val="00CD5FC5"/>
    <w:rsid w:val="00CD6C56"/>
    <w:rsid w:val="00CF3370"/>
    <w:rsid w:val="00CF63B8"/>
    <w:rsid w:val="00D05C33"/>
    <w:rsid w:val="00D1163F"/>
    <w:rsid w:val="00D15FD6"/>
    <w:rsid w:val="00D21110"/>
    <w:rsid w:val="00D21AAA"/>
    <w:rsid w:val="00D24F30"/>
    <w:rsid w:val="00D260B2"/>
    <w:rsid w:val="00D260CE"/>
    <w:rsid w:val="00D32089"/>
    <w:rsid w:val="00D33128"/>
    <w:rsid w:val="00D36E0B"/>
    <w:rsid w:val="00D42E0D"/>
    <w:rsid w:val="00D43433"/>
    <w:rsid w:val="00D75FE2"/>
    <w:rsid w:val="00D8409E"/>
    <w:rsid w:val="00D86FCD"/>
    <w:rsid w:val="00D927FE"/>
    <w:rsid w:val="00D943DE"/>
    <w:rsid w:val="00DA0CD3"/>
    <w:rsid w:val="00DA47C4"/>
    <w:rsid w:val="00DA72E4"/>
    <w:rsid w:val="00DB5AD2"/>
    <w:rsid w:val="00DC2AB1"/>
    <w:rsid w:val="00DE0D2F"/>
    <w:rsid w:val="00DE57C8"/>
    <w:rsid w:val="00DF09E3"/>
    <w:rsid w:val="00DF1472"/>
    <w:rsid w:val="00DF7C21"/>
    <w:rsid w:val="00E24E54"/>
    <w:rsid w:val="00E26D15"/>
    <w:rsid w:val="00E36D52"/>
    <w:rsid w:val="00E41E85"/>
    <w:rsid w:val="00E42927"/>
    <w:rsid w:val="00E4715F"/>
    <w:rsid w:val="00E54970"/>
    <w:rsid w:val="00E5734B"/>
    <w:rsid w:val="00E57D29"/>
    <w:rsid w:val="00E61511"/>
    <w:rsid w:val="00E62B19"/>
    <w:rsid w:val="00E654B6"/>
    <w:rsid w:val="00E72065"/>
    <w:rsid w:val="00E759DA"/>
    <w:rsid w:val="00E75FD6"/>
    <w:rsid w:val="00E771D0"/>
    <w:rsid w:val="00E8200A"/>
    <w:rsid w:val="00EA63DF"/>
    <w:rsid w:val="00EB249B"/>
    <w:rsid w:val="00EB2C68"/>
    <w:rsid w:val="00EB2E29"/>
    <w:rsid w:val="00EB3E8C"/>
    <w:rsid w:val="00EB6CBE"/>
    <w:rsid w:val="00EC2706"/>
    <w:rsid w:val="00ED3EAC"/>
    <w:rsid w:val="00EE2969"/>
    <w:rsid w:val="00EE629D"/>
    <w:rsid w:val="00EE7661"/>
    <w:rsid w:val="00EF2BDB"/>
    <w:rsid w:val="00F01183"/>
    <w:rsid w:val="00F023CF"/>
    <w:rsid w:val="00F10C1A"/>
    <w:rsid w:val="00F11072"/>
    <w:rsid w:val="00F14EE4"/>
    <w:rsid w:val="00F3235A"/>
    <w:rsid w:val="00F51C14"/>
    <w:rsid w:val="00F525EE"/>
    <w:rsid w:val="00F52D52"/>
    <w:rsid w:val="00F550C5"/>
    <w:rsid w:val="00F56C1D"/>
    <w:rsid w:val="00F579EA"/>
    <w:rsid w:val="00F6079D"/>
    <w:rsid w:val="00F62306"/>
    <w:rsid w:val="00F72F27"/>
    <w:rsid w:val="00F80EEB"/>
    <w:rsid w:val="00F901FE"/>
    <w:rsid w:val="00FA0B2F"/>
    <w:rsid w:val="00FA7018"/>
    <w:rsid w:val="00FB1934"/>
    <w:rsid w:val="00FC2F7C"/>
    <w:rsid w:val="00FC5340"/>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B40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9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rsid w:val="00866A83"/>
    <w:pPr>
      <w:suppressAutoHyphens w:val="0"/>
      <w:autoSpaceDN/>
      <w:spacing w:before="60" w:after="60" w:line="240" w:lineRule="auto"/>
      <w:textAlignment w:val="auto"/>
    </w:pPr>
    <w:rPr>
      <w:rFonts w:ascii="Times New Roman" w:eastAsia="Times New Roman" w:hAnsi="Times New Roman" w:cs="Times New Roman"/>
      <w:kern w:val="0"/>
      <w:sz w:val="20"/>
      <w:szCs w:val="20"/>
      <w:lang w:eastAsia="nl-NL" w:bidi="ar-SA"/>
    </w:rPr>
  </w:style>
  <w:style w:type="character" w:customStyle="1" w:styleId="VoetnoottekstChar">
    <w:name w:val="Voetnoottekst Char"/>
    <w:basedOn w:val="Standaardalinea-lettertype"/>
    <w:link w:val="Voetnoottekst"/>
    <w:uiPriority w:val="99"/>
    <w:rsid w:val="00866A83"/>
    <w:rPr>
      <w:rFonts w:eastAsia="Times New Roman" w:cs="Times New Roman"/>
      <w:kern w:val="0"/>
      <w:sz w:val="20"/>
      <w:szCs w:val="20"/>
      <w:lang w:eastAsia="nl-NL" w:bidi="ar-SA"/>
    </w:rPr>
  </w:style>
  <w:style w:type="character" w:styleId="Voetnootmarkering">
    <w:name w:val="footnote reference"/>
    <w:basedOn w:val="Standaardalinea-lettertype"/>
    <w:uiPriority w:val="99"/>
    <w:rsid w:val="00866A83"/>
    <w:rPr>
      <w:rFonts w:cs="Times New Roman"/>
      <w:shd w:val="clear" w:color="auto" w:fill="auto"/>
      <w:vertAlign w:val="superscript"/>
    </w:rPr>
  </w:style>
  <w:style w:type="character" w:customStyle="1" w:styleId="LijstalineaChar">
    <w:name w:val="Lijstalinea Char"/>
    <w:basedOn w:val="Standaardalinea-lettertype"/>
    <w:link w:val="Lijstalinea"/>
    <w:uiPriority w:val="34"/>
    <w:qFormat/>
    <w:rsid w:val="00866A83"/>
    <w:rPr>
      <w:rFonts w:ascii="Verdana" w:hAnsi="Verdana" w:cs="Mangal"/>
      <w:sz w:val="18"/>
      <w:szCs w:val="16"/>
    </w:rPr>
  </w:style>
  <w:style w:type="character" w:styleId="Verwijzingopmerking">
    <w:name w:val="annotation reference"/>
    <w:basedOn w:val="Standaardalinea-lettertype"/>
    <w:uiPriority w:val="99"/>
    <w:semiHidden/>
    <w:unhideWhenUsed/>
    <w:rsid w:val="00EB3E8C"/>
    <w:rPr>
      <w:sz w:val="16"/>
      <w:szCs w:val="16"/>
    </w:rPr>
  </w:style>
  <w:style w:type="paragraph" w:styleId="Tekstopmerking">
    <w:name w:val="annotation text"/>
    <w:basedOn w:val="Standaard"/>
    <w:link w:val="TekstopmerkingChar"/>
    <w:uiPriority w:val="99"/>
    <w:semiHidden/>
    <w:unhideWhenUsed/>
    <w:rsid w:val="00EB3E8C"/>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EB3E8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B3E8C"/>
    <w:rPr>
      <w:b/>
      <w:bCs/>
    </w:rPr>
  </w:style>
  <w:style w:type="character" w:customStyle="1" w:styleId="OnderwerpvanopmerkingChar">
    <w:name w:val="Onderwerp van opmerking Char"/>
    <w:basedOn w:val="TekstopmerkingChar"/>
    <w:link w:val="Onderwerpvanopmerking"/>
    <w:uiPriority w:val="99"/>
    <w:semiHidden/>
    <w:rsid w:val="00EB3E8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85446796">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39689E9ED845DE87A4699DC9C213D1"/>
        <w:category>
          <w:name w:val="Algemeen"/>
          <w:gallery w:val="placeholder"/>
        </w:category>
        <w:types>
          <w:type w:val="bbPlcHdr"/>
        </w:types>
        <w:behaviors>
          <w:behavior w:val="content"/>
        </w:behaviors>
        <w:guid w:val="{BFDFF47A-6792-4D7C-B54F-F392B1DA23D6}"/>
      </w:docPartPr>
      <w:docPartBody>
        <w:p w:rsidR="00DF3E87" w:rsidRDefault="00DF3E87">
          <w:pPr>
            <w:pStyle w:val="C539689E9ED845DE87A4699DC9C213D1"/>
          </w:pPr>
          <w:r w:rsidRPr="0059366F">
            <w:rPr>
              <w:rStyle w:val="Tekstvantijdelijkeaanduiding"/>
            </w:rPr>
            <w:t>Klik of tik om een datum in te voeren.</w:t>
          </w:r>
        </w:p>
      </w:docPartBody>
    </w:docPart>
    <w:docPart>
      <w:docPartPr>
        <w:name w:val="57E68DABBED84F31BAB8ED822AF20A57"/>
        <w:category>
          <w:name w:val="Algemeen"/>
          <w:gallery w:val="placeholder"/>
        </w:category>
        <w:types>
          <w:type w:val="bbPlcHdr"/>
        </w:types>
        <w:behaviors>
          <w:behavior w:val="content"/>
        </w:behaviors>
        <w:guid w:val="{9232F889-382A-4640-945D-E308704444E2}"/>
      </w:docPartPr>
      <w:docPartBody>
        <w:p w:rsidR="00DF3E87" w:rsidRDefault="00DF3E87">
          <w:pPr>
            <w:pStyle w:val="57E68DABBED84F31BAB8ED822AF20A57"/>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87"/>
    <w:rsid w:val="00671938"/>
    <w:rsid w:val="006E0521"/>
    <w:rsid w:val="006E2C0A"/>
    <w:rsid w:val="0074489E"/>
    <w:rsid w:val="008130A3"/>
    <w:rsid w:val="0095607F"/>
    <w:rsid w:val="00BD6C4F"/>
    <w:rsid w:val="00D05042"/>
    <w:rsid w:val="00D53A36"/>
    <w:rsid w:val="00DF2FA8"/>
    <w:rsid w:val="00DF3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B57A7DFE7BE4495814479DF7E444BFF">
    <w:name w:val="0B57A7DFE7BE4495814479DF7E444BFF"/>
  </w:style>
  <w:style w:type="character" w:styleId="Tekstvantijdelijkeaanduiding">
    <w:name w:val="Placeholder Text"/>
    <w:basedOn w:val="Standaardalinea-lettertype"/>
    <w:uiPriority w:val="99"/>
    <w:semiHidden/>
    <w:rPr>
      <w:color w:val="808080"/>
    </w:rPr>
  </w:style>
  <w:style w:type="paragraph" w:customStyle="1" w:styleId="C539689E9ED845DE87A4699DC9C213D1">
    <w:name w:val="C539689E9ED845DE87A4699DC9C213D1"/>
  </w:style>
  <w:style w:type="paragraph" w:customStyle="1" w:styleId="43A60FB69C2E41A8B770DE27A47A0E9A">
    <w:name w:val="43A60FB69C2E41A8B770DE27A47A0E9A"/>
  </w:style>
  <w:style w:type="paragraph" w:customStyle="1" w:styleId="D774FDA6E1F14D118B7877793AF15853">
    <w:name w:val="D774FDA6E1F14D118B7877793AF15853"/>
  </w:style>
  <w:style w:type="paragraph" w:customStyle="1" w:styleId="A00B62D755FF426DA592714E51700BA4">
    <w:name w:val="A00B62D755FF426DA592714E51700BA4"/>
  </w:style>
  <w:style w:type="paragraph" w:customStyle="1" w:styleId="57E68DABBED84F31BAB8ED822AF20A57">
    <w:name w:val="57E68DABBED84F31BAB8ED822AF20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1682</ap:Words>
  <ap:Characters>9256</ap:Characters>
  <ap:DocSecurity>0</ap:DocSecurity>
  <ap:Lines>77</ap:Lines>
  <ap:Paragraphs>21</ap:Paragraphs>
  <ap:ScaleCrop>false</ap:ScaleCrop>
  <ap:LinksUpToDate>false</ap:LinksUpToDate>
  <ap:CharactersWithSpaces>10917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2024-10-06T10:32:00.0000000Z</dcterms:created>
  <dcterms:modified xsi:type="dcterms:W3CDTF">2024-10-06T10:32:00.0000000Z</dcterms:modified>
  <dc:description>------------------------</dc:description>
  <version/>
  <category/>
</coreProperties>
</file>