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5230E" w:rsidR="00B06701" w:rsidP="00E97935" w:rsidRDefault="00D467A7" w14:paraId="01FB673A" w14:textId="6673D777">
      <w:pPr>
        <w:spacing w:line="276" w:lineRule="auto"/>
        <w:rPr>
          <w:b/>
          <w:szCs w:val="18"/>
          <w:lang w:val="nl-NL"/>
        </w:rPr>
      </w:pPr>
      <w:r w:rsidRPr="0095230E">
        <w:rPr>
          <w:b/>
          <w:szCs w:val="18"/>
          <w:lang w:val="nl-NL"/>
        </w:rPr>
        <w:t>T</w:t>
      </w:r>
      <w:r w:rsidRPr="0095230E" w:rsidR="00DA65DA">
        <w:rPr>
          <w:b/>
          <w:szCs w:val="18"/>
          <w:lang w:val="nl-NL"/>
        </w:rPr>
        <w:t xml:space="preserve">oetsingskader risicoregeling </w:t>
      </w:r>
      <w:r w:rsidRPr="0095230E" w:rsidR="00000085">
        <w:rPr>
          <w:b/>
          <w:szCs w:val="18"/>
          <w:lang w:val="nl-NL"/>
        </w:rPr>
        <w:t xml:space="preserve">Headroomgarantie </w:t>
      </w:r>
      <w:r w:rsidRPr="0095230E" w:rsidR="00DA65DA">
        <w:rPr>
          <w:b/>
          <w:szCs w:val="18"/>
          <w:lang w:val="nl-NL"/>
        </w:rPr>
        <w:t>M</w:t>
      </w:r>
      <w:r w:rsidRPr="0095230E" w:rsidR="00977067">
        <w:rPr>
          <w:b/>
          <w:szCs w:val="18"/>
          <w:lang w:val="nl-NL"/>
        </w:rPr>
        <w:t>acro-Financiële Bijstand</w:t>
      </w:r>
      <w:r w:rsidRPr="0095230E" w:rsidR="00DA65DA">
        <w:rPr>
          <w:b/>
          <w:szCs w:val="18"/>
          <w:lang w:val="nl-NL"/>
        </w:rPr>
        <w:t xml:space="preserve"> </w:t>
      </w:r>
      <w:r w:rsidRPr="0095230E" w:rsidR="00F86EB3">
        <w:rPr>
          <w:b/>
          <w:szCs w:val="18"/>
          <w:lang w:val="nl-NL"/>
        </w:rPr>
        <w:t>Oekraïne</w:t>
      </w:r>
      <w:r w:rsidRPr="0095230E" w:rsidR="00607A64">
        <w:rPr>
          <w:b/>
          <w:szCs w:val="18"/>
          <w:lang w:val="nl-NL"/>
        </w:rPr>
        <w:t xml:space="preserve"> </w:t>
      </w:r>
      <w:r w:rsidRPr="0095230E" w:rsidR="00052C85">
        <w:rPr>
          <w:b/>
          <w:szCs w:val="18"/>
          <w:lang w:val="nl-NL"/>
        </w:rPr>
        <w:t>(2024</w:t>
      </w:r>
      <w:r w:rsidRPr="0095230E" w:rsidR="00D211BB">
        <w:rPr>
          <w:b/>
          <w:szCs w:val="18"/>
          <w:lang w:val="nl-NL"/>
        </w:rPr>
        <w:t>-2025</w:t>
      </w:r>
      <w:r w:rsidRPr="0095230E" w:rsidR="00052C85">
        <w:rPr>
          <w:b/>
          <w:szCs w:val="18"/>
          <w:lang w:val="nl-NL"/>
        </w:rPr>
        <w:t>)</w:t>
      </w:r>
    </w:p>
    <w:p w:rsidRPr="0095230E" w:rsidR="007607FE" w:rsidP="00E97935" w:rsidRDefault="00E556AF" w14:paraId="0D79F1D0" w14:textId="77777777">
      <w:pPr>
        <w:pStyle w:val="Default"/>
        <w:spacing w:line="276" w:lineRule="auto"/>
        <w:rPr>
          <w:b/>
          <w:sz w:val="18"/>
          <w:szCs w:val="18"/>
          <w:u w:val="single"/>
        </w:rPr>
      </w:pPr>
      <w:r w:rsidRPr="0095230E">
        <w:rPr>
          <w:b/>
          <w:sz w:val="18"/>
          <w:szCs w:val="18"/>
          <w:u w:val="single"/>
        </w:rPr>
        <w:t>Inleiding</w:t>
      </w:r>
    </w:p>
    <w:p w:rsidRPr="0095230E" w:rsidR="00E556AF" w:rsidP="00E97935" w:rsidRDefault="00E556AF" w14:paraId="1A3E72EF" w14:textId="7182005D">
      <w:pPr>
        <w:pStyle w:val="Default"/>
        <w:spacing w:line="276" w:lineRule="auto"/>
        <w:rPr>
          <w:b/>
          <w:sz w:val="18"/>
          <w:szCs w:val="18"/>
        </w:rPr>
      </w:pPr>
    </w:p>
    <w:p w:rsidRPr="0095230E" w:rsidR="00D211BB" w:rsidP="00E97935" w:rsidRDefault="00721B8A" w14:paraId="064E96EC" w14:textId="75621806">
      <w:pPr>
        <w:spacing w:line="276" w:lineRule="auto"/>
        <w:rPr>
          <w:szCs w:val="18"/>
          <w:lang w:val="nl-NL"/>
        </w:rPr>
      </w:pPr>
      <w:r w:rsidRPr="0095230E">
        <w:rPr>
          <w:szCs w:val="18"/>
          <w:lang w:val="nl-NL"/>
        </w:rPr>
        <w:t xml:space="preserve">Sinds het uitbreken van de oorlog heeft de EU op verschillende manieren financiële steun verleend aan Oekraïne. De Kamer wordt regelmatig geïnformeerd over het totaal aan steunmaatregelen </w:t>
      </w:r>
      <w:r w:rsidRPr="0095230E" w:rsidR="001A0A86">
        <w:rPr>
          <w:szCs w:val="18"/>
          <w:lang w:val="nl-NL"/>
        </w:rPr>
        <w:t xml:space="preserve">vanuit de EU </w:t>
      </w:r>
      <w:r w:rsidRPr="0095230E">
        <w:rPr>
          <w:szCs w:val="18"/>
          <w:lang w:val="nl-NL"/>
        </w:rPr>
        <w:t>aan Oekraïne bij budgettaire nota’s.</w:t>
      </w:r>
      <w:r w:rsidRPr="0095230E">
        <w:rPr>
          <w:rStyle w:val="Voetnootmarkering"/>
          <w:szCs w:val="18"/>
          <w:lang w:val="nl-NL"/>
        </w:rPr>
        <w:footnoteReference w:id="2"/>
      </w:r>
      <w:r w:rsidRPr="0095230E" w:rsidR="00B32D35">
        <w:rPr>
          <w:szCs w:val="18"/>
          <w:lang w:val="nl-NL"/>
        </w:rPr>
        <w:t xml:space="preserve"> De meest recente </w:t>
      </w:r>
      <w:r w:rsidRPr="0095230E" w:rsidR="001A0A86">
        <w:rPr>
          <w:szCs w:val="18"/>
          <w:lang w:val="nl-NL"/>
        </w:rPr>
        <w:t>EU-</w:t>
      </w:r>
      <w:r w:rsidRPr="0095230E" w:rsidR="00B32D35">
        <w:rPr>
          <w:szCs w:val="18"/>
          <w:lang w:val="nl-NL"/>
        </w:rPr>
        <w:t xml:space="preserve">steunmaatregel </w:t>
      </w:r>
      <w:r w:rsidRPr="0095230E" w:rsidR="00D211BB">
        <w:rPr>
          <w:szCs w:val="18"/>
          <w:lang w:val="nl-NL"/>
        </w:rPr>
        <w:t>was de Oekraïne-faciliteit, bestaande uit 33 miljard euro aan leningen en 17 miljard niet-terugbetaalbare steun</w:t>
      </w:r>
      <w:r w:rsidRPr="0095230E" w:rsidR="0071766B">
        <w:rPr>
          <w:szCs w:val="18"/>
          <w:lang w:val="nl-NL"/>
        </w:rPr>
        <w:t xml:space="preserve"> voor de periode 2024-2027</w:t>
      </w:r>
      <w:r w:rsidRPr="0095230E" w:rsidR="00D211BB">
        <w:rPr>
          <w:szCs w:val="18"/>
          <w:lang w:val="nl-NL"/>
        </w:rPr>
        <w:t>.</w:t>
      </w:r>
      <w:r w:rsidRPr="0095230E" w:rsidR="00D211BB">
        <w:rPr>
          <w:rStyle w:val="Voetnootmarkering"/>
          <w:szCs w:val="18"/>
          <w:lang w:val="nl-NL"/>
        </w:rPr>
        <w:footnoteReference w:id="3"/>
      </w:r>
      <w:r w:rsidRPr="0095230E" w:rsidR="00D211BB">
        <w:rPr>
          <w:szCs w:val="18"/>
          <w:lang w:val="nl-NL"/>
        </w:rPr>
        <w:t xml:space="preserve"> </w:t>
      </w:r>
    </w:p>
    <w:p w:rsidRPr="0095230E" w:rsidR="002E1F05" w:rsidP="00E97935" w:rsidRDefault="00D211BB" w14:paraId="68CBDBE0" w14:textId="7E6F33CB">
      <w:pPr>
        <w:spacing w:line="276" w:lineRule="auto"/>
        <w:rPr>
          <w:szCs w:val="18"/>
          <w:lang w:val="nl-NL"/>
        </w:rPr>
      </w:pPr>
      <w:r w:rsidRPr="0095230E">
        <w:rPr>
          <w:szCs w:val="18"/>
          <w:lang w:val="nl-NL"/>
        </w:rPr>
        <w:t>Op 14 juni jl. hebben de G</w:t>
      </w:r>
      <w:r w:rsidRPr="0095230E" w:rsidR="00427452">
        <w:rPr>
          <w:szCs w:val="18"/>
          <w:lang w:val="nl-NL"/>
        </w:rPr>
        <w:t>7-leiders</w:t>
      </w:r>
      <w:r w:rsidRPr="0095230E" w:rsidR="00356D71">
        <w:rPr>
          <w:rStyle w:val="Voetnootmarkering"/>
          <w:szCs w:val="18"/>
          <w:lang w:val="nl-NL"/>
        </w:rPr>
        <w:footnoteReference w:id="4"/>
      </w:r>
      <w:r w:rsidRPr="0095230E" w:rsidR="00427452">
        <w:rPr>
          <w:szCs w:val="18"/>
          <w:lang w:val="nl-NL"/>
        </w:rPr>
        <w:t xml:space="preserve"> hun onverminderde steun en toewijding uitgesproken om Oekraïne te helpen </w:t>
      </w:r>
      <w:r w:rsidRPr="0095230E" w:rsidR="00055084">
        <w:rPr>
          <w:szCs w:val="18"/>
          <w:lang w:val="nl-NL"/>
        </w:rPr>
        <w:t>met</w:t>
      </w:r>
      <w:r w:rsidRPr="0095230E" w:rsidR="00427452">
        <w:rPr>
          <w:szCs w:val="18"/>
          <w:lang w:val="nl-NL"/>
        </w:rPr>
        <w:t xml:space="preserve"> dringende financieringsbehoeften op korte termijn</w:t>
      </w:r>
      <w:r w:rsidRPr="0095230E" w:rsidR="004D1BE6">
        <w:rPr>
          <w:szCs w:val="18"/>
          <w:lang w:val="nl-NL"/>
        </w:rPr>
        <w:t>.</w:t>
      </w:r>
      <w:r w:rsidRPr="0095230E" w:rsidR="00742B12">
        <w:rPr>
          <w:rStyle w:val="Voetnootmarkering"/>
          <w:szCs w:val="18"/>
          <w:lang w:val="nl-NL"/>
        </w:rPr>
        <w:footnoteReference w:id="5"/>
      </w:r>
      <w:r w:rsidRPr="0095230E" w:rsidR="00427452">
        <w:rPr>
          <w:szCs w:val="18"/>
          <w:lang w:val="nl-NL"/>
        </w:rPr>
        <w:t xml:space="preserve"> </w:t>
      </w:r>
      <w:r w:rsidRPr="0095230E" w:rsidR="004D1BE6">
        <w:rPr>
          <w:szCs w:val="18"/>
          <w:lang w:val="nl-NL"/>
        </w:rPr>
        <w:t xml:space="preserve">Daartoe kondigden zij </w:t>
      </w:r>
      <w:proofErr w:type="spellStart"/>
      <w:r w:rsidRPr="0095230E" w:rsidR="004D1BE6">
        <w:rPr>
          <w:i/>
          <w:iCs/>
          <w:szCs w:val="18"/>
          <w:lang w:val="nl-NL"/>
        </w:rPr>
        <w:t>Extraordinary</w:t>
      </w:r>
      <w:proofErr w:type="spellEnd"/>
      <w:r w:rsidRPr="0095230E" w:rsidR="004D1BE6">
        <w:rPr>
          <w:i/>
          <w:iCs/>
          <w:szCs w:val="18"/>
          <w:lang w:val="nl-NL"/>
        </w:rPr>
        <w:t xml:space="preserve"> </w:t>
      </w:r>
      <w:proofErr w:type="spellStart"/>
      <w:r w:rsidRPr="0095230E" w:rsidR="004D1BE6">
        <w:rPr>
          <w:i/>
          <w:iCs/>
          <w:szCs w:val="18"/>
          <w:lang w:val="nl-NL"/>
        </w:rPr>
        <w:t>Revenue</w:t>
      </w:r>
      <w:proofErr w:type="spellEnd"/>
      <w:r w:rsidRPr="0095230E" w:rsidR="004D1BE6">
        <w:rPr>
          <w:i/>
          <w:iCs/>
          <w:szCs w:val="18"/>
          <w:lang w:val="nl-NL"/>
        </w:rPr>
        <w:t xml:space="preserve"> </w:t>
      </w:r>
      <w:proofErr w:type="spellStart"/>
      <w:r w:rsidRPr="0095230E" w:rsidR="004D1BE6">
        <w:rPr>
          <w:i/>
          <w:iCs/>
          <w:szCs w:val="18"/>
          <w:lang w:val="nl-NL"/>
        </w:rPr>
        <w:t>Accelaration</w:t>
      </w:r>
      <w:proofErr w:type="spellEnd"/>
      <w:r w:rsidRPr="0095230E" w:rsidR="004D1BE6">
        <w:rPr>
          <w:i/>
          <w:iCs/>
          <w:szCs w:val="18"/>
          <w:lang w:val="nl-NL"/>
        </w:rPr>
        <w:t xml:space="preserve"> </w:t>
      </w:r>
      <w:r w:rsidRPr="0095230E" w:rsidR="004D1BE6">
        <w:rPr>
          <w:szCs w:val="18"/>
          <w:lang w:val="nl-NL"/>
        </w:rPr>
        <w:t>(ERA)-leningen aan van ongeveer 50 mld. dollar (</w:t>
      </w:r>
      <w:proofErr w:type="gramStart"/>
      <w:r w:rsidRPr="0095230E" w:rsidR="004D1BE6">
        <w:rPr>
          <w:szCs w:val="18"/>
          <w:lang w:val="nl-NL"/>
        </w:rPr>
        <w:t>circa</w:t>
      </w:r>
      <w:proofErr w:type="gramEnd"/>
      <w:r w:rsidRPr="0095230E" w:rsidR="004D1BE6">
        <w:rPr>
          <w:szCs w:val="18"/>
          <w:lang w:val="nl-NL"/>
        </w:rPr>
        <w:t xml:space="preserve"> 45 mld. euro). De toekomstige buitengewone inkomsten die voortvloeien uit de bevriezing van Russische Centrale-banktegoeden (hierna: de buitengewone inkomsten) worden daarbij door Oekraïne gebruikt om de</w:t>
      </w:r>
      <w:r w:rsidR="002F378F">
        <w:rPr>
          <w:szCs w:val="18"/>
          <w:lang w:val="nl-NL"/>
        </w:rPr>
        <w:t>ze</w:t>
      </w:r>
      <w:r w:rsidRPr="0095230E" w:rsidR="004D1BE6">
        <w:rPr>
          <w:szCs w:val="18"/>
          <w:lang w:val="nl-NL"/>
        </w:rPr>
        <w:t xml:space="preserve"> leningen te kunnen financieren. </w:t>
      </w:r>
      <w:r w:rsidRPr="0095230E" w:rsidR="008B2951">
        <w:rPr>
          <w:szCs w:val="18"/>
          <w:lang w:val="nl-NL"/>
        </w:rPr>
        <w:t xml:space="preserve">De Kamer </w:t>
      </w:r>
      <w:r w:rsidRPr="0095230E" w:rsidR="007D410E">
        <w:rPr>
          <w:szCs w:val="18"/>
          <w:lang w:val="nl-NL"/>
        </w:rPr>
        <w:t>is in het verslag van de Eurogroep en Ecofinraad van 15 en 16 juli</w:t>
      </w:r>
      <w:r w:rsidRPr="0095230E" w:rsidR="007D410E">
        <w:rPr>
          <w:rStyle w:val="Voetnootmarkering"/>
          <w:szCs w:val="18"/>
        </w:rPr>
        <w:footnoteReference w:id="6"/>
      </w:r>
      <w:r w:rsidRPr="0095230E" w:rsidR="007D410E">
        <w:rPr>
          <w:szCs w:val="18"/>
          <w:lang w:val="nl-NL"/>
        </w:rPr>
        <w:t xml:space="preserve"> en het schriftelijk overleg van de Raad Buitenlandse Zaken van 19 juli over dit G7-initiatief geïnformeerd.</w:t>
      </w:r>
      <w:r w:rsidRPr="0095230E" w:rsidR="007D410E">
        <w:rPr>
          <w:rStyle w:val="Voetnootmarkering"/>
          <w:szCs w:val="18"/>
        </w:rPr>
        <w:footnoteReference w:id="7"/>
      </w:r>
    </w:p>
    <w:p w:rsidRPr="0095230E" w:rsidR="00EC2F01" w:rsidP="00E97935" w:rsidRDefault="007568DF" w14:paraId="3641C521" w14:textId="5CE2CFBF">
      <w:pPr>
        <w:spacing w:line="276" w:lineRule="auto"/>
        <w:rPr>
          <w:szCs w:val="18"/>
          <w:lang w:val="nl-NL"/>
        </w:rPr>
      </w:pPr>
      <w:r w:rsidRPr="0095230E">
        <w:rPr>
          <w:szCs w:val="18"/>
          <w:lang w:val="nl-NL"/>
        </w:rPr>
        <w:t>In de Europese Unie is brede steun voor dit G7-initatief. De</w:t>
      </w:r>
      <w:r w:rsidRPr="0095230E" w:rsidR="00C92067">
        <w:rPr>
          <w:szCs w:val="18"/>
          <w:lang w:val="nl-NL"/>
        </w:rPr>
        <w:t xml:space="preserve"> Europese Commissie (hierna: de Commissie) </w:t>
      </w:r>
      <w:r w:rsidRPr="0095230E">
        <w:rPr>
          <w:szCs w:val="18"/>
          <w:lang w:val="nl-NL"/>
        </w:rPr>
        <w:t xml:space="preserve">heeft </w:t>
      </w:r>
      <w:r w:rsidRPr="0095230E" w:rsidR="00C92067">
        <w:rPr>
          <w:szCs w:val="18"/>
          <w:lang w:val="nl-NL"/>
        </w:rPr>
        <w:t>op 20 september</w:t>
      </w:r>
      <w:r w:rsidRPr="0095230E" w:rsidR="00C52BBF">
        <w:rPr>
          <w:szCs w:val="18"/>
          <w:lang w:val="nl-NL"/>
        </w:rPr>
        <w:t xml:space="preserve"> jl.</w:t>
      </w:r>
      <w:r w:rsidRPr="0095230E" w:rsidR="00C92067">
        <w:rPr>
          <w:szCs w:val="18"/>
          <w:lang w:val="nl-NL"/>
        </w:rPr>
        <w:t xml:space="preserve"> een aantal voorstellen voor het EU-aandeel in dit G7-initiatief</w:t>
      </w:r>
      <w:r w:rsidRPr="0095230E" w:rsidR="007C5D5B">
        <w:rPr>
          <w:szCs w:val="18"/>
          <w:lang w:val="nl-NL"/>
        </w:rPr>
        <w:t xml:space="preserve"> gedaan</w:t>
      </w:r>
      <w:r w:rsidRPr="0095230E" w:rsidR="00C92067">
        <w:rPr>
          <w:szCs w:val="18"/>
          <w:lang w:val="nl-NL"/>
        </w:rPr>
        <w:t xml:space="preserve">. </w:t>
      </w:r>
      <w:r w:rsidRPr="0095230E" w:rsidR="00410E26">
        <w:rPr>
          <w:szCs w:val="18"/>
          <w:lang w:val="nl-NL"/>
        </w:rPr>
        <w:t>De Commissie stelt</w:t>
      </w:r>
      <w:r w:rsidRPr="0095230E" w:rsidR="00574B39">
        <w:rPr>
          <w:szCs w:val="18"/>
          <w:lang w:val="nl-NL"/>
        </w:rPr>
        <w:t xml:space="preserve"> voor </w:t>
      </w:r>
      <w:r w:rsidRPr="0095230E" w:rsidR="00410E26">
        <w:rPr>
          <w:szCs w:val="18"/>
          <w:lang w:val="nl-NL"/>
        </w:rPr>
        <w:t>om Oekraïne in 202</w:t>
      </w:r>
      <w:r w:rsidRPr="0095230E" w:rsidR="00473D41">
        <w:rPr>
          <w:szCs w:val="18"/>
          <w:lang w:val="nl-NL"/>
        </w:rPr>
        <w:t>4</w:t>
      </w:r>
      <w:r w:rsidRPr="0095230E" w:rsidR="00C52BBF">
        <w:rPr>
          <w:szCs w:val="18"/>
          <w:lang w:val="nl-NL"/>
        </w:rPr>
        <w:t>-2025</w:t>
      </w:r>
      <w:r w:rsidRPr="0095230E" w:rsidR="00410E26">
        <w:rPr>
          <w:szCs w:val="18"/>
          <w:lang w:val="nl-NL"/>
        </w:rPr>
        <w:t xml:space="preserve"> via </w:t>
      </w:r>
      <w:r w:rsidRPr="0095230E" w:rsidR="00473D41">
        <w:rPr>
          <w:szCs w:val="18"/>
          <w:lang w:val="nl-NL"/>
        </w:rPr>
        <w:t xml:space="preserve">buitengewone macro-financiële bijstand (MFB) </w:t>
      </w:r>
      <w:r w:rsidRPr="0095230E" w:rsidR="008D788F">
        <w:rPr>
          <w:szCs w:val="18"/>
          <w:lang w:val="nl-NL"/>
        </w:rPr>
        <w:t xml:space="preserve">maximaal 35 </w:t>
      </w:r>
      <w:r w:rsidRPr="0095230E" w:rsidR="00410E26">
        <w:rPr>
          <w:szCs w:val="18"/>
          <w:lang w:val="nl-NL"/>
        </w:rPr>
        <w:t xml:space="preserve">miljard euro </w:t>
      </w:r>
      <w:r w:rsidRPr="0095230E" w:rsidR="007E1256">
        <w:rPr>
          <w:szCs w:val="18"/>
          <w:lang w:val="nl-NL"/>
        </w:rPr>
        <w:t xml:space="preserve">(ca. USD 40 mld.) </w:t>
      </w:r>
      <w:r w:rsidRPr="0095230E" w:rsidR="00410E26">
        <w:rPr>
          <w:szCs w:val="18"/>
          <w:lang w:val="nl-NL"/>
        </w:rPr>
        <w:t>aan concessionele leningen te verlenen</w:t>
      </w:r>
      <w:r w:rsidRPr="0095230E" w:rsidR="00574B39">
        <w:rPr>
          <w:szCs w:val="18"/>
          <w:lang w:val="nl-NL"/>
        </w:rPr>
        <w:t>.</w:t>
      </w:r>
      <w:r w:rsidRPr="0095230E" w:rsidR="00EA5735">
        <w:rPr>
          <w:rStyle w:val="Voetnootmarkering"/>
          <w:szCs w:val="18"/>
          <w:lang w:val="nl-NL"/>
        </w:rPr>
        <w:footnoteReference w:id="8"/>
      </w:r>
      <w:r w:rsidRPr="0095230E" w:rsidR="00574B39">
        <w:rPr>
          <w:szCs w:val="18"/>
          <w:lang w:val="nl-NL"/>
        </w:rPr>
        <w:t xml:space="preserve"> </w:t>
      </w:r>
      <w:r w:rsidRPr="0095230E" w:rsidR="00D467A7">
        <w:rPr>
          <w:szCs w:val="18"/>
          <w:lang w:val="nl-NL"/>
        </w:rPr>
        <w:t xml:space="preserve">Zoals gebruikelijk bij MFB leent de Commissie namens de Unie </w:t>
      </w:r>
      <w:r w:rsidRPr="0095230E" w:rsidR="00171267">
        <w:rPr>
          <w:szCs w:val="18"/>
          <w:lang w:val="nl-NL"/>
        </w:rPr>
        <w:t xml:space="preserve">middelen </w:t>
      </w:r>
      <w:r w:rsidRPr="0095230E" w:rsidR="00D467A7">
        <w:rPr>
          <w:szCs w:val="18"/>
          <w:lang w:val="nl-NL"/>
        </w:rPr>
        <w:t xml:space="preserve">bij financiële </w:t>
      </w:r>
      <w:proofErr w:type="gramStart"/>
      <w:r w:rsidRPr="0095230E" w:rsidR="00D467A7">
        <w:rPr>
          <w:szCs w:val="18"/>
          <w:lang w:val="nl-NL"/>
        </w:rPr>
        <w:t>instellingen</w:t>
      </w:r>
      <w:proofErr w:type="gramEnd"/>
      <w:r w:rsidRPr="0095230E" w:rsidR="00D467A7">
        <w:rPr>
          <w:szCs w:val="18"/>
          <w:lang w:val="nl-NL"/>
        </w:rPr>
        <w:t xml:space="preserve"> en op de kapitaalmarkt</w:t>
      </w:r>
      <w:r w:rsidRPr="0095230E" w:rsidR="009D26ED">
        <w:rPr>
          <w:szCs w:val="18"/>
          <w:lang w:val="nl-NL"/>
        </w:rPr>
        <w:t xml:space="preserve"> en leent zij deze middelen door aan Oekraïne</w:t>
      </w:r>
      <w:r w:rsidRPr="0095230E" w:rsidR="00D467A7">
        <w:rPr>
          <w:szCs w:val="18"/>
          <w:lang w:val="nl-NL"/>
        </w:rPr>
        <w:t xml:space="preserve">. </w:t>
      </w:r>
      <w:r w:rsidRPr="0095230E" w:rsidR="004E6366">
        <w:rPr>
          <w:szCs w:val="18"/>
          <w:lang w:val="nl-NL"/>
        </w:rPr>
        <w:t xml:space="preserve">Naast de MFB stelt de Commissie ook voor om een </w:t>
      </w:r>
      <w:r w:rsidRPr="0095230E" w:rsidR="00432F3D">
        <w:rPr>
          <w:i/>
          <w:iCs/>
          <w:szCs w:val="18"/>
          <w:lang w:val="nl-NL"/>
        </w:rPr>
        <w:t xml:space="preserve">Ukraine </w:t>
      </w:r>
      <w:proofErr w:type="spellStart"/>
      <w:r w:rsidRPr="0095230E" w:rsidR="00432F3D">
        <w:rPr>
          <w:i/>
          <w:iCs/>
          <w:szCs w:val="18"/>
          <w:lang w:val="nl-NL"/>
        </w:rPr>
        <w:t>Loan</w:t>
      </w:r>
      <w:proofErr w:type="spellEnd"/>
      <w:r w:rsidRPr="0095230E" w:rsidR="00432F3D">
        <w:rPr>
          <w:i/>
          <w:iCs/>
          <w:szCs w:val="18"/>
          <w:lang w:val="nl-NL"/>
        </w:rPr>
        <w:t xml:space="preserve"> Cooperation </w:t>
      </w:r>
      <w:proofErr w:type="spellStart"/>
      <w:r w:rsidRPr="0095230E" w:rsidR="00432F3D">
        <w:rPr>
          <w:i/>
          <w:iCs/>
          <w:szCs w:val="18"/>
          <w:lang w:val="nl-NL"/>
        </w:rPr>
        <w:t>Mechanism</w:t>
      </w:r>
      <w:proofErr w:type="spellEnd"/>
      <w:r w:rsidRPr="0095230E" w:rsidR="00432F3D">
        <w:rPr>
          <w:i/>
          <w:iCs/>
          <w:szCs w:val="18"/>
          <w:lang w:val="nl-NL"/>
        </w:rPr>
        <w:t xml:space="preserve"> </w:t>
      </w:r>
      <w:r w:rsidRPr="0095230E" w:rsidR="00432F3D">
        <w:rPr>
          <w:szCs w:val="18"/>
          <w:lang w:val="nl-NL"/>
        </w:rPr>
        <w:t>(ULCM) in</w:t>
      </w:r>
      <w:r w:rsidRPr="0095230E" w:rsidR="004E6366">
        <w:rPr>
          <w:szCs w:val="18"/>
          <w:lang w:val="nl-NL"/>
        </w:rPr>
        <w:t xml:space="preserve"> te stellen</w:t>
      </w:r>
      <w:r w:rsidRPr="0095230E" w:rsidR="00432F3D">
        <w:rPr>
          <w:szCs w:val="18"/>
          <w:lang w:val="nl-NL"/>
        </w:rPr>
        <w:t>, dat de toekomstige buitengewone inkomsten verzamelt en aan Oekraïne ter beschikking stelt</w:t>
      </w:r>
      <w:r w:rsidRPr="0095230E" w:rsidR="00EC2F01">
        <w:rPr>
          <w:szCs w:val="18"/>
          <w:lang w:val="nl-NL"/>
        </w:rPr>
        <w:t xml:space="preserve">. Oekraïne kan daarmee de </w:t>
      </w:r>
      <w:r w:rsidRPr="0095230E" w:rsidR="00432F3D">
        <w:rPr>
          <w:szCs w:val="18"/>
          <w:lang w:val="nl-NL"/>
        </w:rPr>
        <w:t xml:space="preserve">(ERA)-leningen die Oekraïne bij de EU en de G7-partners </w:t>
      </w:r>
      <w:bookmarkStart w:name="_Hlk119497005" w:id="0"/>
      <w:r w:rsidRPr="0095230E" w:rsidR="00EC2F01">
        <w:rPr>
          <w:szCs w:val="18"/>
          <w:lang w:val="nl-NL"/>
        </w:rPr>
        <w:t xml:space="preserve">aangaat terugbetalen en de rentebetalingen doen. </w:t>
      </w:r>
    </w:p>
    <w:p w:rsidRPr="0095230E" w:rsidR="00574B39" w:rsidP="00E97935" w:rsidRDefault="00574B39" w14:paraId="78E8E6BD" w14:textId="578D425E">
      <w:pPr>
        <w:spacing w:line="276" w:lineRule="auto"/>
        <w:rPr>
          <w:szCs w:val="18"/>
          <w:lang w:val="nl-NL"/>
        </w:rPr>
      </w:pPr>
      <w:r w:rsidRPr="0095230E">
        <w:rPr>
          <w:szCs w:val="18"/>
          <w:lang w:val="nl-NL"/>
        </w:rPr>
        <w:t>MFB is een bestaand financieel instrument van de EU, waarbij financiële steun wordt verleend aan partnerlanden in de directe omgeving van de EU die met een betalingsbalanscrisis worden geconfronteerd. Doorgaans bestaat deze MFB-steun uit het verstrekken van leningen die worden gegarandeerd door een bestaand garantiefonds op de EU-begroting</w:t>
      </w:r>
      <w:r w:rsidRPr="0095230E" w:rsidR="006A34AB">
        <w:rPr>
          <w:szCs w:val="18"/>
          <w:lang w:val="nl-NL"/>
        </w:rPr>
        <w:t>.</w:t>
      </w:r>
      <w:r w:rsidRPr="0095230E">
        <w:rPr>
          <w:szCs w:val="18"/>
          <w:lang w:val="nl-NL"/>
        </w:rPr>
        <w:t xml:space="preserve"> </w:t>
      </w:r>
      <w:bookmarkEnd w:id="0"/>
      <w:r w:rsidRPr="0095230E" w:rsidR="00E671E3">
        <w:rPr>
          <w:szCs w:val="18"/>
          <w:lang w:val="nl-NL"/>
        </w:rPr>
        <w:t xml:space="preserve">Gelet op de voorgestelde omvang van de steun en de beperkte middelen in de EU-begroting stelt de Commissie voor deze MFB echter een andere werkwijze voor. </w:t>
      </w:r>
    </w:p>
    <w:p w:rsidRPr="0095230E" w:rsidR="000146A4" w:rsidP="00E97935" w:rsidRDefault="000146A4" w14:paraId="1587C7D5" w14:textId="77777777">
      <w:pPr>
        <w:spacing w:line="276" w:lineRule="auto"/>
        <w:rPr>
          <w:szCs w:val="18"/>
          <w:lang w:val="nl-NL"/>
        </w:rPr>
      </w:pPr>
      <w:r w:rsidRPr="0095230E">
        <w:rPr>
          <w:szCs w:val="18"/>
          <w:lang w:val="nl-NL"/>
        </w:rPr>
        <w:t xml:space="preserve">Om zeker te stellen dat de Europese Unie in staat is om aan haar financiële verplichtingen richting de markt te voldoen stelt de Commissie voor om de voorliggende MFB te garanderen via de daarvoor beschikbare ruimte onder de plafonds zoals die zijn opgenomen in het Eigenmiddelenbesluit (de zogenoemde </w:t>
      </w:r>
      <w:proofErr w:type="spellStart"/>
      <w:r w:rsidRPr="0095230E">
        <w:rPr>
          <w:i/>
          <w:iCs/>
          <w:szCs w:val="18"/>
          <w:lang w:val="nl-NL"/>
        </w:rPr>
        <w:t>headroom</w:t>
      </w:r>
      <w:proofErr w:type="spellEnd"/>
      <w:r w:rsidRPr="0095230E">
        <w:rPr>
          <w:szCs w:val="18"/>
          <w:lang w:val="nl-NL"/>
        </w:rPr>
        <w:t>). Dit betreft de budgettaire ruimte tussen het uitgavenplafond van de EU-begroting zoals vastgelegd in het Meerjarig Financieel Kader (MFK) en het Eigenmiddelenplafond zoals vastgelegd in het Eigenmiddelenbesluit (EMB). Dit EMB-plafond maximeert het financiële beroep dat de Unie mag doen op lidstaten en ligt hoger dan het MFK-</w:t>
      </w:r>
      <w:r w:rsidRPr="0095230E">
        <w:rPr>
          <w:szCs w:val="18"/>
          <w:lang w:val="nl-NL"/>
        </w:rPr>
        <w:lastRenderedPageBreak/>
        <w:t xml:space="preserve">plafond. Deze marge, oftewel de </w:t>
      </w:r>
      <w:proofErr w:type="spellStart"/>
      <w:r w:rsidRPr="0095230E">
        <w:rPr>
          <w:i/>
          <w:iCs/>
          <w:szCs w:val="18"/>
          <w:lang w:val="nl-NL"/>
        </w:rPr>
        <w:t>headroom</w:t>
      </w:r>
      <w:proofErr w:type="spellEnd"/>
      <w:r w:rsidRPr="0095230E">
        <w:rPr>
          <w:szCs w:val="18"/>
          <w:lang w:val="nl-NL"/>
        </w:rPr>
        <w:t>, dient als zekerheid voor de markt dat de Unie kan voldoen aan de aflossings- en renteverplichtingen op leningen die zij aangaat.</w:t>
      </w:r>
      <w:r w:rsidRPr="0095230E">
        <w:rPr>
          <w:rStyle w:val="Voetnootmarkering"/>
          <w:szCs w:val="18"/>
        </w:rPr>
        <w:footnoteReference w:id="9"/>
      </w:r>
    </w:p>
    <w:p w:rsidRPr="0095230E" w:rsidR="00F27F46" w:rsidP="00E97935" w:rsidRDefault="000146A4" w14:paraId="179BE418" w14:textId="61891090">
      <w:pPr>
        <w:spacing w:line="276" w:lineRule="auto"/>
        <w:rPr>
          <w:bCs/>
          <w:szCs w:val="18"/>
          <w:lang w:val="nl-NL"/>
        </w:rPr>
      </w:pPr>
      <w:r w:rsidRPr="0095230E">
        <w:rPr>
          <w:szCs w:val="18"/>
          <w:lang w:val="nl-NL"/>
        </w:rPr>
        <w:t xml:space="preserve">Nu er </w:t>
      </w:r>
      <w:r w:rsidRPr="0095230E" w:rsidR="002B484C">
        <w:rPr>
          <w:szCs w:val="18"/>
          <w:lang w:val="nl-NL"/>
        </w:rPr>
        <w:t xml:space="preserve">nieuwe </w:t>
      </w:r>
      <w:r w:rsidRPr="0095230E" w:rsidR="004C517E">
        <w:rPr>
          <w:szCs w:val="18"/>
          <w:lang w:val="nl-NL"/>
        </w:rPr>
        <w:t xml:space="preserve">steun </w:t>
      </w:r>
      <w:r w:rsidRPr="0095230E">
        <w:rPr>
          <w:szCs w:val="18"/>
          <w:lang w:val="nl-NL"/>
        </w:rPr>
        <w:t xml:space="preserve">voor Oekraïne vanuit deze </w:t>
      </w:r>
      <w:proofErr w:type="spellStart"/>
      <w:r w:rsidRPr="0095230E">
        <w:rPr>
          <w:i/>
          <w:iCs/>
          <w:szCs w:val="18"/>
          <w:lang w:val="nl-NL"/>
        </w:rPr>
        <w:t>headroom</w:t>
      </w:r>
      <w:proofErr w:type="spellEnd"/>
      <w:r w:rsidRPr="0095230E">
        <w:rPr>
          <w:szCs w:val="18"/>
          <w:lang w:val="nl-NL"/>
        </w:rPr>
        <w:t xml:space="preserve"> gegarandeerd zal worden, zal </w:t>
      </w:r>
      <w:r w:rsidRPr="0095230E" w:rsidR="00644DAC">
        <w:rPr>
          <w:szCs w:val="18"/>
          <w:lang w:val="nl-NL"/>
        </w:rPr>
        <w:t>voor de hoofdsom en een inschatting van de rentekosten</w:t>
      </w:r>
      <w:r w:rsidRPr="0095230E" w:rsidDel="00644DAC" w:rsidR="00644DAC">
        <w:rPr>
          <w:szCs w:val="18"/>
          <w:lang w:val="nl-NL"/>
        </w:rPr>
        <w:t xml:space="preserve"> </w:t>
      </w:r>
      <w:r w:rsidRPr="0095230E">
        <w:rPr>
          <w:szCs w:val="18"/>
          <w:lang w:val="nl-NL"/>
        </w:rPr>
        <w:t>ook op de Rijksbegroting een nieuwe garantie opgenomen moeten worden.</w:t>
      </w:r>
      <w:r w:rsidRPr="0095230E" w:rsidR="005E1B68">
        <w:rPr>
          <w:szCs w:val="18"/>
          <w:lang w:val="nl-NL"/>
        </w:rPr>
        <w:t xml:space="preserve"> </w:t>
      </w:r>
      <w:r w:rsidRPr="0095230E" w:rsidR="00723FA0">
        <w:rPr>
          <w:szCs w:val="18"/>
          <w:lang w:val="nl-NL"/>
        </w:rPr>
        <w:t>Het Nederlandse aandeel in de garantie wordt gebaseerd op de omvang van het Nederlandse aandeel in het EU-</w:t>
      </w:r>
      <w:proofErr w:type="spellStart"/>
      <w:r w:rsidRPr="0095230E" w:rsidR="00723FA0">
        <w:rPr>
          <w:szCs w:val="18"/>
          <w:lang w:val="nl-NL"/>
        </w:rPr>
        <w:t>bni</w:t>
      </w:r>
      <w:proofErr w:type="spellEnd"/>
      <w:r w:rsidRPr="0095230E" w:rsidR="00723FA0">
        <w:rPr>
          <w:szCs w:val="18"/>
          <w:lang w:val="nl-NL"/>
        </w:rPr>
        <w:t xml:space="preserve">. Bij het huidige </w:t>
      </w:r>
      <w:proofErr w:type="spellStart"/>
      <w:r w:rsidRPr="0095230E" w:rsidR="00723FA0">
        <w:rPr>
          <w:szCs w:val="18"/>
          <w:lang w:val="nl-NL"/>
        </w:rPr>
        <w:t>bni</w:t>
      </w:r>
      <w:proofErr w:type="spellEnd"/>
      <w:r w:rsidRPr="0095230E" w:rsidR="00723FA0">
        <w:rPr>
          <w:szCs w:val="18"/>
          <w:lang w:val="nl-NL"/>
        </w:rPr>
        <w:t xml:space="preserve">-aandeel van Nederland van 6,1% wordt de garantie geraamd op 3,4 miljard euro, </w:t>
      </w:r>
      <w:r w:rsidRPr="0095230E" w:rsidR="00723FA0">
        <w:rPr>
          <w:rFonts w:eastAsia="Times New Roman"/>
          <w:szCs w:val="18"/>
          <w:lang w:val="nl-NL"/>
        </w:rPr>
        <w:t>waarvan 2,1 miljard euro voor de hoofdsom en 1,3 miljard euro voor de rentelasten</w:t>
      </w:r>
      <w:r w:rsidRPr="0095230E" w:rsidR="00723FA0">
        <w:rPr>
          <w:szCs w:val="18"/>
          <w:lang w:val="nl-NL"/>
        </w:rPr>
        <w:t>.</w:t>
      </w:r>
      <w:r w:rsidRPr="0095230E" w:rsidR="005E1B68">
        <w:rPr>
          <w:szCs w:val="18"/>
          <w:lang w:val="nl-NL"/>
        </w:rPr>
        <w:t xml:space="preserve"> Bij wijzigingen in het </w:t>
      </w:r>
      <w:proofErr w:type="spellStart"/>
      <w:r w:rsidRPr="0095230E" w:rsidR="005E1B68">
        <w:rPr>
          <w:szCs w:val="18"/>
          <w:lang w:val="nl-NL"/>
        </w:rPr>
        <w:t>bni</w:t>
      </w:r>
      <w:proofErr w:type="spellEnd"/>
      <w:r w:rsidRPr="0095230E" w:rsidR="005E1B68">
        <w:rPr>
          <w:szCs w:val="18"/>
          <w:lang w:val="nl-NL"/>
        </w:rPr>
        <w:t xml:space="preserve">-aandeel </w:t>
      </w:r>
      <w:r w:rsidRPr="0095230E" w:rsidR="007626BB">
        <w:rPr>
          <w:szCs w:val="18"/>
          <w:lang w:val="nl-NL"/>
        </w:rPr>
        <w:t xml:space="preserve">en wijzigingen in de inschatting van de rentelasten </w:t>
      </w:r>
      <w:r w:rsidRPr="0095230E" w:rsidR="005E1B68">
        <w:rPr>
          <w:szCs w:val="18"/>
          <w:lang w:val="nl-NL"/>
        </w:rPr>
        <w:t xml:space="preserve">zal in de toekomst ook de omvang van de garantie wijzigen. De garantie wordt weergegeven op </w:t>
      </w:r>
      <w:r w:rsidRPr="0095230E" w:rsidR="005E1B68">
        <w:rPr>
          <w:bCs/>
          <w:szCs w:val="18"/>
          <w:lang w:val="nl-NL"/>
        </w:rPr>
        <w:t xml:space="preserve">de begroting van het Ministerie van Financiën op artikel 4 (internationale financiële betrekkingen). </w:t>
      </w:r>
      <w:r w:rsidRPr="0095230E" w:rsidR="00F27F46">
        <w:rPr>
          <w:bCs/>
          <w:szCs w:val="18"/>
          <w:lang w:val="nl-NL"/>
        </w:rPr>
        <w:t xml:space="preserve">Hier zijn ook de garanties voor de eerdere MFB voor 2022 en 2023, de Oekraïne-faciliteit en andere Europese financiële instrumenten opgenomen zoals het </w:t>
      </w:r>
      <w:r w:rsidRPr="0095230E" w:rsidR="00F27F46">
        <w:rPr>
          <w:bCs/>
          <w:i/>
          <w:szCs w:val="18"/>
          <w:lang w:val="nl-NL"/>
        </w:rPr>
        <w:t xml:space="preserve">European instrument </w:t>
      </w:r>
      <w:proofErr w:type="spellStart"/>
      <w:r w:rsidRPr="0095230E" w:rsidR="00F27F46">
        <w:rPr>
          <w:bCs/>
          <w:i/>
          <w:szCs w:val="18"/>
          <w:lang w:val="nl-NL"/>
        </w:rPr>
        <w:t>for</w:t>
      </w:r>
      <w:proofErr w:type="spellEnd"/>
      <w:r w:rsidRPr="0095230E" w:rsidR="00F27F46">
        <w:rPr>
          <w:bCs/>
          <w:i/>
          <w:szCs w:val="18"/>
          <w:lang w:val="nl-NL"/>
        </w:rPr>
        <w:t xml:space="preserve"> </w:t>
      </w:r>
      <w:proofErr w:type="spellStart"/>
      <w:r w:rsidRPr="0095230E" w:rsidR="00F27F46">
        <w:rPr>
          <w:bCs/>
          <w:i/>
          <w:szCs w:val="18"/>
          <w:lang w:val="nl-NL"/>
        </w:rPr>
        <w:t>temporary</w:t>
      </w:r>
      <w:proofErr w:type="spellEnd"/>
      <w:r w:rsidRPr="0095230E" w:rsidR="00F27F46">
        <w:rPr>
          <w:bCs/>
          <w:i/>
          <w:szCs w:val="18"/>
          <w:lang w:val="nl-NL"/>
        </w:rPr>
        <w:t xml:space="preserve"> support </w:t>
      </w:r>
      <w:proofErr w:type="spellStart"/>
      <w:r w:rsidRPr="0095230E" w:rsidR="00F27F46">
        <w:rPr>
          <w:bCs/>
          <w:i/>
          <w:szCs w:val="18"/>
          <w:lang w:val="nl-NL"/>
        </w:rPr>
        <w:t>to</w:t>
      </w:r>
      <w:proofErr w:type="spellEnd"/>
      <w:r w:rsidRPr="0095230E" w:rsidR="00F27F46">
        <w:rPr>
          <w:bCs/>
          <w:i/>
          <w:szCs w:val="18"/>
          <w:lang w:val="nl-NL"/>
        </w:rPr>
        <w:t xml:space="preserve"> </w:t>
      </w:r>
      <w:proofErr w:type="spellStart"/>
      <w:r w:rsidRPr="0095230E" w:rsidR="00F27F46">
        <w:rPr>
          <w:bCs/>
          <w:i/>
          <w:szCs w:val="18"/>
          <w:lang w:val="nl-NL"/>
        </w:rPr>
        <w:t>mitigate</w:t>
      </w:r>
      <w:proofErr w:type="spellEnd"/>
      <w:r w:rsidRPr="0095230E" w:rsidR="00F27F46">
        <w:rPr>
          <w:bCs/>
          <w:i/>
          <w:szCs w:val="18"/>
          <w:lang w:val="nl-NL"/>
        </w:rPr>
        <w:t xml:space="preserve"> </w:t>
      </w:r>
      <w:proofErr w:type="spellStart"/>
      <w:r w:rsidRPr="0095230E" w:rsidR="00F27F46">
        <w:rPr>
          <w:bCs/>
          <w:i/>
          <w:szCs w:val="18"/>
          <w:lang w:val="nl-NL"/>
        </w:rPr>
        <w:t>unemployment</w:t>
      </w:r>
      <w:proofErr w:type="spellEnd"/>
      <w:r w:rsidRPr="0095230E" w:rsidR="00F27F46">
        <w:rPr>
          <w:bCs/>
          <w:i/>
          <w:szCs w:val="18"/>
          <w:lang w:val="nl-NL"/>
        </w:rPr>
        <w:t xml:space="preserve"> </w:t>
      </w:r>
      <w:proofErr w:type="spellStart"/>
      <w:r w:rsidRPr="0095230E" w:rsidR="00F27F46">
        <w:rPr>
          <w:bCs/>
          <w:i/>
          <w:szCs w:val="18"/>
          <w:lang w:val="nl-NL"/>
        </w:rPr>
        <w:t>risks</w:t>
      </w:r>
      <w:proofErr w:type="spellEnd"/>
      <w:r w:rsidRPr="0095230E" w:rsidR="00F27F46">
        <w:rPr>
          <w:bCs/>
          <w:i/>
          <w:szCs w:val="18"/>
          <w:lang w:val="nl-NL"/>
        </w:rPr>
        <w:t xml:space="preserve"> in </w:t>
      </w:r>
      <w:proofErr w:type="spellStart"/>
      <w:r w:rsidRPr="0095230E" w:rsidR="00F27F46">
        <w:rPr>
          <w:bCs/>
          <w:i/>
          <w:szCs w:val="18"/>
          <w:lang w:val="nl-NL"/>
        </w:rPr>
        <w:t>an</w:t>
      </w:r>
      <w:proofErr w:type="spellEnd"/>
      <w:r w:rsidRPr="0095230E" w:rsidR="00F27F46">
        <w:rPr>
          <w:bCs/>
          <w:i/>
          <w:szCs w:val="18"/>
          <w:lang w:val="nl-NL"/>
        </w:rPr>
        <w:t xml:space="preserve"> </w:t>
      </w:r>
      <w:proofErr w:type="spellStart"/>
      <w:r w:rsidRPr="0095230E" w:rsidR="00F27F46">
        <w:rPr>
          <w:bCs/>
          <w:i/>
          <w:szCs w:val="18"/>
          <w:lang w:val="nl-NL"/>
        </w:rPr>
        <w:t>emergency</w:t>
      </w:r>
      <w:proofErr w:type="spellEnd"/>
      <w:r w:rsidRPr="0095230E" w:rsidR="00F27F46">
        <w:rPr>
          <w:bCs/>
          <w:szCs w:val="18"/>
          <w:lang w:val="nl-NL"/>
        </w:rPr>
        <w:t xml:space="preserve"> (SURE),</w:t>
      </w:r>
      <w:r w:rsidRPr="0095230E" w:rsidR="00253F5F">
        <w:rPr>
          <w:bCs/>
          <w:szCs w:val="18"/>
          <w:lang w:val="nl-NL"/>
        </w:rPr>
        <w:t xml:space="preserve"> </w:t>
      </w:r>
      <w:r w:rsidRPr="0095230E" w:rsidR="00F27F46">
        <w:rPr>
          <w:bCs/>
          <w:i/>
          <w:iCs/>
          <w:szCs w:val="18"/>
          <w:lang w:val="nl-NL"/>
        </w:rPr>
        <w:t xml:space="preserve">Next </w:t>
      </w:r>
      <w:proofErr w:type="spellStart"/>
      <w:r w:rsidRPr="0095230E" w:rsidR="00F27F46">
        <w:rPr>
          <w:bCs/>
          <w:i/>
          <w:iCs/>
          <w:szCs w:val="18"/>
          <w:lang w:val="nl-NL"/>
        </w:rPr>
        <w:t>Generation</w:t>
      </w:r>
      <w:proofErr w:type="spellEnd"/>
      <w:r w:rsidRPr="0095230E" w:rsidR="00F27F46">
        <w:rPr>
          <w:bCs/>
          <w:i/>
          <w:iCs/>
          <w:szCs w:val="18"/>
          <w:lang w:val="nl-NL"/>
        </w:rPr>
        <w:t xml:space="preserve"> EU</w:t>
      </w:r>
      <w:r w:rsidRPr="0095230E" w:rsidR="00F27F46">
        <w:rPr>
          <w:bCs/>
          <w:szCs w:val="18"/>
          <w:lang w:val="nl-NL"/>
        </w:rPr>
        <w:t xml:space="preserve"> (NGEU), het Europees financieel stabiliteitsmechanisme (EFSM) en de betalingsbalanssteun van de EU. </w:t>
      </w:r>
    </w:p>
    <w:p w:rsidRPr="00436E02" w:rsidR="00DA65DA" w:rsidP="00E97935" w:rsidRDefault="00DA65DA" w14:paraId="5D085C27" w14:textId="0430467A">
      <w:pPr>
        <w:spacing w:line="276" w:lineRule="auto"/>
        <w:rPr>
          <w:b/>
          <w:bCs/>
          <w:szCs w:val="18"/>
          <w:u w:val="single"/>
          <w:lang w:val="nl-NL"/>
        </w:rPr>
      </w:pPr>
      <w:r w:rsidRPr="0095230E">
        <w:rPr>
          <w:b/>
          <w:bCs/>
          <w:szCs w:val="18"/>
          <w:u w:val="single"/>
          <w:lang w:val="nl-NL"/>
        </w:rPr>
        <w:t xml:space="preserve">Probleemstelling en rol van de overheid </w:t>
      </w:r>
    </w:p>
    <w:p w:rsidRPr="0095230E" w:rsidR="00DA65DA" w:rsidP="00E97935" w:rsidRDefault="00DA65DA" w14:paraId="24C4346A" w14:textId="7F864D85">
      <w:pPr>
        <w:pStyle w:val="Lijstalinea"/>
        <w:numPr>
          <w:ilvl w:val="0"/>
          <w:numId w:val="2"/>
        </w:numPr>
        <w:spacing w:line="276" w:lineRule="auto"/>
        <w:rPr>
          <w:b/>
          <w:bCs/>
          <w:szCs w:val="18"/>
          <w:lang w:val="nl-NL"/>
        </w:rPr>
      </w:pPr>
      <w:r w:rsidRPr="0095230E">
        <w:rPr>
          <w:b/>
          <w:bCs/>
          <w:szCs w:val="18"/>
          <w:lang w:val="nl-NL"/>
        </w:rPr>
        <w:t xml:space="preserve">Wat is het probleem dat aanleiding is voor het beleidsvoorstel? </w:t>
      </w:r>
    </w:p>
    <w:p w:rsidRPr="00A677E2" w:rsidR="00A677E2" w:rsidP="00E97935" w:rsidRDefault="00A677E2" w14:paraId="3FCD1754" w14:textId="77777777">
      <w:pPr>
        <w:spacing w:line="276" w:lineRule="auto"/>
        <w:rPr>
          <w:lang w:val="nl-NL"/>
        </w:rPr>
      </w:pPr>
      <w:r w:rsidRPr="00A677E2">
        <w:rPr>
          <w:lang w:val="nl-NL"/>
        </w:rPr>
        <w:t>Door de Russische agressieoorlog zijn de Oekraïense overheidsuitgaven — vooral op het gebied van defensie — fors gestegen.  Vanwege de oorlog is het land de toegang tot de internationale kapitaalmarkten is kwijtgeraakt. Oekraïne neemt zelf maatregelen om de belastinginkomsten te verhogen, maar is afhankelijk van liquiditeitssteun van de internationale partners om het resterend financieringstekort zoveel mogelijk op te vangen de economie draaiende te houden, en te voorkomen dat essentiële (defensie)uitgaven niet meer gedaan kunnen worden.</w:t>
      </w:r>
    </w:p>
    <w:p w:rsidRPr="0095230E" w:rsidR="00DA65DA" w:rsidP="00E97935" w:rsidRDefault="00DA65DA" w14:paraId="37B343C1" w14:textId="0B8F9C24">
      <w:pPr>
        <w:pStyle w:val="Lijstalinea"/>
        <w:numPr>
          <w:ilvl w:val="0"/>
          <w:numId w:val="2"/>
        </w:numPr>
        <w:spacing w:line="276" w:lineRule="auto"/>
        <w:rPr>
          <w:b/>
          <w:bCs/>
          <w:szCs w:val="18"/>
          <w:lang w:val="nl-NL"/>
        </w:rPr>
      </w:pPr>
      <w:r w:rsidRPr="0095230E">
        <w:rPr>
          <w:b/>
          <w:bCs/>
          <w:szCs w:val="18"/>
          <w:lang w:val="nl-NL"/>
        </w:rPr>
        <w:t xml:space="preserve">Waarom rekent de centrale overheid het tot haar verantwoordelijkheid om het probleem op te lossen? </w:t>
      </w:r>
    </w:p>
    <w:p w:rsidRPr="0095230E" w:rsidR="009367F5" w:rsidP="00E97935" w:rsidRDefault="009367F5" w14:paraId="7D9C9A32" w14:textId="274BBA7D">
      <w:pPr>
        <w:spacing w:line="276" w:lineRule="auto"/>
        <w:rPr>
          <w:szCs w:val="18"/>
          <w:lang w:val="nl-NL"/>
        </w:rPr>
      </w:pPr>
      <w:bookmarkStart w:name="_Hlk110585588" w:id="1"/>
      <w:r w:rsidRPr="0095230E">
        <w:rPr>
          <w:szCs w:val="18"/>
          <w:lang w:val="nl-NL"/>
        </w:rPr>
        <w:t xml:space="preserve">Het kabinet is solidair met Oekraïne en veroordeelt de Russische oorlog in Oekraïne met de sterkst mogelijke bewoordingen. </w:t>
      </w:r>
      <w:r w:rsidRPr="0095230E" w:rsidR="00364FD3">
        <w:rPr>
          <w:bCs/>
          <w:szCs w:val="18"/>
          <w:lang w:val="nl-NL"/>
        </w:rPr>
        <w:t xml:space="preserve">De kern van de kabinetsinzet is enerzijds zo stevig mogelijke maatregelen te nemen tegen Rusland en anderzijds zoveel mogelijk steun te verlenen aan Oekraïne, inclusief financiële steun. </w:t>
      </w:r>
      <w:r w:rsidRPr="0095230E">
        <w:rPr>
          <w:szCs w:val="18"/>
          <w:lang w:val="nl-NL"/>
        </w:rPr>
        <w:t>Het waarborgen van de veiligheid van de Oekraïense bevolking en het beëindigen van de oorlog hebben de hoogste prioriteit. Daarnaast erkent het kabinet de financiële noden van de Oekraïense overheid op korte termijn en is het van groot belang dat het land macro-economisch niet verder destabiliseert.</w:t>
      </w:r>
      <w:bookmarkEnd w:id="1"/>
      <w:r w:rsidRPr="0095230E">
        <w:rPr>
          <w:szCs w:val="18"/>
          <w:lang w:val="nl-NL"/>
        </w:rPr>
        <w:t xml:space="preserve"> Het kabinet vindt het belangrijk bij te dragen aan de noodzakelijke financiële steun aan Oekraïne.</w:t>
      </w:r>
      <w:r w:rsidRPr="0095230E" w:rsidR="00153503">
        <w:rPr>
          <w:szCs w:val="18"/>
          <w:lang w:val="nl-NL"/>
        </w:rPr>
        <w:t xml:space="preserve"> </w:t>
      </w:r>
    </w:p>
    <w:p w:rsidRPr="0095230E" w:rsidR="00F36D4C" w:rsidP="00E97935" w:rsidRDefault="00F36D4C" w14:paraId="09FC4D6D" w14:textId="44CD6194">
      <w:pPr>
        <w:spacing w:line="276" w:lineRule="auto"/>
        <w:rPr>
          <w:szCs w:val="18"/>
          <w:lang w:val="nl-NL"/>
        </w:rPr>
      </w:pPr>
      <w:r w:rsidRPr="0095230E">
        <w:rPr>
          <w:szCs w:val="18"/>
          <w:lang w:val="nl-NL"/>
        </w:rPr>
        <w:t xml:space="preserve">Volgens de Commissie kunnen verdere belastingverhogingen — boven op de huidige inspanningen — de resterende economische activiteit in Oekraïne schaden. Hoewel Oekraïne sinds de uitbraak van de oorlog een voorzichtig bbp-herstel laat zien, blijft de economie kwetsbaar door de blijvende aanvallen op de energiesector (ca. 80-90% van de energiecapaciteit is verwoest), kritieke infrastructuur en de nijpende arbeidstekorten. </w:t>
      </w:r>
      <w:r w:rsidR="001E332D">
        <w:rPr>
          <w:szCs w:val="18"/>
          <w:lang w:val="nl-NL"/>
        </w:rPr>
        <w:t>Het is daarom aan Nederland en andere internationale partners om het resterend tekort zoveel mogelijk op te vangen, om ervoor te zorgen Oekraïne essentiële (defensie)uitgaven kan blijven doen.</w:t>
      </w:r>
    </w:p>
    <w:p w:rsidRPr="0095230E" w:rsidR="00153503" w:rsidP="00E97935" w:rsidRDefault="00E31F09" w14:paraId="65BFC1A4" w14:textId="39033AD6">
      <w:pPr>
        <w:spacing w:line="276" w:lineRule="auto"/>
        <w:rPr>
          <w:rFonts w:cs="Times New Roman"/>
          <w:szCs w:val="18"/>
          <w:lang w:val="nl-NL" w:eastAsia="nl-NL"/>
        </w:rPr>
      </w:pPr>
      <w:r w:rsidRPr="0095230E">
        <w:rPr>
          <w:szCs w:val="18"/>
          <w:lang w:val="nl-NL"/>
        </w:rPr>
        <w:t>Naast de andere garantie</w:t>
      </w:r>
      <w:r w:rsidRPr="0095230E" w:rsidR="00874BD4">
        <w:rPr>
          <w:szCs w:val="18"/>
          <w:lang w:val="nl-NL"/>
        </w:rPr>
        <w:t>s</w:t>
      </w:r>
      <w:r w:rsidRPr="0095230E">
        <w:rPr>
          <w:szCs w:val="18"/>
          <w:lang w:val="nl-NL"/>
        </w:rPr>
        <w:t xml:space="preserve"> via de Europese Unie en de Oekraïne-faciliteit, heeft </w:t>
      </w:r>
      <w:r w:rsidRPr="0095230E" w:rsidR="00153503">
        <w:rPr>
          <w:szCs w:val="18"/>
          <w:lang w:val="nl-NL"/>
        </w:rPr>
        <w:t xml:space="preserve">Nederland al </w:t>
      </w:r>
      <w:r w:rsidRPr="0095230E">
        <w:rPr>
          <w:szCs w:val="18"/>
          <w:lang w:val="nl-NL"/>
        </w:rPr>
        <w:t xml:space="preserve">eerder </w:t>
      </w:r>
      <w:r w:rsidRPr="0095230E" w:rsidR="00153503">
        <w:rPr>
          <w:szCs w:val="18"/>
          <w:lang w:val="nl-NL"/>
        </w:rPr>
        <w:t>een financiële bijdrage van 100 miljoen euro gedaan voor begrotingssteun via een garantie aan de Wereldbank</w:t>
      </w:r>
      <w:r w:rsidRPr="0095230E" w:rsidR="00EB43C1">
        <w:rPr>
          <w:szCs w:val="18"/>
          <w:lang w:val="nl-NL"/>
        </w:rPr>
        <w:t>.</w:t>
      </w:r>
      <w:r w:rsidRPr="0095230E" w:rsidR="00EB43C1">
        <w:rPr>
          <w:rStyle w:val="Voetnootmarkering"/>
          <w:szCs w:val="18"/>
        </w:rPr>
        <w:footnoteReference w:id="10"/>
      </w:r>
      <w:r w:rsidRPr="0095230E" w:rsidR="00153503">
        <w:rPr>
          <w:szCs w:val="18"/>
          <w:lang w:val="nl-NL"/>
        </w:rPr>
        <w:t xml:space="preserve"> </w:t>
      </w:r>
      <w:bookmarkStart w:name="_Hlk116644174" w:id="2"/>
      <w:r w:rsidRPr="0095230E" w:rsidR="001B3821">
        <w:rPr>
          <w:szCs w:val="18"/>
          <w:lang w:val="nl-NL"/>
        </w:rPr>
        <w:t xml:space="preserve">Daarnaast </w:t>
      </w:r>
      <w:r w:rsidRPr="0095230E" w:rsidR="007D2DE9">
        <w:rPr>
          <w:szCs w:val="18"/>
          <w:lang w:val="nl-NL"/>
        </w:rPr>
        <w:t xml:space="preserve">heeft het kabinet een </w:t>
      </w:r>
      <w:r w:rsidRPr="0095230E" w:rsidR="001B3821">
        <w:rPr>
          <w:szCs w:val="18"/>
          <w:lang w:val="nl-NL"/>
        </w:rPr>
        <w:t xml:space="preserve">bilaterale lening </w:t>
      </w:r>
      <w:r w:rsidRPr="0095230E" w:rsidR="007D2DE9">
        <w:rPr>
          <w:szCs w:val="18"/>
          <w:lang w:val="nl-NL"/>
        </w:rPr>
        <w:t xml:space="preserve">verstrekt </w:t>
      </w:r>
      <w:r w:rsidRPr="0095230E" w:rsidR="001B3821">
        <w:rPr>
          <w:szCs w:val="18"/>
          <w:lang w:val="nl-NL"/>
        </w:rPr>
        <w:t>van 200 miljoen euro aan begrotingssteun via het IMF</w:t>
      </w:r>
      <w:r w:rsidRPr="0095230E" w:rsidR="001B3821">
        <w:rPr>
          <w:rStyle w:val="Voetnootmarkering"/>
          <w:szCs w:val="18"/>
        </w:rPr>
        <w:footnoteReference w:id="11"/>
      </w:r>
      <w:bookmarkEnd w:id="2"/>
      <w:r w:rsidRPr="0095230E" w:rsidR="007D2DE9">
        <w:rPr>
          <w:szCs w:val="18"/>
          <w:lang w:val="nl-NL"/>
        </w:rPr>
        <w:t xml:space="preserve">. </w:t>
      </w:r>
      <w:r w:rsidRPr="0095230E" w:rsidR="00A03D3F">
        <w:rPr>
          <w:szCs w:val="18"/>
          <w:lang w:val="nl-NL"/>
        </w:rPr>
        <w:t>Ook</w:t>
      </w:r>
      <w:r w:rsidRPr="0095230E">
        <w:rPr>
          <w:szCs w:val="18"/>
          <w:lang w:val="nl-NL"/>
        </w:rPr>
        <w:t xml:space="preserve"> heeft het kabinet sinds de uitbraak van de oorlog vijf niet-militaire steunpakketten verstrekt aan Oekraïne, met een totale omvang van EUR </w:t>
      </w:r>
      <w:r w:rsidRPr="0095230E" w:rsidR="00A03D3F">
        <w:rPr>
          <w:szCs w:val="18"/>
          <w:lang w:val="nl-NL"/>
        </w:rPr>
        <w:t>812,5</w:t>
      </w:r>
      <w:r w:rsidRPr="0095230E">
        <w:rPr>
          <w:szCs w:val="18"/>
          <w:lang w:val="nl-NL"/>
        </w:rPr>
        <w:t xml:space="preserve"> mln. </w:t>
      </w:r>
      <w:r w:rsidRPr="0095230E">
        <w:rPr>
          <w:szCs w:val="18"/>
          <w:lang w:val="nl-NL"/>
        </w:rPr>
        <w:lastRenderedPageBreak/>
        <w:t>voor humanitaire hulp en wederopbouw. Deze financiering loopt voor het grootste deel via de internationale financiële instellingen (</w:t>
      </w:r>
      <w:proofErr w:type="spellStart"/>
      <w:r w:rsidRPr="0095230E">
        <w:rPr>
          <w:szCs w:val="18"/>
          <w:lang w:val="nl-NL"/>
        </w:rPr>
        <w:t>IFI’s</w:t>
      </w:r>
      <w:proofErr w:type="spellEnd"/>
      <w:r w:rsidRPr="0095230E">
        <w:rPr>
          <w:szCs w:val="18"/>
          <w:lang w:val="nl-NL"/>
        </w:rPr>
        <w:t>) zoals de Wereldbank, EBRD en EIB en faciliteert o.a. kritieke herstelwerkzaamheden.</w:t>
      </w:r>
    </w:p>
    <w:p w:rsidRPr="0095230E" w:rsidR="004C464A" w:rsidP="00E97935" w:rsidRDefault="00BB7271" w14:paraId="7BB85BBD" w14:textId="00E204A2">
      <w:pPr>
        <w:spacing w:line="276" w:lineRule="auto"/>
        <w:rPr>
          <w:szCs w:val="18"/>
          <w:vertAlign w:val="superscript"/>
          <w:lang w:val="nl-NL"/>
        </w:rPr>
      </w:pPr>
      <w:r w:rsidRPr="0095230E">
        <w:rPr>
          <w:bCs/>
          <w:szCs w:val="18"/>
          <w:lang w:val="nl-NL"/>
        </w:rPr>
        <w:t xml:space="preserve">Via </w:t>
      </w:r>
      <w:r w:rsidRPr="0095230E" w:rsidR="00B3462A">
        <w:rPr>
          <w:bCs/>
          <w:szCs w:val="18"/>
          <w:lang w:val="nl-NL"/>
        </w:rPr>
        <w:t xml:space="preserve">de </w:t>
      </w:r>
      <w:r w:rsidRPr="0095230E">
        <w:rPr>
          <w:bCs/>
          <w:szCs w:val="18"/>
          <w:lang w:val="nl-NL"/>
        </w:rPr>
        <w:t xml:space="preserve">MFB </w:t>
      </w:r>
      <w:r w:rsidRPr="0095230E" w:rsidR="00E31F09">
        <w:rPr>
          <w:bCs/>
          <w:szCs w:val="18"/>
          <w:lang w:val="nl-NL"/>
        </w:rPr>
        <w:t xml:space="preserve">heeft </w:t>
      </w:r>
      <w:r w:rsidRPr="0095230E">
        <w:rPr>
          <w:bCs/>
          <w:szCs w:val="18"/>
          <w:lang w:val="nl-NL"/>
        </w:rPr>
        <w:t xml:space="preserve">de Europese Unie </w:t>
      </w:r>
      <w:r w:rsidRPr="0095230E" w:rsidR="00E31F09">
        <w:rPr>
          <w:bCs/>
          <w:szCs w:val="18"/>
          <w:lang w:val="nl-NL"/>
        </w:rPr>
        <w:t xml:space="preserve">de afgelopen jaren al </w:t>
      </w:r>
      <w:r w:rsidRPr="0095230E">
        <w:rPr>
          <w:bCs/>
          <w:szCs w:val="18"/>
          <w:lang w:val="nl-NL"/>
        </w:rPr>
        <w:t xml:space="preserve">een aanzienlijke </w:t>
      </w:r>
      <w:r w:rsidRPr="0095230E">
        <w:rPr>
          <w:szCs w:val="18"/>
          <w:lang w:val="nl-NL"/>
        </w:rPr>
        <w:t xml:space="preserve">bijdrage </w:t>
      </w:r>
      <w:r w:rsidRPr="0095230E" w:rsidR="00E31F09">
        <w:rPr>
          <w:szCs w:val="18"/>
          <w:lang w:val="nl-NL"/>
        </w:rPr>
        <w:t xml:space="preserve">geleverd </w:t>
      </w:r>
      <w:r w:rsidRPr="0095230E">
        <w:rPr>
          <w:szCs w:val="18"/>
          <w:lang w:val="nl-NL"/>
        </w:rPr>
        <w:t xml:space="preserve">aan de financiële </w:t>
      </w:r>
      <w:r w:rsidRPr="0095230E" w:rsidR="00F560D9">
        <w:rPr>
          <w:szCs w:val="18"/>
          <w:lang w:val="nl-NL"/>
        </w:rPr>
        <w:t xml:space="preserve">stabiliteit </w:t>
      </w:r>
      <w:r w:rsidRPr="0095230E" w:rsidR="00DE28DA">
        <w:rPr>
          <w:szCs w:val="18"/>
          <w:lang w:val="nl-NL"/>
        </w:rPr>
        <w:t xml:space="preserve">van </w:t>
      </w:r>
      <w:r w:rsidRPr="0095230E">
        <w:rPr>
          <w:szCs w:val="18"/>
          <w:lang w:val="nl-NL"/>
        </w:rPr>
        <w:t xml:space="preserve">Oekraïne, </w:t>
      </w:r>
      <w:r w:rsidRPr="0095230E" w:rsidR="00743FAC">
        <w:rPr>
          <w:szCs w:val="18"/>
          <w:lang w:val="nl-NL"/>
        </w:rPr>
        <w:t xml:space="preserve">waarmee de Unie de acties van </w:t>
      </w:r>
      <w:r w:rsidRPr="0095230E">
        <w:rPr>
          <w:szCs w:val="18"/>
          <w:lang w:val="nl-NL"/>
        </w:rPr>
        <w:t>andere landen (</w:t>
      </w:r>
      <w:r w:rsidRPr="0095230E" w:rsidR="002C434D">
        <w:rPr>
          <w:szCs w:val="18"/>
          <w:lang w:val="nl-NL"/>
        </w:rPr>
        <w:t xml:space="preserve">bijvoorbeeld van de VS, maar ook </w:t>
      </w:r>
      <w:r w:rsidRPr="0095230E">
        <w:rPr>
          <w:szCs w:val="18"/>
          <w:lang w:val="nl-NL"/>
        </w:rPr>
        <w:t xml:space="preserve">in de </w:t>
      </w:r>
      <w:r w:rsidRPr="0095230E" w:rsidR="002C434D">
        <w:rPr>
          <w:szCs w:val="18"/>
          <w:lang w:val="nl-NL"/>
        </w:rPr>
        <w:t xml:space="preserve">bredere </w:t>
      </w:r>
      <w:r w:rsidRPr="0095230E">
        <w:rPr>
          <w:szCs w:val="18"/>
          <w:lang w:val="nl-NL"/>
        </w:rPr>
        <w:t xml:space="preserve">context van de G7) en de internationale financiële instellingen </w:t>
      </w:r>
      <w:r w:rsidRPr="0095230E" w:rsidR="00743FAC">
        <w:rPr>
          <w:szCs w:val="18"/>
          <w:lang w:val="nl-NL"/>
        </w:rPr>
        <w:t>complementeert en versterkt</w:t>
      </w:r>
      <w:r w:rsidRPr="0095230E">
        <w:rPr>
          <w:szCs w:val="18"/>
          <w:lang w:val="nl-NL"/>
        </w:rPr>
        <w:t>.</w:t>
      </w:r>
      <w:r w:rsidRPr="0095230E" w:rsidR="00FA0039">
        <w:rPr>
          <w:szCs w:val="18"/>
          <w:lang w:val="nl-NL"/>
        </w:rPr>
        <w:t xml:space="preserve"> Doordat de MFB-</w:t>
      </w:r>
      <w:r w:rsidRPr="0095230E" w:rsidR="002F0E5B">
        <w:rPr>
          <w:szCs w:val="18"/>
          <w:lang w:val="nl-NL"/>
        </w:rPr>
        <w:t>steun door de Commissie gecoördineerd wordt</w:t>
      </w:r>
      <w:r w:rsidRPr="0095230E" w:rsidR="007235B2">
        <w:rPr>
          <w:szCs w:val="18"/>
          <w:lang w:val="nl-NL"/>
        </w:rPr>
        <w:t>,</w:t>
      </w:r>
      <w:r w:rsidRPr="0095230E" w:rsidR="002F0E5B">
        <w:rPr>
          <w:szCs w:val="18"/>
          <w:lang w:val="nl-NL"/>
        </w:rPr>
        <w:t xml:space="preserve"> is de effectiviteit van de steun </w:t>
      </w:r>
      <w:r w:rsidRPr="0095230E" w:rsidR="00316F23">
        <w:rPr>
          <w:szCs w:val="18"/>
          <w:lang w:val="nl-NL"/>
        </w:rPr>
        <w:t>groter dan kan worden bereikt met de steun door afzonderlijke lidstaten</w:t>
      </w:r>
      <w:r w:rsidRPr="0095230E" w:rsidR="00DE28DA">
        <w:rPr>
          <w:szCs w:val="18"/>
          <w:lang w:val="nl-NL"/>
        </w:rPr>
        <w:t>,</w:t>
      </w:r>
      <w:r w:rsidRPr="0095230E" w:rsidR="00316F23">
        <w:rPr>
          <w:szCs w:val="18"/>
          <w:lang w:val="nl-NL"/>
        </w:rPr>
        <w:t xml:space="preserve"> </w:t>
      </w:r>
      <w:r w:rsidRPr="0095230E" w:rsidR="002F0E5B">
        <w:rPr>
          <w:szCs w:val="18"/>
          <w:lang w:val="nl-NL"/>
        </w:rPr>
        <w:t xml:space="preserve">terwijl de administratieve lasten voor de Oekraïense autoriteiten zo veel mogelijk beperkt blijven. </w:t>
      </w:r>
      <w:r w:rsidRPr="0095230E" w:rsidR="00BD1DD3">
        <w:rPr>
          <w:szCs w:val="18"/>
          <w:lang w:val="nl-NL"/>
        </w:rPr>
        <w:t xml:space="preserve">Aangezien de ruimte op de EU-begroting beperkt is, zijn </w:t>
      </w:r>
      <w:r w:rsidRPr="0095230E" w:rsidR="007D2DE9">
        <w:rPr>
          <w:szCs w:val="18"/>
          <w:lang w:val="nl-NL"/>
        </w:rPr>
        <w:t xml:space="preserve">garanties via de </w:t>
      </w:r>
      <w:proofErr w:type="spellStart"/>
      <w:r w:rsidRPr="0095230E" w:rsidR="007D2DE9">
        <w:rPr>
          <w:i/>
          <w:iCs/>
          <w:szCs w:val="18"/>
          <w:lang w:val="nl-NL"/>
        </w:rPr>
        <w:t>headroom</w:t>
      </w:r>
      <w:proofErr w:type="spellEnd"/>
      <w:r w:rsidRPr="0095230E" w:rsidR="00BD1DD3">
        <w:rPr>
          <w:szCs w:val="18"/>
          <w:lang w:val="nl-NL"/>
        </w:rPr>
        <w:t xml:space="preserve"> noodzakelijk om steun op EU-niveau mogelijk te maken.</w:t>
      </w:r>
      <w:r w:rsidRPr="0095230E" w:rsidR="00B763A7">
        <w:rPr>
          <w:szCs w:val="18"/>
          <w:lang w:val="nl-NL"/>
        </w:rPr>
        <w:t xml:space="preserve"> Deze financieringstechniek maakt een snellere beschikbaarheid van de benodigde garanties mogelijk in vergelijking met losse aanvullende garanties van de lidstaten aan de EU.</w:t>
      </w:r>
      <w:r w:rsidRPr="0095230E" w:rsidR="006D1140">
        <w:rPr>
          <w:szCs w:val="18"/>
          <w:lang w:val="nl-NL"/>
        </w:rPr>
        <w:t xml:space="preserve"> </w:t>
      </w:r>
      <w:r w:rsidRPr="0095230E" w:rsidR="009367F5">
        <w:rPr>
          <w:szCs w:val="18"/>
          <w:lang w:val="nl-NL"/>
        </w:rPr>
        <w:t>Met d</w:t>
      </w:r>
      <w:r w:rsidRPr="0095230E" w:rsidR="00BD1DD3">
        <w:rPr>
          <w:szCs w:val="18"/>
          <w:lang w:val="nl-NL"/>
        </w:rPr>
        <w:t>eze MFB</w:t>
      </w:r>
      <w:r w:rsidRPr="0095230E" w:rsidR="009367F5">
        <w:rPr>
          <w:szCs w:val="18"/>
          <w:lang w:val="nl-NL"/>
        </w:rPr>
        <w:t xml:space="preserve"> geeft de EU in lijn met het kabinetsbeleid </w:t>
      </w:r>
      <w:r w:rsidRPr="0095230E" w:rsidR="002C434D">
        <w:rPr>
          <w:szCs w:val="18"/>
          <w:lang w:val="nl-NL"/>
        </w:rPr>
        <w:t xml:space="preserve">uiting aan de </w:t>
      </w:r>
      <w:r w:rsidRPr="0095230E" w:rsidR="00F560D9">
        <w:rPr>
          <w:szCs w:val="18"/>
          <w:lang w:val="nl-NL"/>
        </w:rPr>
        <w:t>solidariteit</w:t>
      </w:r>
      <w:r w:rsidRPr="0095230E" w:rsidR="009367F5">
        <w:rPr>
          <w:szCs w:val="18"/>
          <w:lang w:val="nl-NL"/>
        </w:rPr>
        <w:t xml:space="preserve"> </w:t>
      </w:r>
      <w:r w:rsidRPr="0095230E" w:rsidR="00BE0891">
        <w:rPr>
          <w:szCs w:val="18"/>
          <w:lang w:val="nl-NL"/>
        </w:rPr>
        <w:t xml:space="preserve">met </w:t>
      </w:r>
      <w:r w:rsidRPr="0095230E" w:rsidR="009367F5">
        <w:rPr>
          <w:szCs w:val="18"/>
          <w:lang w:val="nl-NL"/>
        </w:rPr>
        <w:t xml:space="preserve">Oekraïne. Daarnaast draagt het bij aan een geloofwaardige en </w:t>
      </w:r>
      <w:r w:rsidRPr="0095230E" w:rsidR="00F560D9">
        <w:rPr>
          <w:szCs w:val="18"/>
          <w:lang w:val="nl-NL"/>
        </w:rPr>
        <w:t xml:space="preserve">eensgezinde </w:t>
      </w:r>
      <w:r w:rsidRPr="0095230E" w:rsidR="009367F5">
        <w:rPr>
          <w:szCs w:val="18"/>
          <w:lang w:val="nl-NL"/>
        </w:rPr>
        <w:t>positie van de Unie in internationaal verband.</w:t>
      </w:r>
    </w:p>
    <w:p w:rsidRPr="0095230E" w:rsidR="00DA65DA" w:rsidP="00E97935" w:rsidRDefault="00DA65DA" w14:paraId="3284FA4F" w14:textId="77777777">
      <w:pPr>
        <w:pStyle w:val="Lijstalinea"/>
        <w:numPr>
          <w:ilvl w:val="0"/>
          <w:numId w:val="2"/>
        </w:numPr>
        <w:spacing w:line="276" w:lineRule="auto"/>
        <w:rPr>
          <w:b/>
          <w:bCs/>
          <w:szCs w:val="18"/>
          <w:lang w:val="nl-NL"/>
        </w:rPr>
      </w:pPr>
      <w:bookmarkStart w:name="_Hlk116403809" w:id="3"/>
      <w:r w:rsidRPr="0095230E">
        <w:rPr>
          <w:b/>
          <w:bCs/>
          <w:szCs w:val="18"/>
          <w:lang w:val="nl-NL"/>
        </w:rPr>
        <w:t>Is het voorstel voor de risicoregeling:</w:t>
      </w:r>
    </w:p>
    <w:p w:rsidRPr="0095230E" w:rsidR="00DA65DA" w:rsidP="00E97935" w:rsidRDefault="00DA65DA" w14:paraId="328369D0" w14:textId="77777777">
      <w:pPr>
        <w:pStyle w:val="Lijstalinea"/>
        <w:spacing w:line="276" w:lineRule="auto"/>
        <w:ind w:left="0"/>
        <w:rPr>
          <w:b/>
          <w:bCs/>
          <w:szCs w:val="18"/>
          <w:lang w:val="nl-NL"/>
        </w:rPr>
      </w:pPr>
      <w:r w:rsidRPr="0095230E">
        <w:rPr>
          <w:b/>
          <w:bCs/>
          <w:szCs w:val="18"/>
          <w:lang w:val="nl-NL"/>
        </w:rPr>
        <w:t xml:space="preserve">a. ter compensatie van risico’s die niet in de markt kunnen worden gedekt, en/of </w:t>
      </w:r>
    </w:p>
    <w:p w:rsidRPr="0095230E" w:rsidR="00DA65DA" w:rsidP="00E97935" w:rsidRDefault="00DA65DA" w14:paraId="767F247B" w14:textId="2B6D7EA7">
      <w:pPr>
        <w:pStyle w:val="Lijstalinea"/>
        <w:spacing w:line="276" w:lineRule="auto"/>
        <w:ind w:left="0"/>
        <w:rPr>
          <w:b/>
          <w:bCs/>
          <w:szCs w:val="18"/>
          <w:lang w:val="nl-NL"/>
        </w:rPr>
      </w:pPr>
      <w:r w:rsidRPr="0095230E">
        <w:rPr>
          <w:b/>
          <w:bCs/>
          <w:szCs w:val="18"/>
          <w:lang w:val="nl-NL"/>
        </w:rPr>
        <w:t xml:space="preserve">b. het beste instrument waarmee een optimale doelmatigheidswinst kan worden bewerkstelligd ten opzichte van andere beleidsinstrumenten? Maak een vergelijking met alternatieve beleidsinstrumenten. </w:t>
      </w:r>
    </w:p>
    <w:p w:rsidRPr="0095230E" w:rsidR="002F0E5B" w:rsidP="00E97935" w:rsidRDefault="002F0E5B" w14:paraId="22A0A6BC" w14:textId="08293A84">
      <w:pPr>
        <w:pStyle w:val="Lijstalinea"/>
        <w:spacing w:line="276" w:lineRule="auto"/>
        <w:ind w:left="0"/>
        <w:rPr>
          <w:b/>
          <w:bCs/>
          <w:szCs w:val="18"/>
          <w:lang w:val="nl-NL"/>
        </w:rPr>
      </w:pPr>
    </w:p>
    <w:p w:rsidRPr="0095230E" w:rsidR="002F0E5B" w:rsidP="00E97935" w:rsidRDefault="002F0E5B" w14:paraId="5D9D12F0" w14:textId="1F6DA626">
      <w:pPr>
        <w:pStyle w:val="Lijstalinea"/>
        <w:numPr>
          <w:ilvl w:val="0"/>
          <w:numId w:val="6"/>
        </w:numPr>
        <w:spacing w:line="276" w:lineRule="auto"/>
        <w:ind w:left="360"/>
        <w:rPr>
          <w:szCs w:val="18"/>
          <w:lang w:val="nl-NL"/>
        </w:rPr>
      </w:pPr>
      <w:r w:rsidRPr="0095230E">
        <w:rPr>
          <w:szCs w:val="18"/>
          <w:lang w:val="nl-NL"/>
        </w:rPr>
        <w:t>Oekraïne heeft een a</w:t>
      </w:r>
      <w:r w:rsidRPr="0095230E" w:rsidR="00952BDC">
        <w:rPr>
          <w:szCs w:val="18"/>
          <w:lang w:val="nl-NL"/>
        </w:rPr>
        <w:t xml:space="preserve">cuut </w:t>
      </w:r>
      <w:r w:rsidRPr="0095230E">
        <w:rPr>
          <w:szCs w:val="18"/>
          <w:lang w:val="nl-NL"/>
        </w:rPr>
        <w:t xml:space="preserve">en </w:t>
      </w:r>
      <w:r w:rsidRPr="0095230E" w:rsidR="004A551B">
        <w:rPr>
          <w:szCs w:val="18"/>
          <w:lang w:val="nl-NL"/>
        </w:rPr>
        <w:t>aanzienlijk</w:t>
      </w:r>
      <w:r w:rsidRPr="0095230E" w:rsidR="00952BDC">
        <w:rPr>
          <w:szCs w:val="18"/>
          <w:lang w:val="nl-NL"/>
        </w:rPr>
        <w:t xml:space="preserve"> financieringstekort</w:t>
      </w:r>
      <w:r w:rsidR="006A4E80">
        <w:rPr>
          <w:szCs w:val="18"/>
          <w:lang w:val="nl-NL"/>
        </w:rPr>
        <w:t xml:space="preserve">. </w:t>
      </w:r>
      <w:r w:rsidRPr="001E14EC" w:rsidR="006A4E80">
        <w:rPr>
          <w:lang w:val="nl-NL"/>
        </w:rPr>
        <w:t>Gelet op de onzekerheid die de oorlogssituatie met zich meebrengt, hanteert het IMF sinds april 2023 twee scenario’s: een basisscenario</w:t>
      </w:r>
      <w:r w:rsidRPr="001E14EC" w:rsidR="006A4E80">
        <w:rPr>
          <w:i/>
          <w:iCs/>
          <w:lang w:val="nl-NL"/>
        </w:rPr>
        <w:t xml:space="preserve"> </w:t>
      </w:r>
      <w:r w:rsidRPr="001E14EC" w:rsidR="006A4E80">
        <w:rPr>
          <w:lang w:val="nl-NL"/>
        </w:rPr>
        <w:t>waarin de veronderstelling wordt gehanteerd dat eind dit jaar een staakt-het-vuren wordt bereikt en een negatiever scenario</w:t>
      </w:r>
      <w:r w:rsidRPr="001E14EC" w:rsidR="006A4E80">
        <w:rPr>
          <w:i/>
          <w:iCs/>
          <w:lang w:val="nl-NL"/>
        </w:rPr>
        <w:t xml:space="preserve"> </w:t>
      </w:r>
      <w:r w:rsidRPr="001E14EC" w:rsidR="006A4E80">
        <w:rPr>
          <w:lang w:val="nl-NL"/>
        </w:rPr>
        <w:t xml:space="preserve">waarin een staakt-het-vuren pas eind 2025 wordt bereikt. Bij deze scenario’s horen externe financieringstekorten van USD 121,9 mld. en USD 140,7 mld. van 2023 tot en met het eerste kwartaal van 2027. </w:t>
      </w:r>
      <w:proofErr w:type="gramStart"/>
      <w:r w:rsidR="004E5B29">
        <w:rPr>
          <w:lang w:val="nl-NL"/>
        </w:rPr>
        <w:t>Indien</w:t>
      </w:r>
      <w:proofErr w:type="gramEnd"/>
      <w:r w:rsidR="004E5B29">
        <w:rPr>
          <w:lang w:val="nl-NL"/>
        </w:rPr>
        <w:t xml:space="preserve"> de oorlog voortduurt, dan </w:t>
      </w:r>
      <w:r w:rsidRPr="001E14EC" w:rsidR="006A4E80">
        <w:rPr>
          <w:lang w:val="nl-NL"/>
        </w:rPr>
        <w:t xml:space="preserve">gaat </w:t>
      </w:r>
      <w:r w:rsidR="004E5B29">
        <w:rPr>
          <w:lang w:val="nl-NL"/>
        </w:rPr>
        <w:t xml:space="preserve">dat </w:t>
      </w:r>
      <w:r w:rsidRPr="001E14EC" w:rsidR="006A4E80">
        <w:rPr>
          <w:lang w:val="nl-NL"/>
        </w:rPr>
        <w:t>immers gepaard met onder andere toegenomen macro-economische onzekerheid hogere schade aan gebouwen en infrastructuur</w:t>
      </w:r>
      <w:r w:rsidR="006A4E80">
        <w:rPr>
          <w:rStyle w:val="Voetnootmarkering"/>
        </w:rPr>
        <w:footnoteReference w:id="12"/>
      </w:r>
      <w:r w:rsidRPr="001E14EC" w:rsidR="006A4E80">
        <w:rPr>
          <w:lang w:val="nl-NL"/>
        </w:rPr>
        <w:t xml:space="preserve"> en hogere defensie-uitgaven</w:t>
      </w:r>
      <w:r w:rsidR="006A4E80">
        <w:rPr>
          <w:lang w:val="nl-NL"/>
        </w:rPr>
        <w:t xml:space="preserve">. </w:t>
      </w:r>
      <w:r w:rsidRPr="0095230E">
        <w:rPr>
          <w:szCs w:val="18"/>
          <w:lang w:val="nl-NL"/>
        </w:rPr>
        <w:t xml:space="preserve">Vanwege </w:t>
      </w:r>
      <w:r w:rsidRPr="0095230E" w:rsidR="006839A6">
        <w:rPr>
          <w:szCs w:val="18"/>
          <w:lang w:val="nl-NL"/>
        </w:rPr>
        <w:t xml:space="preserve">de </w:t>
      </w:r>
      <w:r w:rsidRPr="0095230E" w:rsidR="00BD0007">
        <w:rPr>
          <w:szCs w:val="18"/>
          <w:lang w:val="nl-NL"/>
        </w:rPr>
        <w:t xml:space="preserve">aanhoudende </w:t>
      </w:r>
      <w:r w:rsidRPr="0095230E" w:rsidR="006839A6">
        <w:rPr>
          <w:szCs w:val="18"/>
          <w:lang w:val="nl-NL"/>
        </w:rPr>
        <w:t xml:space="preserve">Russische </w:t>
      </w:r>
      <w:r w:rsidRPr="0095230E" w:rsidR="00BD0007">
        <w:rPr>
          <w:szCs w:val="18"/>
          <w:lang w:val="nl-NL"/>
        </w:rPr>
        <w:t>oorlog</w:t>
      </w:r>
      <w:r w:rsidRPr="0095230E">
        <w:rPr>
          <w:szCs w:val="18"/>
          <w:lang w:val="nl-NL"/>
        </w:rPr>
        <w:t xml:space="preserve"> is de markt niet </w:t>
      </w:r>
      <w:r w:rsidRPr="0095230E" w:rsidR="003203ED">
        <w:rPr>
          <w:szCs w:val="18"/>
          <w:lang w:val="nl-NL"/>
        </w:rPr>
        <w:t xml:space="preserve">bereid </w:t>
      </w:r>
      <w:r w:rsidRPr="0095230E">
        <w:rPr>
          <w:szCs w:val="18"/>
          <w:lang w:val="nl-NL"/>
        </w:rPr>
        <w:t>om Oekraïne financiering te verstrekken tegen voor Oekraïne betaalbare</w:t>
      </w:r>
      <w:r w:rsidRPr="0095230E" w:rsidR="00BD1DD3">
        <w:rPr>
          <w:szCs w:val="18"/>
          <w:lang w:val="nl-NL"/>
        </w:rPr>
        <w:t xml:space="preserve"> </w:t>
      </w:r>
      <w:r w:rsidRPr="0095230E" w:rsidR="00B763A7">
        <w:rPr>
          <w:szCs w:val="18"/>
          <w:lang w:val="nl-NL"/>
        </w:rPr>
        <w:t>financieringskosten</w:t>
      </w:r>
      <w:r w:rsidRPr="0095230E">
        <w:rPr>
          <w:szCs w:val="18"/>
          <w:lang w:val="nl-NL"/>
        </w:rPr>
        <w:t>.</w:t>
      </w:r>
    </w:p>
    <w:bookmarkEnd w:id="3"/>
    <w:p w:rsidRPr="0095230E" w:rsidR="006839A6" w:rsidP="00E97935" w:rsidRDefault="00A37592" w14:paraId="5FFCE6DA" w14:textId="3A81E396">
      <w:pPr>
        <w:pStyle w:val="Lijstalinea"/>
        <w:numPr>
          <w:ilvl w:val="0"/>
          <w:numId w:val="6"/>
        </w:numPr>
        <w:spacing w:line="276" w:lineRule="auto"/>
        <w:ind w:left="360"/>
        <w:rPr>
          <w:szCs w:val="18"/>
          <w:lang w:val="nl-NL"/>
        </w:rPr>
      </w:pPr>
      <w:r w:rsidRPr="0095230E">
        <w:rPr>
          <w:szCs w:val="18"/>
          <w:lang w:val="nl-NL"/>
        </w:rPr>
        <w:t>De betreffende MFB door de Commissie aan Oekraïne levert doelmatigheidswinst op om de volgende redenen:</w:t>
      </w:r>
    </w:p>
    <w:p w:rsidRPr="0095230E" w:rsidR="00517F5D" w:rsidP="00E97935" w:rsidRDefault="007C5358" w14:paraId="085A6DEA" w14:textId="2B7D5DE9">
      <w:pPr>
        <w:pStyle w:val="Lijstalinea"/>
        <w:numPr>
          <w:ilvl w:val="0"/>
          <w:numId w:val="7"/>
        </w:numPr>
        <w:spacing w:line="276" w:lineRule="auto"/>
        <w:ind w:left="720"/>
        <w:rPr>
          <w:szCs w:val="18"/>
          <w:lang w:val="nl-NL"/>
        </w:rPr>
      </w:pPr>
      <w:r w:rsidRPr="0095230E">
        <w:rPr>
          <w:szCs w:val="18"/>
          <w:lang w:val="nl-NL"/>
        </w:rPr>
        <w:t xml:space="preserve">Door het poolen van financiële steun op Europees niveau wordt </w:t>
      </w:r>
      <w:r w:rsidRPr="0095230E" w:rsidR="007235B2">
        <w:rPr>
          <w:szCs w:val="18"/>
          <w:lang w:val="nl-NL"/>
        </w:rPr>
        <w:t>zowel de financiering (de Commissie kan goedkoper lenen dan de meest</w:t>
      </w:r>
      <w:r w:rsidRPr="0095230E" w:rsidR="00BD1DD3">
        <w:rPr>
          <w:szCs w:val="18"/>
          <w:lang w:val="nl-NL"/>
        </w:rPr>
        <w:t>e</w:t>
      </w:r>
      <w:r w:rsidRPr="0095230E" w:rsidR="007235B2">
        <w:rPr>
          <w:szCs w:val="18"/>
          <w:lang w:val="nl-NL"/>
        </w:rPr>
        <w:t xml:space="preserve"> lidstaten) als </w:t>
      </w:r>
      <w:r w:rsidRPr="0095230E">
        <w:rPr>
          <w:szCs w:val="18"/>
          <w:lang w:val="nl-NL"/>
        </w:rPr>
        <w:t xml:space="preserve">de besteding efficiënter. </w:t>
      </w:r>
    </w:p>
    <w:p w:rsidRPr="0095230E" w:rsidR="00517F5D" w:rsidP="00E97935" w:rsidRDefault="00F77077" w14:paraId="735182F3" w14:textId="5B3E57F9">
      <w:pPr>
        <w:pStyle w:val="Lijstalinea"/>
        <w:numPr>
          <w:ilvl w:val="0"/>
          <w:numId w:val="7"/>
        </w:numPr>
        <w:spacing w:line="276" w:lineRule="auto"/>
        <w:ind w:left="720"/>
        <w:rPr>
          <w:szCs w:val="18"/>
          <w:lang w:val="nl-NL"/>
        </w:rPr>
      </w:pPr>
      <w:r w:rsidRPr="0095230E">
        <w:rPr>
          <w:szCs w:val="18"/>
          <w:lang w:val="nl-NL"/>
        </w:rPr>
        <w:t xml:space="preserve">De administratieve lasten </w:t>
      </w:r>
      <w:r w:rsidRPr="0095230E" w:rsidR="00517F5D">
        <w:rPr>
          <w:szCs w:val="18"/>
          <w:lang w:val="nl-NL"/>
        </w:rPr>
        <w:t xml:space="preserve">voor de Oekraïense autoriteiten </w:t>
      </w:r>
      <w:r w:rsidRPr="0095230E">
        <w:rPr>
          <w:szCs w:val="18"/>
          <w:lang w:val="nl-NL"/>
        </w:rPr>
        <w:t xml:space="preserve">worden </w:t>
      </w:r>
      <w:r w:rsidRPr="0095230E" w:rsidR="00517F5D">
        <w:rPr>
          <w:szCs w:val="18"/>
          <w:lang w:val="nl-NL"/>
        </w:rPr>
        <w:t>z</w:t>
      </w:r>
      <w:r w:rsidRPr="0095230E">
        <w:rPr>
          <w:szCs w:val="18"/>
          <w:lang w:val="nl-NL"/>
        </w:rPr>
        <w:t xml:space="preserve">o veel mogelijk beperkt doordat ze maar met één partij (de Commissie) afspraken hoeven te maken. </w:t>
      </w:r>
    </w:p>
    <w:p w:rsidRPr="0095230E" w:rsidR="00F77077" w:rsidP="00E97935" w:rsidRDefault="00F77077" w14:paraId="76EEBDBA" w14:textId="04AF0FB9">
      <w:pPr>
        <w:pStyle w:val="Lijstalinea"/>
        <w:numPr>
          <w:ilvl w:val="0"/>
          <w:numId w:val="7"/>
        </w:numPr>
        <w:spacing w:line="276" w:lineRule="auto"/>
        <w:ind w:left="720"/>
        <w:rPr>
          <w:szCs w:val="18"/>
          <w:lang w:val="nl-NL"/>
        </w:rPr>
      </w:pPr>
      <w:r w:rsidRPr="0095230E">
        <w:rPr>
          <w:szCs w:val="18"/>
          <w:lang w:val="nl-NL"/>
        </w:rPr>
        <w:t>De zachte voorwaarden van de MFB (</w:t>
      </w:r>
      <w:r w:rsidRPr="0095230E" w:rsidR="00BE1AD2">
        <w:rPr>
          <w:szCs w:val="18"/>
          <w:lang w:val="nl-NL"/>
        </w:rPr>
        <w:t xml:space="preserve">waaronder </w:t>
      </w:r>
      <w:r w:rsidRPr="0095230E">
        <w:rPr>
          <w:szCs w:val="18"/>
          <w:lang w:val="nl-NL"/>
        </w:rPr>
        <w:t>lange looptijden</w:t>
      </w:r>
      <w:r w:rsidRPr="0095230E" w:rsidR="009759FF">
        <w:rPr>
          <w:szCs w:val="18"/>
          <w:lang w:val="nl-NL"/>
        </w:rPr>
        <w:t xml:space="preserve"> en het gekoppelde ULCM</w:t>
      </w:r>
      <w:r w:rsidRPr="0095230E">
        <w:rPr>
          <w:szCs w:val="18"/>
          <w:lang w:val="nl-NL"/>
        </w:rPr>
        <w:t xml:space="preserve">) zorgen ervoor dat de toekomstige financieringslast voor Oekraïne zo veel mogelijk beperkt wordt. </w:t>
      </w:r>
    </w:p>
    <w:p w:rsidRPr="0095230E" w:rsidR="00702AB8" w:rsidP="00E97935" w:rsidRDefault="00702AB8" w14:paraId="605B850F" w14:textId="320C7920">
      <w:pPr>
        <w:pStyle w:val="Lijstalinea"/>
        <w:numPr>
          <w:ilvl w:val="0"/>
          <w:numId w:val="7"/>
        </w:numPr>
        <w:spacing w:line="276" w:lineRule="auto"/>
        <w:ind w:left="720"/>
        <w:rPr>
          <w:szCs w:val="18"/>
          <w:lang w:val="nl-NL"/>
        </w:rPr>
      </w:pPr>
      <w:r w:rsidRPr="0095230E">
        <w:rPr>
          <w:szCs w:val="18"/>
          <w:lang w:val="nl-NL"/>
        </w:rPr>
        <w:t>De Commissie is, gelet op de aanwezige expertise en contacten, goed in staat om de MFB te monitoren en hierover te rapporteren aan de EU-lidstaten.</w:t>
      </w:r>
    </w:p>
    <w:p w:rsidRPr="0095230E" w:rsidR="00702AB8" w:rsidP="00E97935" w:rsidRDefault="00702AB8" w14:paraId="0045F869" w14:textId="0393A11E">
      <w:pPr>
        <w:spacing w:line="276" w:lineRule="auto"/>
        <w:ind w:left="360"/>
        <w:rPr>
          <w:szCs w:val="18"/>
          <w:lang w:val="nl-NL"/>
        </w:rPr>
      </w:pPr>
      <w:r w:rsidRPr="0095230E">
        <w:rPr>
          <w:szCs w:val="18"/>
          <w:lang w:val="nl-NL"/>
        </w:rPr>
        <w:t xml:space="preserve">Er is </w:t>
      </w:r>
      <w:proofErr w:type="gramStart"/>
      <w:r w:rsidRPr="0095230E">
        <w:rPr>
          <w:szCs w:val="18"/>
          <w:lang w:val="nl-NL"/>
        </w:rPr>
        <w:t>tevens</w:t>
      </w:r>
      <w:proofErr w:type="gramEnd"/>
      <w:r w:rsidRPr="0095230E">
        <w:rPr>
          <w:szCs w:val="18"/>
          <w:lang w:val="nl-NL"/>
        </w:rPr>
        <w:t xml:space="preserve"> doelmatigheidswinst van garanties via de </w:t>
      </w:r>
      <w:proofErr w:type="spellStart"/>
      <w:r w:rsidRPr="0095230E">
        <w:rPr>
          <w:i/>
          <w:iCs/>
          <w:szCs w:val="18"/>
          <w:lang w:val="nl-NL"/>
        </w:rPr>
        <w:t>headroom</w:t>
      </w:r>
      <w:proofErr w:type="spellEnd"/>
      <w:r w:rsidRPr="0095230E">
        <w:rPr>
          <w:szCs w:val="18"/>
          <w:lang w:val="nl-NL"/>
        </w:rPr>
        <w:t xml:space="preserve"> ten opzichte van bilaterale garanties (zoals bij de tweede tranche MFB voor 2022):</w:t>
      </w:r>
    </w:p>
    <w:p w:rsidRPr="0095230E" w:rsidR="00702AB8" w:rsidP="00E97935" w:rsidRDefault="006C3D57" w14:paraId="3DA01A7E" w14:textId="288FA0C6">
      <w:pPr>
        <w:pStyle w:val="Lijstalinea"/>
        <w:numPr>
          <w:ilvl w:val="0"/>
          <w:numId w:val="7"/>
        </w:numPr>
        <w:spacing w:line="276" w:lineRule="auto"/>
        <w:ind w:left="720"/>
        <w:rPr>
          <w:szCs w:val="18"/>
          <w:lang w:val="nl-NL"/>
        </w:rPr>
      </w:pPr>
      <w:r w:rsidRPr="0095230E">
        <w:rPr>
          <w:szCs w:val="18"/>
          <w:lang w:val="nl-NL"/>
        </w:rPr>
        <w:t xml:space="preserve">Gezien de uitzonderlijke omstandigheden is het van belang dat de middelen zo snel mogelijk beschikbaar worden gesteld aan Oekraïne. Voor het afgeven van bilaterale garanties moeten lidstaten vaak lange nationale procedures doorlopen. De Commissie kan onder het Eigenmiddelenbesluit de </w:t>
      </w:r>
      <w:proofErr w:type="spellStart"/>
      <w:r w:rsidRPr="0095230E">
        <w:rPr>
          <w:i/>
          <w:iCs/>
          <w:szCs w:val="18"/>
          <w:lang w:val="nl-NL"/>
        </w:rPr>
        <w:t>headroom</w:t>
      </w:r>
      <w:proofErr w:type="spellEnd"/>
      <w:r w:rsidRPr="0095230E">
        <w:rPr>
          <w:szCs w:val="18"/>
          <w:lang w:val="nl-NL"/>
        </w:rPr>
        <w:t xml:space="preserve"> direct benutten als garantie voor de MFB.</w:t>
      </w:r>
    </w:p>
    <w:p w:rsidRPr="0095230E" w:rsidR="000D0858" w:rsidP="00E97935" w:rsidRDefault="000D0858" w14:paraId="1E751DA7" w14:textId="77777777">
      <w:pPr>
        <w:pStyle w:val="Lijstalinea"/>
        <w:spacing w:line="276" w:lineRule="auto"/>
        <w:ind w:left="0"/>
        <w:rPr>
          <w:b/>
          <w:bCs/>
          <w:szCs w:val="18"/>
          <w:lang w:val="nl-NL"/>
        </w:rPr>
      </w:pPr>
    </w:p>
    <w:p w:rsidRPr="0095230E" w:rsidR="00DA65DA" w:rsidP="00E97935" w:rsidRDefault="00DA65DA" w14:paraId="1504B103" w14:textId="77777777">
      <w:pPr>
        <w:pStyle w:val="Lijstalinea"/>
        <w:numPr>
          <w:ilvl w:val="0"/>
          <w:numId w:val="2"/>
        </w:numPr>
        <w:spacing w:line="276" w:lineRule="auto"/>
        <w:rPr>
          <w:b/>
          <w:bCs/>
          <w:szCs w:val="18"/>
          <w:lang w:val="nl-NL"/>
        </w:rPr>
      </w:pPr>
      <w:r w:rsidRPr="0095230E">
        <w:rPr>
          <w:b/>
          <w:bCs/>
          <w:szCs w:val="18"/>
          <w:lang w:val="nl-NL"/>
        </w:rPr>
        <w:lastRenderedPageBreak/>
        <w:t xml:space="preserve">Op welke wijze wordt het nieuw aan te </w:t>
      </w:r>
      <w:proofErr w:type="spellStart"/>
      <w:r w:rsidRPr="0095230E">
        <w:rPr>
          <w:b/>
          <w:bCs/>
          <w:szCs w:val="18"/>
          <w:lang w:val="nl-NL"/>
        </w:rPr>
        <w:t>gane</w:t>
      </w:r>
      <w:proofErr w:type="spellEnd"/>
      <w:r w:rsidRPr="0095230E">
        <w:rPr>
          <w:b/>
          <w:bCs/>
          <w:szCs w:val="18"/>
          <w:lang w:val="nl-NL"/>
        </w:rPr>
        <w:t xml:space="preserve"> risico gecompenseerd door risico’s vanuit andere risicoregelingen binnen de begroting te verminderen? </w:t>
      </w:r>
    </w:p>
    <w:p w:rsidRPr="0095230E" w:rsidR="00DA65DA" w:rsidP="00E97935" w:rsidRDefault="004E51F1" w14:paraId="4FF233C3" w14:textId="609428C8">
      <w:pPr>
        <w:pStyle w:val="Default"/>
        <w:spacing w:line="276" w:lineRule="auto"/>
        <w:rPr>
          <w:sz w:val="18"/>
          <w:szCs w:val="18"/>
          <w:u w:val="single"/>
        </w:rPr>
      </w:pPr>
      <w:r w:rsidRPr="0095230E">
        <w:rPr>
          <w:rFonts w:cs="Times New Roman"/>
          <w:sz w:val="18"/>
          <w:szCs w:val="18"/>
        </w:rPr>
        <w:t xml:space="preserve">N.v.t. gezien het een noodmaatregel betreft vanwege de </w:t>
      </w:r>
      <w:r w:rsidRPr="0095230E" w:rsidR="00081CBC">
        <w:rPr>
          <w:rFonts w:cs="Times New Roman"/>
          <w:sz w:val="18"/>
          <w:szCs w:val="18"/>
        </w:rPr>
        <w:t xml:space="preserve">aanhoudende </w:t>
      </w:r>
      <w:r w:rsidRPr="0095230E">
        <w:rPr>
          <w:rFonts w:cs="Times New Roman"/>
          <w:sz w:val="18"/>
          <w:szCs w:val="18"/>
        </w:rPr>
        <w:t>Russische oorlog tegen Oekraïne.</w:t>
      </w:r>
    </w:p>
    <w:p w:rsidRPr="0095230E" w:rsidR="00DA65DA" w:rsidP="00E97935" w:rsidRDefault="00DA65DA" w14:paraId="19B89017" w14:textId="77777777">
      <w:pPr>
        <w:pStyle w:val="Default"/>
        <w:spacing w:line="276" w:lineRule="auto"/>
        <w:rPr>
          <w:sz w:val="18"/>
          <w:szCs w:val="18"/>
        </w:rPr>
      </w:pPr>
    </w:p>
    <w:p w:rsidRPr="0095230E" w:rsidR="00DA65DA" w:rsidP="00E97935" w:rsidRDefault="00DA65DA" w14:paraId="587C8A6F" w14:textId="77777777">
      <w:pPr>
        <w:pStyle w:val="Default"/>
        <w:spacing w:line="276" w:lineRule="auto"/>
        <w:rPr>
          <w:b/>
          <w:bCs/>
          <w:sz w:val="18"/>
          <w:szCs w:val="18"/>
          <w:u w:val="single"/>
        </w:rPr>
      </w:pPr>
      <w:r w:rsidRPr="0095230E">
        <w:rPr>
          <w:b/>
          <w:bCs/>
          <w:sz w:val="18"/>
          <w:szCs w:val="18"/>
          <w:u w:val="single"/>
        </w:rPr>
        <w:t xml:space="preserve">Risico’s en risicobeheersing </w:t>
      </w:r>
    </w:p>
    <w:p w:rsidRPr="0095230E" w:rsidR="00DA65DA" w:rsidP="00E97935" w:rsidRDefault="00DA65DA" w14:paraId="3CD7BA7D" w14:textId="77777777">
      <w:pPr>
        <w:pStyle w:val="Default"/>
        <w:spacing w:line="276" w:lineRule="auto"/>
        <w:rPr>
          <w:sz w:val="18"/>
          <w:szCs w:val="18"/>
        </w:rPr>
      </w:pPr>
    </w:p>
    <w:p w:rsidRPr="0095230E" w:rsidR="00DA65DA" w:rsidP="00E97935" w:rsidRDefault="00DA65DA" w14:paraId="3B1A120C" w14:textId="77777777">
      <w:pPr>
        <w:pStyle w:val="Lijstalinea"/>
        <w:numPr>
          <w:ilvl w:val="0"/>
          <w:numId w:val="2"/>
        </w:numPr>
        <w:spacing w:line="276" w:lineRule="auto"/>
        <w:rPr>
          <w:b/>
          <w:bCs/>
          <w:szCs w:val="18"/>
          <w:lang w:val="nl-NL"/>
        </w:rPr>
      </w:pPr>
      <w:r w:rsidRPr="0095230E">
        <w:rPr>
          <w:b/>
          <w:bCs/>
          <w:szCs w:val="18"/>
          <w:lang w:val="nl-NL"/>
        </w:rPr>
        <w:t>Wat zijn de risico’s van de regeling voor het Rijk:</w:t>
      </w:r>
    </w:p>
    <w:p w:rsidRPr="0095230E" w:rsidR="00DA65DA" w:rsidP="00E97935" w:rsidRDefault="00DA65DA" w14:paraId="72331885" w14:textId="77777777">
      <w:pPr>
        <w:pStyle w:val="Lijstalinea"/>
        <w:numPr>
          <w:ilvl w:val="1"/>
          <w:numId w:val="3"/>
        </w:numPr>
        <w:spacing w:line="276" w:lineRule="auto"/>
        <w:ind w:left="633" w:hanging="284"/>
        <w:rPr>
          <w:b/>
          <w:bCs/>
          <w:szCs w:val="18"/>
          <w:lang w:val="nl-NL"/>
        </w:rPr>
      </w:pPr>
      <w:r w:rsidRPr="0095230E">
        <w:rPr>
          <w:b/>
          <w:bCs/>
          <w:szCs w:val="18"/>
          <w:lang w:val="nl-NL"/>
        </w:rPr>
        <w:t xml:space="preserve">Wat is het totaalrisico van de regeling op jaarbasis? Kent de regeling een totaalplafond? </w:t>
      </w:r>
    </w:p>
    <w:p w:rsidRPr="0095230E" w:rsidR="001E4146" w:rsidP="00E97935" w:rsidRDefault="003C514C" w14:paraId="3197F707" w14:textId="053D4322">
      <w:pPr>
        <w:pStyle w:val="StandaardSlotzin"/>
        <w:spacing w:line="276" w:lineRule="auto"/>
      </w:pPr>
      <w:r w:rsidRPr="0095230E">
        <w:t xml:space="preserve">De totale </w:t>
      </w:r>
      <w:r w:rsidRPr="0095230E" w:rsidR="00054017">
        <w:t>EU-</w:t>
      </w:r>
      <w:r w:rsidRPr="0095230E">
        <w:t>lening aan Oekraïne bedra</w:t>
      </w:r>
      <w:r w:rsidRPr="0095230E" w:rsidR="0063527A">
        <w:t>agt</w:t>
      </w:r>
      <w:r w:rsidRPr="0095230E">
        <w:t xml:space="preserve"> </w:t>
      </w:r>
      <w:r w:rsidRPr="0095230E" w:rsidR="00A82FB5">
        <w:t>maximaal 35 miljard euro</w:t>
      </w:r>
      <w:r w:rsidRPr="0095230E">
        <w:t xml:space="preserve"> in </w:t>
      </w:r>
      <w:r w:rsidRPr="0095230E" w:rsidR="009003BB">
        <w:t>2024-2025</w:t>
      </w:r>
      <w:r w:rsidRPr="0095230E">
        <w:t xml:space="preserve">. </w:t>
      </w:r>
      <w:r w:rsidRPr="0095230E" w:rsidR="00011891">
        <w:t>Daarbij worden de G7-landen die geen lidstaat van de EU zijn in staat gesteld leningen te verstrekken om tot het totaalbedrag van 45</w:t>
      </w:r>
      <w:r w:rsidRPr="0095230E" w:rsidR="00BA1EFB">
        <w:t xml:space="preserve"> miljard</w:t>
      </w:r>
      <w:r w:rsidRPr="0095230E" w:rsidR="00011891">
        <w:t xml:space="preserve"> euro te komen, </w:t>
      </w:r>
      <w:proofErr w:type="gramStart"/>
      <w:r w:rsidRPr="0095230E" w:rsidR="00011891">
        <w:t>conform</w:t>
      </w:r>
      <w:proofErr w:type="gramEnd"/>
      <w:r w:rsidRPr="0095230E" w:rsidR="00011891">
        <w:t xml:space="preserve"> het bedrag in het politieke G7-akkoord. </w:t>
      </w:r>
      <w:r w:rsidRPr="0095230E" w:rsidR="00A82FB5">
        <w:t>Als de G7-partners of andere derde landen meer ERA-leningen verstrekken dan 10 mld. euro, zal het EU-aandeel navenant worden verlaagd, zodat het totaalbedrag aan ERA-leningen niet boven 45 mld. euro komt. Dit wordt als maximum gehanteerd door de Commissie, omdat dit het bedrag is waarvan zij denkt dat het gefinancierd kan worden via de toekomstige buitengewone inkomsten.</w:t>
      </w:r>
      <w:r w:rsidRPr="0095230E" w:rsidR="001E4146">
        <w:br/>
      </w:r>
    </w:p>
    <w:p w:rsidRPr="0095230E" w:rsidR="00C46ADA" w:rsidP="00E97935" w:rsidRDefault="003C514C" w14:paraId="0E796AB9" w14:textId="55181B6B">
      <w:pPr>
        <w:tabs>
          <w:tab w:val="left" w:pos="2265"/>
        </w:tabs>
        <w:spacing w:line="276" w:lineRule="auto"/>
        <w:rPr>
          <w:szCs w:val="18"/>
          <w:lang w:val="nl-NL"/>
        </w:rPr>
      </w:pPr>
      <w:r w:rsidRPr="0095230E">
        <w:rPr>
          <w:szCs w:val="18"/>
          <w:lang w:val="nl-NL"/>
        </w:rPr>
        <w:t xml:space="preserve">Deze middelen </w:t>
      </w:r>
      <w:r w:rsidRPr="0095230E" w:rsidR="0018066D">
        <w:rPr>
          <w:szCs w:val="18"/>
          <w:lang w:val="nl-NL"/>
        </w:rPr>
        <w:t xml:space="preserve">voor de leningen </w:t>
      </w:r>
      <w:r w:rsidRPr="0095230E" w:rsidR="009E2F3D">
        <w:rPr>
          <w:szCs w:val="18"/>
          <w:lang w:val="nl-NL"/>
        </w:rPr>
        <w:t>leent</w:t>
      </w:r>
      <w:r w:rsidRPr="0095230E">
        <w:rPr>
          <w:szCs w:val="18"/>
          <w:lang w:val="nl-NL"/>
        </w:rPr>
        <w:t xml:space="preserve"> de Commissie, namens de Unie, op de kapitaalmarkt op. Aan deze leningen zijn geen directe uitgaven voor de lidstaten verbonden. Pas indien Oekraïne niet in staat zou blij</w:t>
      </w:r>
      <w:r w:rsidRPr="0095230E" w:rsidR="00CF5683">
        <w:rPr>
          <w:szCs w:val="18"/>
          <w:lang w:val="nl-NL"/>
        </w:rPr>
        <w:t>k</w:t>
      </w:r>
      <w:r w:rsidRPr="0095230E">
        <w:rPr>
          <w:szCs w:val="18"/>
          <w:lang w:val="nl-NL"/>
        </w:rPr>
        <w:t xml:space="preserve">en de verstrekte leningen aan de Unie af te lossen zal de Commissie mogelijk middelen bij de lidstaten op moeten halen om ervoor te zorgen dat de Unie zelf aan haar </w:t>
      </w:r>
      <w:r w:rsidRPr="0095230E" w:rsidR="009E2F3D">
        <w:rPr>
          <w:szCs w:val="18"/>
          <w:lang w:val="nl-NL"/>
        </w:rPr>
        <w:t xml:space="preserve">rente en </w:t>
      </w:r>
      <w:r w:rsidRPr="0095230E">
        <w:rPr>
          <w:szCs w:val="18"/>
          <w:lang w:val="nl-NL"/>
        </w:rPr>
        <w:t xml:space="preserve">aflossingsverplichtingen kan voldoen. </w:t>
      </w:r>
    </w:p>
    <w:p w:rsidRPr="0095230E" w:rsidR="00DE636E" w:rsidP="00E97935" w:rsidRDefault="00DE636E" w14:paraId="4287D226" w14:textId="77777777">
      <w:pPr>
        <w:pStyle w:val="Default"/>
        <w:spacing w:line="276" w:lineRule="auto"/>
        <w:rPr>
          <w:rFonts w:cstheme="minorBidi"/>
          <w:color w:val="auto"/>
          <w:sz w:val="18"/>
          <w:szCs w:val="18"/>
        </w:rPr>
      </w:pPr>
      <w:r w:rsidRPr="0095230E">
        <w:rPr>
          <w:rFonts w:cstheme="minorBidi"/>
          <w:color w:val="auto"/>
          <w:sz w:val="18"/>
          <w:szCs w:val="18"/>
        </w:rPr>
        <w:t xml:space="preserve">Dat gebeurt pro rata op basis van het </w:t>
      </w:r>
      <w:proofErr w:type="spellStart"/>
      <w:r w:rsidRPr="0095230E">
        <w:rPr>
          <w:rFonts w:cstheme="minorBidi"/>
          <w:color w:val="auto"/>
          <w:sz w:val="18"/>
          <w:szCs w:val="18"/>
        </w:rPr>
        <w:t>bni</w:t>
      </w:r>
      <w:proofErr w:type="spellEnd"/>
      <w:r w:rsidRPr="0095230E">
        <w:rPr>
          <w:rFonts w:cstheme="minorBidi"/>
          <w:color w:val="auto"/>
          <w:sz w:val="18"/>
          <w:szCs w:val="18"/>
        </w:rPr>
        <w:t xml:space="preserve">-aandeel van een lidstaat in het </w:t>
      </w:r>
      <w:proofErr w:type="spellStart"/>
      <w:r w:rsidRPr="0095230E">
        <w:rPr>
          <w:rFonts w:cstheme="minorBidi"/>
          <w:color w:val="auto"/>
          <w:sz w:val="18"/>
          <w:szCs w:val="18"/>
        </w:rPr>
        <w:t>bni</w:t>
      </w:r>
      <w:proofErr w:type="spellEnd"/>
      <w:r w:rsidRPr="0095230E">
        <w:rPr>
          <w:rFonts w:cstheme="minorBidi"/>
          <w:color w:val="auto"/>
          <w:sz w:val="18"/>
          <w:szCs w:val="18"/>
        </w:rPr>
        <w:t xml:space="preserve"> van de Unie. Bij het huidige </w:t>
      </w:r>
      <w:proofErr w:type="spellStart"/>
      <w:r w:rsidRPr="0095230E">
        <w:rPr>
          <w:rFonts w:cstheme="minorBidi"/>
          <w:color w:val="auto"/>
          <w:sz w:val="18"/>
          <w:szCs w:val="18"/>
        </w:rPr>
        <w:t>bni</w:t>
      </w:r>
      <w:proofErr w:type="spellEnd"/>
      <w:r w:rsidRPr="0095230E">
        <w:rPr>
          <w:rFonts w:cstheme="minorBidi"/>
          <w:color w:val="auto"/>
          <w:sz w:val="18"/>
          <w:szCs w:val="18"/>
        </w:rPr>
        <w:t xml:space="preserve">-aandeel van Nederland van 6,1% betreft dit een geraamde garantie van </w:t>
      </w:r>
      <w:proofErr w:type="gramStart"/>
      <w:r w:rsidRPr="0095230E">
        <w:rPr>
          <w:rFonts w:cstheme="minorBidi"/>
          <w:color w:val="auto"/>
          <w:sz w:val="18"/>
          <w:szCs w:val="18"/>
        </w:rPr>
        <w:t>circa</w:t>
      </w:r>
      <w:proofErr w:type="gramEnd"/>
      <w:r w:rsidRPr="0095230E">
        <w:rPr>
          <w:rFonts w:cstheme="minorBidi"/>
          <w:color w:val="auto"/>
          <w:sz w:val="18"/>
          <w:szCs w:val="18"/>
        </w:rPr>
        <w:t xml:space="preserve"> 3,4 miljard euro, waarvan 2,1 miljard euro voor de hoofdsom en 1,3 miljard euro voor de rentelasten. De rentecomponent van de garantieverplichting wordt voorlopig geraamd op basis van de maximale uitstaande Unieschuld die als gevolg van het voorstel kan ontstaan (35 miljard). Daarbij wordt verondersteld dat in de loop van de tijd een maximale couponrente van 4% van toepassing zal zijn op die uitstaande Unieschuld en wordt aangenomen dat de maximale gemiddeld gewogen looptijd van de uitstaande schuld 15 jaar zal zijn. Op termijn kan deze raming worden geëvalueerd op basis van de uiteindelijke financieringsstrategie van de Unie. </w:t>
      </w:r>
    </w:p>
    <w:p w:rsidRPr="0095230E" w:rsidR="00D76D05" w:rsidP="00E97935" w:rsidRDefault="00D76D05" w14:paraId="33B435CC" w14:textId="77777777">
      <w:pPr>
        <w:pStyle w:val="Default"/>
        <w:spacing w:line="276" w:lineRule="auto"/>
        <w:rPr>
          <w:rFonts w:cstheme="minorBidi"/>
          <w:color w:val="auto"/>
          <w:sz w:val="18"/>
          <w:szCs w:val="18"/>
        </w:rPr>
      </w:pPr>
    </w:p>
    <w:p w:rsidRPr="0095230E" w:rsidR="00D76D05" w:rsidP="00E97935" w:rsidRDefault="00D76D05" w14:paraId="161F4A00" w14:textId="6B811802">
      <w:pPr>
        <w:pStyle w:val="Default"/>
        <w:spacing w:line="276" w:lineRule="auto"/>
        <w:rPr>
          <w:sz w:val="18"/>
          <w:szCs w:val="18"/>
        </w:rPr>
      </w:pPr>
      <w:r w:rsidRPr="0095230E">
        <w:rPr>
          <w:rFonts w:cstheme="minorBidi"/>
          <w:color w:val="auto"/>
          <w:sz w:val="18"/>
          <w:szCs w:val="18"/>
        </w:rPr>
        <w:t>Dit is de raming voor het</w:t>
      </w:r>
      <w:r w:rsidRPr="0095230E">
        <w:rPr>
          <w:sz w:val="18"/>
          <w:szCs w:val="18"/>
        </w:rPr>
        <w:t xml:space="preserve"> maximale risico over de gehele periode waarin leningen uitstaan (dus maximaal 45 jaar) en </w:t>
      </w:r>
      <w:proofErr w:type="gramStart"/>
      <w:r w:rsidRPr="0095230E">
        <w:rPr>
          <w:sz w:val="18"/>
          <w:szCs w:val="18"/>
        </w:rPr>
        <w:t>tevens</w:t>
      </w:r>
      <w:proofErr w:type="gramEnd"/>
      <w:r w:rsidRPr="0095230E">
        <w:rPr>
          <w:sz w:val="18"/>
          <w:szCs w:val="18"/>
        </w:rPr>
        <w:t xml:space="preserve"> het totaalplafond. Bij wijzigingen in het </w:t>
      </w:r>
      <w:proofErr w:type="spellStart"/>
      <w:r w:rsidRPr="0095230E">
        <w:rPr>
          <w:sz w:val="18"/>
          <w:szCs w:val="18"/>
        </w:rPr>
        <w:t>bni</w:t>
      </w:r>
      <w:proofErr w:type="spellEnd"/>
      <w:r w:rsidRPr="0095230E">
        <w:rPr>
          <w:sz w:val="18"/>
          <w:szCs w:val="18"/>
        </w:rPr>
        <w:t xml:space="preserve">-aandeel, niet volledige benutting van het maximale bedrag van 35 miljard euro en wijzigingen in de inschatting van de rentecomponent kunnen in de toekomst de raming van de garantie wijzigen. Dit wordt dan steeds bij het eerstvolgende regulier begrotingsmoment verwerkt. </w:t>
      </w:r>
    </w:p>
    <w:p w:rsidRPr="0095230E" w:rsidR="006F0E4D" w:rsidP="00E97935" w:rsidRDefault="006F0E4D" w14:paraId="40265226" w14:textId="77777777">
      <w:pPr>
        <w:pStyle w:val="Default"/>
        <w:spacing w:line="276" w:lineRule="auto"/>
        <w:rPr>
          <w:sz w:val="18"/>
          <w:szCs w:val="18"/>
        </w:rPr>
      </w:pPr>
    </w:p>
    <w:p w:rsidRPr="0095230E" w:rsidR="00DA65DA" w:rsidP="00E97935" w:rsidRDefault="00DA65DA" w14:paraId="3BFB1932" w14:textId="77777777">
      <w:pPr>
        <w:pStyle w:val="Lijstalinea"/>
        <w:numPr>
          <w:ilvl w:val="0"/>
          <w:numId w:val="3"/>
        </w:numPr>
        <w:spacing w:line="276" w:lineRule="auto"/>
        <w:rPr>
          <w:b/>
          <w:bCs/>
          <w:szCs w:val="18"/>
          <w:lang w:val="nl-NL"/>
        </w:rPr>
      </w:pPr>
      <w:r w:rsidRPr="0095230E">
        <w:rPr>
          <w:b/>
          <w:bCs/>
          <w:szCs w:val="18"/>
          <w:lang w:val="nl-NL"/>
        </w:rPr>
        <w:t xml:space="preserve">Hoe staan risico en rendement van de regeling tot elkaar in verhouding? </w:t>
      </w:r>
    </w:p>
    <w:p w:rsidRPr="0095230E" w:rsidR="001A3924" w:rsidP="00E97935" w:rsidRDefault="00F17304" w14:paraId="156945A9" w14:textId="1C82B78B">
      <w:pPr>
        <w:spacing w:line="276" w:lineRule="auto"/>
        <w:rPr>
          <w:bCs/>
          <w:szCs w:val="18"/>
          <w:lang w:val="nl-NL"/>
        </w:rPr>
      </w:pPr>
      <w:bookmarkStart w:name="_Hlk120190308" w:id="4"/>
      <w:r w:rsidRPr="0095230E">
        <w:rPr>
          <w:bCs/>
          <w:szCs w:val="18"/>
          <w:lang w:val="nl-NL"/>
        </w:rPr>
        <w:t>Er is geen r</w:t>
      </w:r>
      <w:r w:rsidRPr="0095230E" w:rsidR="00672B0B">
        <w:rPr>
          <w:bCs/>
          <w:szCs w:val="18"/>
          <w:lang w:val="nl-NL"/>
        </w:rPr>
        <w:t>endement voor de EU en de lidstaten op de MFB</w:t>
      </w:r>
      <w:r w:rsidRPr="0095230E" w:rsidR="00A80D72">
        <w:rPr>
          <w:bCs/>
          <w:szCs w:val="18"/>
          <w:lang w:val="nl-NL"/>
        </w:rPr>
        <w:t xml:space="preserve">-leningen. </w:t>
      </w:r>
      <w:bookmarkEnd w:id="4"/>
      <w:r w:rsidRPr="0095230E" w:rsidR="00A80D72">
        <w:rPr>
          <w:szCs w:val="18"/>
          <w:lang w:val="nl-NL"/>
        </w:rPr>
        <w:t>Het ontbreken van rendement vindt</w:t>
      </w:r>
      <w:r w:rsidRPr="0095230E" w:rsidR="001A3924">
        <w:rPr>
          <w:szCs w:val="18"/>
          <w:lang w:val="nl-NL"/>
        </w:rPr>
        <w:t xml:space="preserve"> </w:t>
      </w:r>
      <w:r w:rsidRPr="0095230E" w:rsidR="00131559">
        <w:rPr>
          <w:szCs w:val="18"/>
          <w:lang w:val="nl-NL"/>
        </w:rPr>
        <w:t xml:space="preserve">het </w:t>
      </w:r>
      <w:r w:rsidRPr="0095230E" w:rsidR="001A3924">
        <w:rPr>
          <w:szCs w:val="18"/>
          <w:lang w:val="nl-NL"/>
        </w:rPr>
        <w:t xml:space="preserve">kabinet acceptabel vanuit het oogpunt van solidariteit en het Nederlandse belang bij herstellen van de macro-financiële situatie in de directe omgeving van de EU. </w:t>
      </w:r>
    </w:p>
    <w:p w:rsidRPr="0095230E" w:rsidR="00DA65DA" w:rsidP="00E97935" w:rsidRDefault="00DA65DA" w14:paraId="55C07948" w14:textId="77777777">
      <w:pPr>
        <w:pStyle w:val="Lijstalinea"/>
        <w:numPr>
          <w:ilvl w:val="0"/>
          <w:numId w:val="3"/>
        </w:numPr>
        <w:spacing w:line="276" w:lineRule="auto"/>
        <w:rPr>
          <w:b/>
          <w:bCs/>
          <w:szCs w:val="18"/>
          <w:lang w:val="nl-NL"/>
        </w:rPr>
      </w:pPr>
      <w:r w:rsidRPr="0095230E">
        <w:rPr>
          <w:b/>
          <w:bCs/>
          <w:szCs w:val="18"/>
          <w:lang w:val="nl-NL"/>
        </w:rPr>
        <w:t xml:space="preserve">Wat is de inschatting van het risico voor het Rijk in termen van waarschijnlijkheid, impact, blootstellingduur en </w:t>
      </w:r>
      <w:proofErr w:type="spellStart"/>
      <w:r w:rsidRPr="0095230E">
        <w:rPr>
          <w:b/>
          <w:bCs/>
          <w:szCs w:val="18"/>
          <w:lang w:val="nl-NL"/>
        </w:rPr>
        <w:t>beheersingsmate</w:t>
      </w:r>
      <w:proofErr w:type="spellEnd"/>
      <w:r w:rsidRPr="0095230E">
        <w:rPr>
          <w:b/>
          <w:bCs/>
          <w:szCs w:val="18"/>
          <w:lang w:val="nl-NL"/>
        </w:rPr>
        <w:t xml:space="preserve">? </w:t>
      </w:r>
    </w:p>
    <w:p w:rsidRPr="0095230E" w:rsidR="000A208E" w:rsidP="00E97935" w:rsidRDefault="00F17304" w14:paraId="4FEADBB7" w14:textId="5BBCBED2">
      <w:pPr>
        <w:spacing w:line="276" w:lineRule="auto"/>
        <w:rPr>
          <w:rFonts w:eastAsia="Verdana" w:cs="Times New Roman"/>
          <w:szCs w:val="18"/>
          <w:lang w:val="nl-NL"/>
        </w:rPr>
      </w:pPr>
      <w:r w:rsidRPr="0095230E">
        <w:rPr>
          <w:rFonts w:eastAsia="Verdana" w:cs="Times New Roman"/>
          <w:szCs w:val="18"/>
          <w:lang w:val="nl-NL"/>
        </w:rPr>
        <w:t xml:space="preserve">Vanwege de huidige oorlogssituatie in Oekraïne en de onduidelijkheid over het verloop van </w:t>
      </w:r>
      <w:r w:rsidR="00D1284D">
        <w:rPr>
          <w:rFonts w:eastAsia="Verdana" w:cs="Times New Roman"/>
          <w:szCs w:val="18"/>
          <w:lang w:val="nl-NL"/>
        </w:rPr>
        <w:t>de oorlog</w:t>
      </w:r>
      <w:r w:rsidRPr="0095230E">
        <w:rPr>
          <w:rFonts w:eastAsia="Verdana" w:cs="Times New Roman"/>
          <w:szCs w:val="18"/>
          <w:lang w:val="nl-NL"/>
        </w:rPr>
        <w:t xml:space="preserve">, is er een risico dat de lening </w:t>
      </w:r>
      <w:r w:rsidRPr="0095230E" w:rsidR="000A208E">
        <w:rPr>
          <w:rFonts w:eastAsia="Verdana" w:cs="Times New Roman"/>
          <w:szCs w:val="18"/>
          <w:lang w:val="nl-NL"/>
        </w:rPr>
        <w:t xml:space="preserve">(hoofdsom, rente en andere gerelateerde kosten aan de leningen) </w:t>
      </w:r>
      <w:r w:rsidRPr="0095230E">
        <w:rPr>
          <w:rFonts w:eastAsia="Verdana" w:cs="Times New Roman"/>
          <w:szCs w:val="18"/>
          <w:lang w:val="nl-NL"/>
        </w:rPr>
        <w:t>gedeeltelijk (of niet) terugbetaald wordt.</w:t>
      </w:r>
      <w:r w:rsidRPr="0095230E" w:rsidR="00964889">
        <w:rPr>
          <w:rFonts w:eastAsia="Verdana" w:cs="Times New Roman"/>
          <w:szCs w:val="18"/>
          <w:lang w:val="nl-NL"/>
        </w:rPr>
        <w:t xml:space="preserve"> </w:t>
      </w:r>
      <w:r w:rsidRPr="0095230E" w:rsidR="00180F89">
        <w:rPr>
          <w:rFonts w:eastAsia="Verdana" w:cs="Times New Roman"/>
          <w:szCs w:val="18"/>
          <w:lang w:val="nl-NL"/>
        </w:rPr>
        <w:t xml:space="preserve">Wel zorgt het </w:t>
      </w:r>
      <w:r w:rsidRPr="0095230E" w:rsidR="00180F89">
        <w:rPr>
          <w:rFonts w:eastAsia="Verdana" w:cs="Times New Roman"/>
          <w:i/>
          <w:iCs/>
          <w:szCs w:val="18"/>
          <w:lang w:val="nl-NL"/>
        </w:rPr>
        <w:t xml:space="preserve">Ukraine </w:t>
      </w:r>
      <w:proofErr w:type="spellStart"/>
      <w:r w:rsidRPr="0095230E" w:rsidR="00180F89">
        <w:rPr>
          <w:rFonts w:eastAsia="Verdana" w:cs="Times New Roman"/>
          <w:i/>
          <w:iCs/>
          <w:szCs w:val="18"/>
          <w:lang w:val="nl-NL"/>
        </w:rPr>
        <w:t>Loan</w:t>
      </w:r>
      <w:proofErr w:type="spellEnd"/>
      <w:r w:rsidRPr="0095230E" w:rsidR="00180F89">
        <w:rPr>
          <w:rFonts w:eastAsia="Verdana" w:cs="Times New Roman"/>
          <w:i/>
          <w:iCs/>
          <w:szCs w:val="18"/>
          <w:lang w:val="nl-NL"/>
        </w:rPr>
        <w:t xml:space="preserve"> Cooperation </w:t>
      </w:r>
      <w:proofErr w:type="spellStart"/>
      <w:r w:rsidRPr="0095230E" w:rsidR="00180F89">
        <w:rPr>
          <w:rFonts w:eastAsia="Verdana" w:cs="Times New Roman"/>
          <w:i/>
          <w:iCs/>
          <w:szCs w:val="18"/>
          <w:lang w:val="nl-NL"/>
        </w:rPr>
        <w:t>Mechanism</w:t>
      </w:r>
      <w:proofErr w:type="spellEnd"/>
      <w:r w:rsidRPr="0095230E" w:rsidR="00180F89">
        <w:rPr>
          <w:rFonts w:eastAsia="Verdana" w:cs="Times New Roman"/>
          <w:i/>
          <w:iCs/>
          <w:szCs w:val="18"/>
          <w:lang w:val="nl-NL"/>
        </w:rPr>
        <w:t xml:space="preserve"> </w:t>
      </w:r>
      <w:r w:rsidRPr="0095230E" w:rsidR="00180F89">
        <w:rPr>
          <w:rFonts w:eastAsia="Verdana" w:cs="Times New Roman"/>
          <w:szCs w:val="18"/>
          <w:lang w:val="nl-NL"/>
        </w:rPr>
        <w:t xml:space="preserve">(ULCM) – zie volgende alinea – voor een beperking van dit risico. </w:t>
      </w:r>
      <w:r w:rsidRPr="0095230E" w:rsidR="00964889">
        <w:rPr>
          <w:rFonts w:eastAsia="Verdana" w:cs="Times New Roman"/>
          <w:szCs w:val="18"/>
          <w:lang w:val="nl-NL"/>
        </w:rPr>
        <w:t>Het is belangrijk om de betreffende MFB integraal te blijven bezien met eerdere MFB aan Oekraïne</w:t>
      </w:r>
      <w:r w:rsidRPr="0095230E" w:rsidR="005B104F">
        <w:rPr>
          <w:rFonts w:eastAsia="Verdana" w:cs="Times New Roman"/>
          <w:szCs w:val="18"/>
          <w:lang w:val="nl-NL"/>
        </w:rPr>
        <w:t xml:space="preserve"> en de Oekraïne-</w:t>
      </w:r>
      <w:r w:rsidRPr="0095230E" w:rsidR="005B104F">
        <w:rPr>
          <w:rFonts w:eastAsia="Verdana" w:cs="Times New Roman"/>
          <w:szCs w:val="18"/>
          <w:lang w:val="nl-NL"/>
        </w:rPr>
        <w:lastRenderedPageBreak/>
        <w:t>faciliteit</w:t>
      </w:r>
      <w:r w:rsidRPr="0095230E" w:rsidR="00964889">
        <w:rPr>
          <w:rFonts w:eastAsia="Verdana" w:cs="Times New Roman"/>
          <w:szCs w:val="18"/>
          <w:lang w:val="nl-NL"/>
        </w:rPr>
        <w:t xml:space="preserve">. Schade op een van de uitstaande leningen kan gevolgen hebben op de overige uitstaande leningen. </w:t>
      </w:r>
      <w:r w:rsidRPr="0095230E" w:rsidR="006965F3">
        <w:rPr>
          <w:rFonts w:eastAsia="Verdana" w:cs="Times New Roman"/>
          <w:szCs w:val="18"/>
          <w:lang w:val="nl-NL"/>
        </w:rPr>
        <w:t>Tegelijkertijd is het doel van MFB om de macro-economische stabiliteit in Oekraïne te bewaken hetgeen eraan bijdraagt dat Oekraïne op langere termijn in staat is om de leningen ook terug te betalen.</w:t>
      </w:r>
      <w:r w:rsidRPr="0095230E" w:rsidR="00964889">
        <w:rPr>
          <w:rFonts w:eastAsia="Verdana" w:cs="Times New Roman"/>
          <w:szCs w:val="18"/>
          <w:lang w:val="nl-NL"/>
        </w:rPr>
        <w:t xml:space="preserve"> </w:t>
      </w:r>
    </w:p>
    <w:p w:rsidRPr="0095230E" w:rsidR="00A80D72" w:rsidP="00E97935" w:rsidRDefault="000A208E" w14:paraId="75AF1E48" w14:textId="2F094ABF">
      <w:pPr>
        <w:spacing w:line="276" w:lineRule="auto"/>
        <w:rPr>
          <w:rFonts w:eastAsia="Verdana" w:cs="Times New Roman"/>
          <w:szCs w:val="18"/>
          <w:lang w:val="nl-NL"/>
        </w:rPr>
      </w:pPr>
      <w:r w:rsidRPr="0095230E">
        <w:rPr>
          <w:szCs w:val="18"/>
          <w:lang w:val="nl-NL"/>
        </w:rPr>
        <w:t xml:space="preserve">Gekoppeld aan deze MFB </w:t>
      </w:r>
      <w:r w:rsidRPr="0095230E" w:rsidR="00A957EA">
        <w:rPr>
          <w:szCs w:val="18"/>
          <w:lang w:val="nl-NL"/>
        </w:rPr>
        <w:t>stelt de Commissie ook het</w:t>
      </w:r>
      <w:r w:rsidRPr="0095230E" w:rsidR="00A957EA">
        <w:rPr>
          <w:rFonts w:cs="Segoe UI"/>
          <w:color w:val="000000"/>
          <w:szCs w:val="18"/>
          <w:lang w:val="nl-NL"/>
        </w:rPr>
        <w:t xml:space="preserve"> </w:t>
      </w:r>
      <w:r w:rsidRPr="0095230E" w:rsidR="00A957EA">
        <w:rPr>
          <w:i/>
          <w:iCs/>
          <w:szCs w:val="18"/>
          <w:lang w:val="nl-NL"/>
        </w:rPr>
        <w:t xml:space="preserve">Ukraine </w:t>
      </w:r>
      <w:proofErr w:type="spellStart"/>
      <w:r w:rsidRPr="0095230E" w:rsidR="00A957EA">
        <w:rPr>
          <w:i/>
          <w:iCs/>
          <w:szCs w:val="18"/>
          <w:lang w:val="nl-NL"/>
        </w:rPr>
        <w:t>Loan</w:t>
      </w:r>
      <w:proofErr w:type="spellEnd"/>
      <w:r w:rsidRPr="0095230E" w:rsidR="00A957EA">
        <w:rPr>
          <w:i/>
          <w:iCs/>
          <w:szCs w:val="18"/>
          <w:lang w:val="nl-NL"/>
        </w:rPr>
        <w:t xml:space="preserve"> Cooperation </w:t>
      </w:r>
      <w:proofErr w:type="spellStart"/>
      <w:r w:rsidRPr="0095230E" w:rsidR="00A957EA">
        <w:rPr>
          <w:i/>
          <w:iCs/>
          <w:szCs w:val="18"/>
          <w:lang w:val="nl-NL"/>
        </w:rPr>
        <w:t>Mechanism</w:t>
      </w:r>
      <w:proofErr w:type="spellEnd"/>
      <w:r w:rsidRPr="0095230E" w:rsidR="00A957EA">
        <w:rPr>
          <w:szCs w:val="18"/>
          <w:lang w:val="nl-NL"/>
        </w:rPr>
        <w:t xml:space="preserve"> (ULCM) </w:t>
      </w:r>
      <w:r w:rsidRPr="0095230E" w:rsidR="00313EF2">
        <w:rPr>
          <w:szCs w:val="18"/>
          <w:lang w:val="nl-NL"/>
        </w:rPr>
        <w:t>voor</w:t>
      </w:r>
      <w:r w:rsidRPr="0095230E" w:rsidR="00A957EA">
        <w:rPr>
          <w:szCs w:val="18"/>
          <w:lang w:val="nl-NL"/>
        </w:rPr>
        <w:t xml:space="preserve">. </w:t>
      </w:r>
      <w:r w:rsidRPr="0095230E" w:rsidR="009C6A1C">
        <w:rPr>
          <w:szCs w:val="18"/>
          <w:lang w:val="nl-NL"/>
        </w:rPr>
        <w:t xml:space="preserve">Hiermee kan de Unie de niet-terugbetaalbare steun aan Oekraïne op een voorspelbare en tijdige manier faciliteren en wordt Oekraïne in staat gesteld om de ERA-leningen te financieren met de buitengewone inkomsten, waardoor de gevolgen van de ERA-leningen voor de toekomstige financieringsbehoeften van Oekraïne beperkt worden. Ook </w:t>
      </w:r>
      <w:r w:rsidRPr="0095230E" w:rsidR="00A957EA">
        <w:rPr>
          <w:szCs w:val="18"/>
          <w:lang w:val="nl-NL"/>
        </w:rPr>
        <w:t xml:space="preserve">zorgt </w:t>
      </w:r>
      <w:r w:rsidRPr="0095230E" w:rsidR="009C6A1C">
        <w:rPr>
          <w:szCs w:val="18"/>
          <w:lang w:val="nl-NL"/>
        </w:rPr>
        <w:t xml:space="preserve">dit mechanisme </w:t>
      </w:r>
      <w:r w:rsidRPr="0095230E" w:rsidR="00A957EA">
        <w:rPr>
          <w:szCs w:val="18"/>
          <w:lang w:val="nl-NL"/>
        </w:rPr>
        <w:t xml:space="preserve">voor aanvullende zekerheid voor de EU-lidstaten dat Oekraïne in staat zal zijn om de kosten terug te </w:t>
      </w:r>
      <w:proofErr w:type="gramStart"/>
      <w:r w:rsidRPr="0095230E" w:rsidR="009C6A1C">
        <w:rPr>
          <w:szCs w:val="18"/>
          <w:lang w:val="nl-NL"/>
        </w:rPr>
        <w:t xml:space="preserve">kunnen </w:t>
      </w:r>
      <w:r w:rsidRPr="0095230E" w:rsidR="00A957EA">
        <w:rPr>
          <w:szCs w:val="18"/>
          <w:lang w:val="nl-NL"/>
        </w:rPr>
        <w:t>betalen</w:t>
      </w:r>
      <w:proofErr w:type="gramEnd"/>
      <w:r w:rsidRPr="0095230E" w:rsidR="00A957EA">
        <w:rPr>
          <w:szCs w:val="18"/>
          <w:lang w:val="nl-NL"/>
        </w:rPr>
        <w:t xml:space="preserve">. Wanneer het ULCM onvoldoende middelen genereert blijft Oekraïne verantwoordelijk voor de </w:t>
      </w:r>
      <w:r w:rsidRPr="0095230E" w:rsidR="00DB0796">
        <w:rPr>
          <w:szCs w:val="18"/>
          <w:lang w:val="nl-NL"/>
        </w:rPr>
        <w:t xml:space="preserve">rente en </w:t>
      </w:r>
      <w:r w:rsidRPr="0095230E" w:rsidR="00A957EA">
        <w:rPr>
          <w:szCs w:val="18"/>
          <w:lang w:val="nl-NL"/>
        </w:rPr>
        <w:t>aflossing van de leningen.</w:t>
      </w:r>
      <w:r w:rsidRPr="0095230E" w:rsidR="005D68F7">
        <w:rPr>
          <w:szCs w:val="18"/>
          <w:lang w:val="nl-NL"/>
        </w:rPr>
        <w:t xml:space="preserve"> </w:t>
      </w:r>
      <w:r w:rsidRPr="0095230E" w:rsidR="00A80D72">
        <w:rPr>
          <w:rFonts w:eastAsia="Verdana" w:cs="Times New Roman"/>
          <w:szCs w:val="18"/>
          <w:lang w:val="nl-NL"/>
        </w:rPr>
        <w:t xml:space="preserve">In het geval van eventuele schade </w:t>
      </w:r>
      <w:r w:rsidRPr="0095230E" w:rsidR="00B266E6">
        <w:rPr>
          <w:rFonts w:eastAsia="Verdana" w:cs="Times New Roman"/>
          <w:szCs w:val="18"/>
          <w:lang w:val="nl-NL"/>
        </w:rPr>
        <w:t xml:space="preserve">haalt de Commissie, </w:t>
      </w:r>
      <w:proofErr w:type="gramStart"/>
      <w:r w:rsidRPr="0095230E" w:rsidR="00B266E6">
        <w:rPr>
          <w:rFonts w:eastAsia="Verdana" w:cs="Times New Roman"/>
          <w:szCs w:val="18"/>
          <w:lang w:val="nl-NL"/>
        </w:rPr>
        <w:t>conform</w:t>
      </w:r>
      <w:proofErr w:type="gramEnd"/>
      <w:r w:rsidRPr="0095230E" w:rsidR="00B266E6">
        <w:rPr>
          <w:rFonts w:eastAsia="Verdana" w:cs="Times New Roman"/>
          <w:szCs w:val="18"/>
          <w:lang w:val="nl-NL"/>
        </w:rPr>
        <w:t xml:space="preserve"> het Eigenmiddelbesluit, aanvullende middelen op bij de lidstaten. </w:t>
      </w:r>
      <w:r w:rsidRPr="0095230E" w:rsidR="004A3C61">
        <w:rPr>
          <w:szCs w:val="18"/>
          <w:lang w:val="nl-NL"/>
        </w:rPr>
        <w:t xml:space="preserve">Tussen de Commissie en Oekraïne wordt een leenovereenkomst gesloten waarin afspraken worden opgenomen over onder andere het terugbetalingsschema. </w:t>
      </w:r>
      <w:r w:rsidRPr="0095230E" w:rsidR="00B266E6">
        <w:rPr>
          <w:szCs w:val="18"/>
          <w:lang w:val="nl-NL"/>
        </w:rPr>
        <w:t xml:space="preserve">Op termijn zal bij terugbetalingen van de leningen door Oekraïne ook de omvang van de garantie afnemen. </w:t>
      </w:r>
    </w:p>
    <w:p w:rsidRPr="0095230E" w:rsidR="00B266E6" w:rsidP="00E97935" w:rsidRDefault="008B0894" w14:paraId="62E9263A" w14:textId="38CC5C2C">
      <w:pPr>
        <w:spacing w:line="276" w:lineRule="auto"/>
        <w:rPr>
          <w:szCs w:val="18"/>
          <w:lang w:val="nl-NL"/>
        </w:rPr>
      </w:pPr>
      <w:r w:rsidRPr="0095230E">
        <w:rPr>
          <w:szCs w:val="18"/>
          <w:lang w:val="nl-NL"/>
        </w:rPr>
        <w:t>Voor de MFB zal zoals gebruikelijk een memorandum van overeenstemming (</w:t>
      </w:r>
      <w:r w:rsidRPr="0095230E">
        <w:rPr>
          <w:i/>
          <w:iCs/>
          <w:szCs w:val="18"/>
          <w:lang w:val="nl-NL"/>
        </w:rPr>
        <w:t>Memorandum of Understanding</w:t>
      </w:r>
      <w:r w:rsidRPr="0095230E">
        <w:rPr>
          <w:szCs w:val="18"/>
          <w:lang w:val="nl-NL"/>
        </w:rPr>
        <w:t xml:space="preserve">; </w:t>
      </w:r>
      <w:proofErr w:type="spellStart"/>
      <w:r w:rsidRPr="0095230E">
        <w:rPr>
          <w:szCs w:val="18"/>
          <w:lang w:val="nl-NL"/>
        </w:rPr>
        <w:t>MoU</w:t>
      </w:r>
      <w:proofErr w:type="spellEnd"/>
      <w:r w:rsidRPr="0095230E">
        <w:rPr>
          <w:szCs w:val="18"/>
          <w:lang w:val="nl-NL"/>
        </w:rPr>
        <w:t xml:space="preserve">) worden opgesteld tussen de Commissie en Oekraïne. De beleidsvoorwaarden in het </w:t>
      </w:r>
      <w:proofErr w:type="spellStart"/>
      <w:r w:rsidRPr="0095230E">
        <w:rPr>
          <w:szCs w:val="18"/>
          <w:lang w:val="nl-NL"/>
        </w:rPr>
        <w:t>MoU</w:t>
      </w:r>
      <w:proofErr w:type="spellEnd"/>
      <w:r w:rsidRPr="0095230E">
        <w:rPr>
          <w:szCs w:val="18"/>
          <w:lang w:val="nl-NL"/>
        </w:rPr>
        <w:t xml:space="preserve"> moeten consistent zijn met de kwalitatieve en kwantitatieve stappen die zijn opgenomen </w:t>
      </w:r>
      <w:proofErr w:type="gramStart"/>
      <w:r w:rsidRPr="0095230E">
        <w:rPr>
          <w:szCs w:val="18"/>
          <w:lang w:val="nl-NL"/>
        </w:rPr>
        <w:t>betreffende</w:t>
      </w:r>
      <w:proofErr w:type="gramEnd"/>
      <w:r w:rsidRPr="0095230E">
        <w:rPr>
          <w:szCs w:val="18"/>
          <w:lang w:val="nl-NL"/>
        </w:rPr>
        <w:t xml:space="preserve"> de goedkeuring van de beoordeling van het Oekraïneplan </w:t>
      </w:r>
      <w:r w:rsidRPr="0095230E" w:rsidR="005D68F7">
        <w:rPr>
          <w:szCs w:val="18"/>
          <w:lang w:val="nl-NL"/>
        </w:rPr>
        <w:t xml:space="preserve">(waarin de ambitieuze hervormingsagenda van Oekraïne is opgenomen) </w:t>
      </w:r>
      <w:r w:rsidRPr="0095230E">
        <w:rPr>
          <w:szCs w:val="18"/>
          <w:lang w:val="nl-NL"/>
        </w:rPr>
        <w:t>en eventuele wijzigingen daarvan</w:t>
      </w:r>
      <w:r w:rsidRPr="0095230E" w:rsidR="00B23BCD">
        <w:rPr>
          <w:szCs w:val="18"/>
          <w:lang w:val="nl-NL"/>
        </w:rPr>
        <w:t xml:space="preserve">, </w:t>
      </w:r>
      <w:bookmarkStart w:name="_Hlk178172881" w:id="5"/>
      <w:r w:rsidRPr="0095230E" w:rsidR="00B23BCD">
        <w:rPr>
          <w:szCs w:val="18"/>
          <w:lang w:val="nl-NL"/>
        </w:rPr>
        <w:t xml:space="preserve">met dien verstande dat de beoordeling van de stappen van het Oekraïneplan gedaan wordt door de Raad, en de toetsing van de voorwaarden uit de </w:t>
      </w:r>
      <w:proofErr w:type="spellStart"/>
      <w:r w:rsidRPr="0095230E" w:rsidR="00B23BCD">
        <w:rPr>
          <w:szCs w:val="18"/>
          <w:lang w:val="nl-NL"/>
        </w:rPr>
        <w:t>MoU</w:t>
      </w:r>
      <w:proofErr w:type="spellEnd"/>
      <w:r w:rsidRPr="0095230E" w:rsidR="00B23BCD">
        <w:rPr>
          <w:szCs w:val="18"/>
          <w:lang w:val="nl-NL"/>
        </w:rPr>
        <w:t xml:space="preserve"> door de Commissie</w:t>
      </w:r>
      <w:bookmarkEnd w:id="5"/>
      <w:r w:rsidRPr="0095230E" w:rsidR="00B23BCD">
        <w:rPr>
          <w:szCs w:val="18"/>
          <w:lang w:val="nl-NL"/>
        </w:rPr>
        <w:t>.</w:t>
      </w:r>
      <w:r w:rsidRPr="0095230E">
        <w:rPr>
          <w:szCs w:val="18"/>
          <w:lang w:val="nl-NL"/>
        </w:rPr>
        <w:t xml:space="preserve"> De beleidsvoorwaarden in het </w:t>
      </w:r>
      <w:proofErr w:type="spellStart"/>
      <w:r w:rsidRPr="0095230E">
        <w:rPr>
          <w:szCs w:val="18"/>
          <w:lang w:val="nl-NL"/>
        </w:rPr>
        <w:t>MoU</w:t>
      </w:r>
      <w:proofErr w:type="spellEnd"/>
      <w:r w:rsidRPr="0095230E">
        <w:rPr>
          <w:szCs w:val="18"/>
          <w:lang w:val="nl-NL"/>
        </w:rPr>
        <w:t xml:space="preserve"> moeten bovendien een verbintenis omvatten om de samenwerking met de Unie te bevorderen op het gebied van herstel, wederopbouw en modernisering van het Oekraïense defensie-industrie. Deze moeten in overeenstemming zijn met de doelstellingen van het Europees Defensie-instrumentprogramma (EDIP) en andere relevante programma’s van de Unie.</w:t>
      </w:r>
      <w:r w:rsidRPr="0095230E" w:rsidR="00BE72B3">
        <w:rPr>
          <w:szCs w:val="18"/>
          <w:lang w:val="nl-NL"/>
        </w:rPr>
        <w:t xml:space="preserve"> </w:t>
      </w:r>
      <w:r w:rsidRPr="0095230E" w:rsidR="00B266E6">
        <w:rPr>
          <w:szCs w:val="18"/>
          <w:lang w:val="nl-NL"/>
        </w:rPr>
        <w:t xml:space="preserve">De Commissie zal op reguliere basis aan de Raad en het EP rapporteren over de voorwaarden uit de </w:t>
      </w:r>
      <w:proofErr w:type="spellStart"/>
      <w:r w:rsidRPr="0095230E" w:rsidR="00B266E6">
        <w:rPr>
          <w:szCs w:val="18"/>
          <w:lang w:val="nl-NL"/>
        </w:rPr>
        <w:t>MoU</w:t>
      </w:r>
      <w:proofErr w:type="spellEnd"/>
      <w:r w:rsidRPr="0095230E" w:rsidR="00B266E6">
        <w:rPr>
          <w:szCs w:val="18"/>
          <w:lang w:val="nl-NL"/>
        </w:rPr>
        <w:t xml:space="preserve"> en kan een </w:t>
      </w:r>
      <w:proofErr w:type="spellStart"/>
      <w:r w:rsidRPr="0095230E" w:rsidR="00B266E6">
        <w:rPr>
          <w:szCs w:val="18"/>
          <w:lang w:val="nl-NL"/>
        </w:rPr>
        <w:t>mid</w:t>
      </w:r>
      <w:proofErr w:type="spellEnd"/>
      <w:r w:rsidRPr="0095230E" w:rsidR="00B266E6">
        <w:rPr>
          <w:szCs w:val="18"/>
          <w:lang w:val="nl-NL"/>
        </w:rPr>
        <w:t xml:space="preserve">-term review van de </w:t>
      </w:r>
      <w:proofErr w:type="spellStart"/>
      <w:r w:rsidRPr="0095230E" w:rsidR="00B266E6">
        <w:rPr>
          <w:szCs w:val="18"/>
          <w:lang w:val="nl-NL"/>
        </w:rPr>
        <w:t>MoU</w:t>
      </w:r>
      <w:proofErr w:type="spellEnd"/>
      <w:r w:rsidRPr="0095230E" w:rsidR="00B266E6">
        <w:rPr>
          <w:szCs w:val="18"/>
          <w:lang w:val="nl-NL"/>
        </w:rPr>
        <w:t xml:space="preserve"> uitvoeren.</w:t>
      </w:r>
      <w:r w:rsidRPr="0095230E">
        <w:rPr>
          <w:szCs w:val="18"/>
          <w:lang w:val="nl-NL"/>
        </w:rPr>
        <w:t xml:space="preserve"> Oekraïne kan een verzoek t</w:t>
      </w:r>
      <w:r w:rsidRPr="0095230E" w:rsidR="00106F4A">
        <w:rPr>
          <w:szCs w:val="18"/>
          <w:lang w:val="nl-NL"/>
        </w:rPr>
        <w:t>ot</w:t>
      </w:r>
      <w:r w:rsidRPr="0095230E">
        <w:rPr>
          <w:szCs w:val="18"/>
          <w:lang w:val="nl-NL"/>
        </w:rPr>
        <w:t xml:space="preserve"> uitgave van de middelen indienen, waarna de Commissie beslist over de vrijgave van de tranche op basis van of Oekraïne voldoet aan de gestelde randvoorwaarden en de in het </w:t>
      </w:r>
      <w:proofErr w:type="spellStart"/>
      <w:r w:rsidRPr="0095230E">
        <w:rPr>
          <w:szCs w:val="18"/>
          <w:lang w:val="nl-NL"/>
        </w:rPr>
        <w:t>MoU</w:t>
      </w:r>
      <w:proofErr w:type="spellEnd"/>
      <w:r w:rsidRPr="0095230E">
        <w:rPr>
          <w:szCs w:val="18"/>
          <w:lang w:val="nl-NL"/>
        </w:rPr>
        <w:t xml:space="preserve"> vermelde beleidsvoorwaarden. </w:t>
      </w:r>
    </w:p>
    <w:p w:rsidRPr="0095230E" w:rsidR="00DA65DA" w:rsidP="00E97935" w:rsidRDefault="00DA65DA" w14:paraId="055C2904" w14:textId="77777777">
      <w:pPr>
        <w:pStyle w:val="Lijstalinea"/>
        <w:numPr>
          <w:ilvl w:val="0"/>
          <w:numId w:val="2"/>
        </w:numPr>
        <w:spacing w:line="276" w:lineRule="auto"/>
        <w:rPr>
          <w:b/>
          <w:bCs/>
          <w:szCs w:val="18"/>
          <w:lang w:val="nl-NL"/>
        </w:rPr>
      </w:pPr>
      <w:r w:rsidRPr="0095230E">
        <w:rPr>
          <w:b/>
          <w:bCs/>
          <w:szCs w:val="18"/>
          <w:lang w:val="nl-NL"/>
        </w:rPr>
        <w:t xml:space="preserve">Welke risico beheersende en risico mitigerende maatregelen worden getroffen om het risico voor het Rijk te minimaliseren? Heeft de budgettair verantwoordelijke minister voldoende mogelijkheden tot beheersing van de risico’s, ook als de regeling op afstand van het Rijk wordt uitgevoerd? </w:t>
      </w:r>
    </w:p>
    <w:p w:rsidRPr="0095230E" w:rsidR="00AB7FEA" w:rsidP="00E97935" w:rsidRDefault="003C6293" w14:paraId="5C3298C1" w14:textId="4E5E8D52">
      <w:pPr>
        <w:autoSpaceDE w:val="0"/>
        <w:autoSpaceDN w:val="0"/>
        <w:adjustRightInd w:val="0"/>
        <w:spacing w:after="13" w:line="276" w:lineRule="auto"/>
        <w:rPr>
          <w:rFonts w:cs="Times New Roman"/>
          <w:szCs w:val="18"/>
          <w:lang w:val="nl-NL"/>
        </w:rPr>
      </w:pPr>
      <w:r w:rsidRPr="0095230E">
        <w:rPr>
          <w:rFonts w:cs="Times New Roman"/>
          <w:szCs w:val="18"/>
          <w:lang w:val="nl-NL"/>
        </w:rPr>
        <w:t xml:space="preserve">De MFB kent een aantal </w:t>
      </w:r>
      <w:proofErr w:type="spellStart"/>
      <w:r w:rsidRPr="0095230E">
        <w:rPr>
          <w:rFonts w:cs="Times New Roman"/>
          <w:szCs w:val="18"/>
          <w:lang w:val="nl-NL"/>
        </w:rPr>
        <w:t>risicobeheersende</w:t>
      </w:r>
      <w:proofErr w:type="spellEnd"/>
      <w:r w:rsidRPr="0095230E">
        <w:rPr>
          <w:rFonts w:cs="Times New Roman"/>
          <w:szCs w:val="18"/>
          <w:lang w:val="nl-NL"/>
        </w:rPr>
        <w:t xml:space="preserve"> en </w:t>
      </w:r>
      <w:proofErr w:type="spellStart"/>
      <w:r w:rsidRPr="0095230E">
        <w:rPr>
          <w:rFonts w:cs="Times New Roman"/>
          <w:szCs w:val="18"/>
          <w:lang w:val="nl-NL"/>
        </w:rPr>
        <w:t>risicomitigerende</w:t>
      </w:r>
      <w:proofErr w:type="spellEnd"/>
      <w:r w:rsidRPr="0095230E">
        <w:rPr>
          <w:rFonts w:cs="Times New Roman"/>
          <w:szCs w:val="18"/>
          <w:lang w:val="nl-NL"/>
        </w:rPr>
        <w:t xml:space="preserve"> maatregelen zoals uiteengezet bij vraag 5.</w:t>
      </w:r>
    </w:p>
    <w:p w:rsidRPr="0095230E" w:rsidR="00663DC4" w:rsidP="00E97935" w:rsidRDefault="00663DC4" w14:paraId="1C605AC2" w14:textId="77777777">
      <w:pPr>
        <w:autoSpaceDE w:val="0"/>
        <w:autoSpaceDN w:val="0"/>
        <w:adjustRightInd w:val="0"/>
        <w:spacing w:after="13" w:line="276" w:lineRule="auto"/>
        <w:rPr>
          <w:rFonts w:cs="Times New Roman"/>
          <w:szCs w:val="18"/>
          <w:lang w:val="nl-NL"/>
        </w:rPr>
      </w:pPr>
    </w:p>
    <w:p w:rsidRPr="0095230E" w:rsidR="005464D1" w:rsidP="00E97935" w:rsidRDefault="005464D1" w14:paraId="47232EC9" w14:textId="335C3ECA">
      <w:pPr>
        <w:autoSpaceDE w:val="0"/>
        <w:autoSpaceDN w:val="0"/>
        <w:adjustRightInd w:val="0"/>
        <w:spacing w:after="13" w:line="276" w:lineRule="auto"/>
        <w:rPr>
          <w:rFonts w:cs="Times New Roman"/>
          <w:szCs w:val="18"/>
          <w:lang w:val="nl-NL"/>
        </w:rPr>
      </w:pPr>
      <w:r w:rsidRPr="0095230E">
        <w:rPr>
          <w:rFonts w:cs="Times New Roman"/>
          <w:szCs w:val="18"/>
          <w:lang w:val="nl-NL"/>
        </w:rPr>
        <w:t xml:space="preserve">De Commissie zal het Europees Parlement en de Raad </w:t>
      </w:r>
      <w:r w:rsidRPr="0095230E" w:rsidR="00285349">
        <w:rPr>
          <w:rFonts w:cs="Times New Roman"/>
          <w:szCs w:val="18"/>
          <w:lang w:val="nl-NL"/>
        </w:rPr>
        <w:t xml:space="preserve">regelmatig informeren over </w:t>
      </w:r>
      <w:r w:rsidRPr="0095230E">
        <w:rPr>
          <w:rFonts w:cs="Times New Roman"/>
          <w:szCs w:val="18"/>
          <w:lang w:val="nl-NL"/>
        </w:rPr>
        <w:t xml:space="preserve">de voortgang van de MFB, de economische situatie en vooruitzichten van Oekraïne en de voorwaarden die worden vastgelegd in de </w:t>
      </w:r>
      <w:proofErr w:type="spellStart"/>
      <w:r w:rsidRPr="0095230E">
        <w:rPr>
          <w:rFonts w:cs="Times New Roman"/>
          <w:szCs w:val="18"/>
          <w:lang w:val="nl-NL"/>
        </w:rPr>
        <w:t>MoU</w:t>
      </w:r>
      <w:proofErr w:type="spellEnd"/>
      <w:r w:rsidRPr="0095230E">
        <w:rPr>
          <w:rFonts w:cs="Times New Roman"/>
          <w:szCs w:val="18"/>
          <w:lang w:val="nl-NL"/>
        </w:rPr>
        <w:t>. Daarnaast informeert de Commissie het Europees Parlement en de Raad als er ontwikkelingen zijn, bijvoorbeeld wanneer de middelen zijn uitgekeerd.</w:t>
      </w:r>
    </w:p>
    <w:p w:rsidRPr="0095230E" w:rsidR="00A74CD3" w:rsidP="00E97935" w:rsidRDefault="00A74CD3" w14:paraId="2417E04E" w14:textId="73C1AD61">
      <w:pPr>
        <w:autoSpaceDE w:val="0"/>
        <w:autoSpaceDN w:val="0"/>
        <w:adjustRightInd w:val="0"/>
        <w:spacing w:after="13" w:line="276" w:lineRule="auto"/>
        <w:rPr>
          <w:rFonts w:cs="Times New Roman"/>
          <w:szCs w:val="18"/>
          <w:lang w:val="nl-NL"/>
        </w:rPr>
      </w:pPr>
    </w:p>
    <w:p w:rsidRPr="0095230E" w:rsidR="00DA65DA" w:rsidP="00E97935" w:rsidRDefault="00DA65DA" w14:paraId="00DA3615" w14:textId="7A6CF214">
      <w:pPr>
        <w:pStyle w:val="Lijstalinea"/>
        <w:numPr>
          <w:ilvl w:val="0"/>
          <w:numId w:val="2"/>
        </w:numPr>
        <w:spacing w:line="276" w:lineRule="auto"/>
        <w:rPr>
          <w:b/>
          <w:bCs/>
          <w:szCs w:val="18"/>
          <w:lang w:val="nl-NL"/>
        </w:rPr>
      </w:pPr>
      <w:r w:rsidRPr="0095230E">
        <w:rPr>
          <w:b/>
          <w:bCs/>
          <w:szCs w:val="18"/>
          <w:lang w:val="nl-NL"/>
        </w:rPr>
        <w:t xml:space="preserve">Bij complexe risico's: hoe beoordeelt een onafhankelijke expert het risico van het voorstel en de risico beheersende en risico mitigerende maatregelen van </w:t>
      </w:r>
      <w:r w:rsidRPr="0095230E" w:rsidR="000C2144">
        <w:rPr>
          <w:b/>
          <w:bCs/>
          <w:szCs w:val="18"/>
          <w:lang w:val="nl-NL"/>
        </w:rPr>
        <w:t xml:space="preserve">het </w:t>
      </w:r>
      <w:r w:rsidRPr="0095230E">
        <w:rPr>
          <w:b/>
          <w:bCs/>
          <w:szCs w:val="18"/>
          <w:lang w:val="nl-NL"/>
        </w:rPr>
        <w:t>Rijk?</w:t>
      </w:r>
    </w:p>
    <w:p w:rsidRPr="0095230E" w:rsidR="00DA65DA" w:rsidP="00E97935" w:rsidRDefault="004E51F1" w14:paraId="59EA7097" w14:textId="60E5E524">
      <w:pPr>
        <w:pStyle w:val="Default"/>
        <w:spacing w:line="276" w:lineRule="auto"/>
        <w:rPr>
          <w:color w:val="auto"/>
          <w:sz w:val="18"/>
          <w:szCs w:val="18"/>
        </w:rPr>
      </w:pPr>
      <w:r w:rsidRPr="0095230E">
        <w:rPr>
          <w:color w:val="auto"/>
          <w:sz w:val="18"/>
          <w:szCs w:val="18"/>
        </w:rPr>
        <w:t>N.v.t. er is geen onafhankelijke expert die het risico van dit voorstel heeft beoordeeld.</w:t>
      </w:r>
    </w:p>
    <w:p w:rsidRPr="0095230E" w:rsidR="00DA65DA" w:rsidP="00E97935" w:rsidRDefault="00DA65DA" w14:paraId="11EE46DF" w14:textId="77777777">
      <w:pPr>
        <w:pStyle w:val="Default"/>
        <w:spacing w:line="276" w:lineRule="auto"/>
        <w:rPr>
          <w:sz w:val="18"/>
          <w:szCs w:val="18"/>
        </w:rPr>
      </w:pPr>
    </w:p>
    <w:p w:rsidR="00892C75" w:rsidP="00E97935" w:rsidRDefault="00892C75" w14:paraId="7C80664B" w14:textId="77777777">
      <w:pPr>
        <w:pStyle w:val="Default"/>
        <w:spacing w:line="276" w:lineRule="auto"/>
        <w:rPr>
          <w:b/>
          <w:bCs/>
          <w:sz w:val="18"/>
          <w:szCs w:val="18"/>
          <w:u w:val="single"/>
        </w:rPr>
      </w:pPr>
    </w:p>
    <w:p w:rsidR="00892C75" w:rsidP="00E97935" w:rsidRDefault="00892C75" w14:paraId="335A3E0A" w14:textId="77777777">
      <w:pPr>
        <w:pStyle w:val="Default"/>
        <w:spacing w:line="276" w:lineRule="auto"/>
        <w:rPr>
          <w:b/>
          <w:bCs/>
          <w:sz w:val="18"/>
          <w:szCs w:val="18"/>
          <w:u w:val="single"/>
        </w:rPr>
      </w:pPr>
    </w:p>
    <w:p w:rsidR="00892C75" w:rsidP="00E97935" w:rsidRDefault="00892C75" w14:paraId="44F80D72" w14:textId="77777777">
      <w:pPr>
        <w:pStyle w:val="Default"/>
        <w:spacing w:line="276" w:lineRule="auto"/>
        <w:rPr>
          <w:b/>
          <w:bCs/>
          <w:sz w:val="18"/>
          <w:szCs w:val="18"/>
          <w:u w:val="single"/>
        </w:rPr>
      </w:pPr>
    </w:p>
    <w:p w:rsidR="00892C75" w:rsidP="00E97935" w:rsidRDefault="00892C75" w14:paraId="63DF5F5C" w14:textId="77777777">
      <w:pPr>
        <w:pStyle w:val="Default"/>
        <w:spacing w:line="276" w:lineRule="auto"/>
        <w:rPr>
          <w:b/>
          <w:bCs/>
          <w:sz w:val="18"/>
          <w:szCs w:val="18"/>
          <w:u w:val="single"/>
        </w:rPr>
      </w:pPr>
    </w:p>
    <w:p w:rsidRPr="0095230E" w:rsidR="00DA65DA" w:rsidP="00E97935" w:rsidRDefault="00DA65DA" w14:paraId="0B930386" w14:textId="7B28B61D">
      <w:pPr>
        <w:pStyle w:val="Default"/>
        <w:spacing w:line="276" w:lineRule="auto"/>
        <w:rPr>
          <w:b/>
          <w:bCs/>
          <w:sz w:val="18"/>
          <w:szCs w:val="18"/>
          <w:u w:val="single"/>
        </w:rPr>
      </w:pPr>
      <w:r w:rsidRPr="0095230E">
        <w:rPr>
          <w:b/>
          <w:bCs/>
          <w:sz w:val="18"/>
          <w:szCs w:val="18"/>
          <w:u w:val="single"/>
        </w:rPr>
        <w:lastRenderedPageBreak/>
        <w:t xml:space="preserve">Vormgeving </w:t>
      </w:r>
    </w:p>
    <w:p w:rsidRPr="0095230E" w:rsidR="005F6D45" w:rsidP="00E97935" w:rsidRDefault="005F6D45" w14:paraId="59BBAE38" w14:textId="77777777">
      <w:pPr>
        <w:pStyle w:val="Default"/>
        <w:spacing w:line="276" w:lineRule="auto"/>
        <w:rPr>
          <w:b/>
          <w:bCs/>
          <w:sz w:val="18"/>
          <w:szCs w:val="18"/>
          <w:u w:val="single"/>
        </w:rPr>
      </w:pPr>
    </w:p>
    <w:p w:rsidRPr="0095230E" w:rsidR="00DA65DA" w:rsidP="00E97935" w:rsidRDefault="00DA65DA" w14:paraId="21FAED65" w14:textId="77777777">
      <w:pPr>
        <w:pStyle w:val="Lijstalinea"/>
        <w:numPr>
          <w:ilvl w:val="0"/>
          <w:numId w:val="2"/>
        </w:numPr>
        <w:spacing w:line="276" w:lineRule="auto"/>
        <w:rPr>
          <w:b/>
          <w:bCs/>
          <w:szCs w:val="18"/>
          <w:lang w:val="nl-NL"/>
        </w:rPr>
      </w:pPr>
      <w:r w:rsidRPr="0095230E">
        <w:rPr>
          <w:b/>
          <w:bCs/>
          <w:szCs w:val="18"/>
          <w:lang w:val="nl-NL"/>
        </w:rPr>
        <w:t xml:space="preserve">Welke premie wordt voorgesteld en hoeveel wordt doorberekend aan de eindgebruiker? Is deze premie kostendekkend en marktconform. Zo nee, hoeveel budgettaire ruimte wordt het door het vakdepartement specifiek ingezet? </w:t>
      </w:r>
    </w:p>
    <w:p w:rsidRPr="0095230E" w:rsidR="009F4B5E" w:rsidP="00E97935" w:rsidRDefault="00BA5995" w14:paraId="375EF1BF" w14:textId="77777777">
      <w:pPr>
        <w:spacing w:line="276" w:lineRule="auto"/>
        <w:rPr>
          <w:szCs w:val="18"/>
          <w:lang w:val="nl-NL"/>
        </w:rPr>
      </w:pPr>
      <w:r w:rsidRPr="0095230E">
        <w:rPr>
          <w:szCs w:val="18"/>
          <w:lang w:val="nl-NL"/>
        </w:rPr>
        <w:t xml:space="preserve">N.v.t. Voor deze garantie </w:t>
      </w:r>
      <w:r w:rsidRPr="0095230E" w:rsidR="009F4B5E">
        <w:rPr>
          <w:szCs w:val="18"/>
          <w:lang w:val="nl-NL"/>
        </w:rPr>
        <w:t>ontvangt Nederland geen premie, aangezien deze uit solidariteit met Oekraïne wordt verstrekt</w:t>
      </w:r>
      <w:r w:rsidRPr="0095230E" w:rsidR="0036563A">
        <w:rPr>
          <w:szCs w:val="18"/>
          <w:lang w:val="nl-NL"/>
        </w:rPr>
        <w:t>.</w:t>
      </w:r>
      <w:r w:rsidRPr="0095230E" w:rsidR="009F4B5E">
        <w:rPr>
          <w:szCs w:val="18"/>
          <w:lang w:val="nl-NL"/>
        </w:rPr>
        <w:t xml:space="preserve"> </w:t>
      </w:r>
    </w:p>
    <w:p w:rsidRPr="0095230E" w:rsidR="00DA65DA" w:rsidP="00E97935" w:rsidRDefault="00DA65DA" w14:paraId="724D6E76" w14:textId="77777777">
      <w:pPr>
        <w:pStyle w:val="Lijstalinea"/>
        <w:numPr>
          <w:ilvl w:val="0"/>
          <w:numId w:val="2"/>
        </w:numPr>
        <w:spacing w:line="276" w:lineRule="auto"/>
        <w:rPr>
          <w:b/>
          <w:bCs/>
          <w:szCs w:val="18"/>
          <w:lang w:val="nl-NL"/>
        </w:rPr>
      </w:pPr>
      <w:r w:rsidRPr="0095230E">
        <w:rPr>
          <w:b/>
          <w:bCs/>
          <w:szCs w:val="18"/>
          <w:lang w:val="nl-NL"/>
        </w:rPr>
        <w:t xml:space="preserve">Hoe wordt de risicovoorziening vormgegeven? </w:t>
      </w:r>
    </w:p>
    <w:p w:rsidRPr="0095230E" w:rsidR="00D1595C" w:rsidP="00E97935" w:rsidRDefault="003B6240" w14:paraId="1282691E" w14:textId="057D2B8A">
      <w:pPr>
        <w:spacing w:line="276" w:lineRule="auto"/>
        <w:rPr>
          <w:bCs/>
          <w:szCs w:val="18"/>
          <w:lang w:val="nl-NL"/>
        </w:rPr>
      </w:pPr>
      <w:r w:rsidRPr="0095230E">
        <w:rPr>
          <w:bCs/>
          <w:szCs w:val="18"/>
          <w:lang w:val="nl-NL"/>
        </w:rPr>
        <w:t xml:space="preserve">Er wordt geen risicovoorziening gevormd. Eventuele schade op de leningen kan </w:t>
      </w:r>
      <w:r w:rsidRPr="0095230E">
        <w:rPr>
          <w:szCs w:val="18"/>
          <w:lang w:val="nl-NL"/>
        </w:rPr>
        <w:t xml:space="preserve">in het geval van Nederland bij de huidige inzichten over de gehele duur van het instrument (dus maximaal 45 jaar) oplopen tot </w:t>
      </w:r>
      <w:proofErr w:type="gramStart"/>
      <w:r w:rsidRPr="0095230E">
        <w:rPr>
          <w:szCs w:val="18"/>
          <w:lang w:val="nl-NL"/>
        </w:rPr>
        <w:t>circa</w:t>
      </w:r>
      <w:proofErr w:type="gramEnd"/>
      <w:r w:rsidRPr="0095230E">
        <w:rPr>
          <w:szCs w:val="18"/>
          <w:lang w:val="nl-NL"/>
        </w:rPr>
        <w:t xml:space="preserve"> 3,4 miljard euro op basis van het huidige Nederlandse </w:t>
      </w:r>
      <w:proofErr w:type="spellStart"/>
      <w:r w:rsidRPr="0095230E">
        <w:rPr>
          <w:szCs w:val="18"/>
          <w:lang w:val="nl-NL"/>
        </w:rPr>
        <w:t>bni</w:t>
      </w:r>
      <w:proofErr w:type="spellEnd"/>
      <w:r w:rsidRPr="0095230E">
        <w:rPr>
          <w:szCs w:val="18"/>
          <w:lang w:val="nl-NL"/>
        </w:rPr>
        <w:t xml:space="preserve">-aandeel van 6,1% en komt ten laste van de staatsschuld.   </w:t>
      </w:r>
    </w:p>
    <w:p w:rsidRPr="0095230E" w:rsidR="00A21D23" w:rsidP="00E97935" w:rsidRDefault="00DA65DA" w14:paraId="11611048" w14:textId="39C3104F">
      <w:pPr>
        <w:pStyle w:val="Lijstalinea"/>
        <w:numPr>
          <w:ilvl w:val="0"/>
          <w:numId w:val="2"/>
        </w:numPr>
        <w:spacing w:line="276" w:lineRule="auto"/>
        <w:rPr>
          <w:b/>
          <w:bCs/>
          <w:szCs w:val="18"/>
          <w:lang w:val="nl-NL"/>
        </w:rPr>
      </w:pPr>
      <w:r w:rsidRPr="0095230E">
        <w:rPr>
          <w:b/>
          <w:bCs/>
          <w:szCs w:val="18"/>
          <w:lang w:val="nl-NL"/>
        </w:rPr>
        <w:t xml:space="preserve">Welke horizonbepaling wordt gehanteerd (standaardtermijn is maximaal 5 jaar)? </w:t>
      </w:r>
    </w:p>
    <w:p w:rsidRPr="0095230E" w:rsidR="00786138" w:rsidP="00E97935" w:rsidRDefault="00A21D23" w14:paraId="106BF805" w14:textId="3491BC44">
      <w:pPr>
        <w:spacing w:line="276" w:lineRule="auto"/>
        <w:rPr>
          <w:szCs w:val="18"/>
          <w:lang w:val="nl-NL"/>
        </w:rPr>
      </w:pPr>
      <w:r w:rsidRPr="0095230E">
        <w:rPr>
          <w:szCs w:val="18"/>
          <w:lang w:val="nl-NL"/>
        </w:rPr>
        <w:t>De MFB</w:t>
      </w:r>
      <w:r w:rsidRPr="0095230E" w:rsidR="00FF4738">
        <w:rPr>
          <w:szCs w:val="18"/>
          <w:lang w:val="nl-NL"/>
        </w:rPr>
        <w:t xml:space="preserve"> van </w:t>
      </w:r>
      <w:r w:rsidRPr="0095230E" w:rsidR="00313EF2">
        <w:rPr>
          <w:szCs w:val="18"/>
          <w:lang w:val="nl-NL"/>
        </w:rPr>
        <w:t>maximaal 35</w:t>
      </w:r>
      <w:r w:rsidRPr="0095230E" w:rsidR="0061626C">
        <w:rPr>
          <w:szCs w:val="18"/>
          <w:lang w:val="nl-NL"/>
        </w:rPr>
        <w:t xml:space="preserve"> miljard euro heeft een maximale looptijd van </w:t>
      </w:r>
      <w:r w:rsidRPr="0095230E" w:rsidR="00522F1E">
        <w:rPr>
          <w:szCs w:val="18"/>
          <w:lang w:val="nl-NL"/>
        </w:rPr>
        <w:t>4</w:t>
      </w:r>
      <w:r w:rsidRPr="0095230E" w:rsidR="0061626C">
        <w:rPr>
          <w:szCs w:val="18"/>
          <w:lang w:val="nl-NL"/>
        </w:rPr>
        <w:t xml:space="preserve">5 jaar. </w:t>
      </w:r>
      <w:r w:rsidRPr="0095230E" w:rsidR="00786138">
        <w:rPr>
          <w:szCs w:val="18"/>
          <w:lang w:val="nl-NL"/>
        </w:rPr>
        <w:t>De garantie zal in principe lopen tot 31 december 20</w:t>
      </w:r>
      <w:r w:rsidRPr="0095230E" w:rsidR="00170800">
        <w:rPr>
          <w:szCs w:val="18"/>
          <w:lang w:val="nl-NL"/>
        </w:rPr>
        <w:t>69</w:t>
      </w:r>
      <w:r w:rsidRPr="0095230E" w:rsidR="00786138">
        <w:rPr>
          <w:szCs w:val="18"/>
          <w:lang w:val="nl-NL"/>
        </w:rPr>
        <w:t xml:space="preserve"> tenzij alle leningen op een eerder moment volledig zijn terugbetaald. </w:t>
      </w:r>
      <w:r w:rsidRPr="0095230E" w:rsidR="00170D08">
        <w:rPr>
          <w:szCs w:val="18"/>
          <w:lang w:val="nl-NL"/>
        </w:rPr>
        <w:t xml:space="preserve">Het aflossingsschema wordt momenteel nog besproken binnen de Commissie. Daarom kan hier nog geen informatie over worden opgenomen. </w:t>
      </w:r>
    </w:p>
    <w:p w:rsidRPr="0095230E" w:rsidR="00DA65DA" w:rsidP="00E97935" w:rsidRDefault="00DA65DA" w14:paraId="663AC68F" w14:textId="77777777">
      <w:pPr>
        <w:pStyle w:val="Lijstalinea"/>
        <w:numPr>
          <w:ilvl w:val="0"/>
          <w:numId w:val="2"/>
        </w:numPr>
        <w:spacing w:line="276" w:lineRule="auto"/>
        <w:rPr>
          <w:b/>
          <w:bCs/>
          <w:szCs w:val="18"/>
          <w:lang w:val="nl-NL"/>
        </w:rPr>
      </w:pPr>
      <w:bookmarkStart w:name="_Hlk120096427" w:id="6"/>
      <w:r w:rsidRPr="0095230E">
        <w:rPr>
          <w:b/>
          <w:bCs/>
          <w:szCs w:val="18"/>
          <w:lang w:val="nl-NL"/>
        </w:rPr>
        <w:t xml:space="preserve">Wie voert de risicoregeling uit en wat zijn de uitvoeringskosten van de regeling? </w:t>
      </w:r>
    </w:p>
    <w:p w:rsidRPr="0095230E" w:rsidR="00E61CD4" w:rsidP="00E97935" w:rsidRDefault="00A21D23" w14:paraId="610A3F47" w14:textId="55F04156">
      <w:pPr>
        <w:spacing w:line="276" w:lineRule="auto"/>
        <w:rPr>
          <w:bCs/>
          <w:szCs w:val="18"/>
          <w:lang w:val="nl-NL"/>
        </w:rPr>
      </w:pPr>
      <w:r w:rsidRPr="0095230E">
        <w:rPr>
          <w:bCs/>
          <w:szCs w:val="18"/>
          <w:lang w:val="nl-NL"/>
        </w:rPr>
        <w:t xml:space="preserve">De Commissie voert de MFB uit. </w:t>
      </w:r>
      <w:r w:rsidRPr="0095230E" w:rsidR="00483718">
        <w:rPr>
          <w:bCs/>
          <w:szCs w:val="18"/>
          <w:lang w:val="nl-NL"/>
        </w:rPr>
        <w:t xml:space="preserve">Het vaststellen </w:t>
      </w:r>
      <w:r w:rsidRPr="0095230E" w:rsidR="00E61CD4">
        <w:rPr>
          <w:bCs/>
          <w:szCs w:val="18"/>
          <w:lang w:val="nl-NL"/>
        </w:rPr>
        <w:t xml:space="preserve">of wijzigen </w:t>
      </w:r>
      <w:r w:rsidRPr="0095230E" w:rsidR="00483718">
        <w:rPr>
          <w:bCs/>
          <w:szCs w:val="18"/>
          <w:lang w:val="nl-NL"/>
        </w:rPr>
        <w:t xml:space="preserve">van de </w:t>
      </w:r>
      <w:proofErr w:type="spellStart"/>
      <w:r w:rsidRPr="0095230E" w:rsidR="00483718">
        <w:rPr>
          <w:bCs/>
          <w:szCs w:val="18"/>
          <w:lang w:val="nl-NL"/>
        </w:rPr>
        <w:t>MoU</w:t>
      </w:r>
      <w:proofErr w:type="spellEnd"/>
      <w:r w:rsidRPr="0095230E" w:rsidR="00483718">
        <w:rPr>
          <w:bCs/>
          <w:szCs w:val="18"/>
          <w:lang w:val="nl-NL"/>
        </w:rPr>
        <w:t xml:space="preserve"> gebeurt</w:t>
      </w:r>
      <w:r w:rsidRPr="0095230E" w:rsidR="00E61CD4">
        <w:rPr>
          <w:bCs/>
          <w:szCs w:val="18"/>
          <w:lang w:val="nl-NL"/>
        </w:rPr>
        <w:t xml:space="preserve"> via de zogeheten onderzoeksprocedure zoals vastgelegd in artikel 5 van de verordening 182/2011</w:t>
      </w:r>
      <w:r w:rsidRPr="0095230E" w:rsidR="00E61CD4">
        <w:rPr>
          <w:rStyle w:val="Voetnootmarkering"/>
          <w:bCs/>
          <w:szCs w:val="18"/>
          <w:lang w:val="nl-NL"/>
        </w:rPr>
        <w:footnoteReference w:id="13"/>
      </w:r>
      <w:r w:rsidRPr="0095230E" w:rsidR="00E61CD4">
        <w:rPr>
          <w:bCs/>
          <w:szCs w:val="18"/>
          <w:lang w:val="nl-NL"/>
        </w:rPr>
        <w:t xml:space="preserve">. Het comité bestaand uit de lidstaten kan op basis hiervan een advies uitbrengen </w:t>
      </w:r>
      <w:r w:rsidRPr="0095230E" w:rsidR="007B5D59">
        <w:rPr>
          <w:bCs/>
          <w:szCs w:val="18"/>
          <w:lang w:val="nl-NL"/>
        </w:rPr>
        <w:t>over</w:t>
      </w:r>
      <w:r w:rsidRPr="0095230E" w:rsidR="00E61CD4">
        <w:rPr>
          <w:bCs/>
          <w:szCs w:val="18"/>
          <w:lang w:val="nl-NL"/>
        </w:rPr>
        <w:t xml:space="preserve"> handelingen op voorstel van de Commissie.</w:t>
      </w:r>
      <w:r w:rsidRPr="0095230E" w:rsidR="00483718">
        <w:rPr>
          <w:bCs/>
          <w:szCs w:val="18"/>
          <w:lang w:val="nl-NL"/>
        </w:rPr>
        <w:t xml:space="preserve"> </w:t>
      </w:r>
    </w:p>
    <w:bookmarkEnd w:id="6"/>
    <w:p w:rsidRPr="0095230E" w:rsidR="003A59CB" w:rsidP="00E97935" w:rsidRDefault="00D34E8E" w14:paraId="7148435C" w14:textId="4E36CC57">
      <w:pPr>
        <w:spacing w:line="276" w:lineRule="auto"/>
        <w:rPr>
          <w:bCs/>
          <w:szCs w:val="18"/>
          <w:lang w:val="nl-NL"/>
        </w:rPr>
      </w:pPr>
      <w:r w:rsidRPr="0095230E">
        <w:rPr>
          <w:bCs/>
          <w:szCs w:val="18"/>
          <w:lang w:val="nl-NL"/>
        </w:rPr>
        <w:t xml:space="preserve">De administratieve uitgaven </w:t>
      </w:r>
      <w:r w:rsidRPr="0095230E" w:rsidR="00786138">
        <w:rPr>
          <w:bCs/>
          <w:szCs w:val="18"/>
          <w:lang w:val="nl-NL"/>
        </w:rPr>
        <w:t>worden gedekt door</w:t>
      </w:r>
      <w:r w:rsidRPr="0095230E" w:rsidR="009B3B66">
        <w:rPr>
          <w:bCs/>
          <w:szCs w:val="18"/>
          <w:lang w:val="nl-NL"/>
        </w:rPr>
        <w:t xml:space="preserve"> </w:t>
      </w:r>
      <w:r w:rsidRPr="0095230E" w:rsidR="00CA7215">
        <w:rPr>
          <w:bCs/>
          <w:szCs w:val="18"/>
          <w:lang w:val="nl-NL"/>
        </w:rPr>
        <w:t xml:space="preserve">het ULCM. </w:t>
      </w:r>
      <w:r w:rsidRPr="0095230E" w:rsidR="00C23768">
        <w:rPr>
          <w:bCs/>
          <w:szCs w:val="18"/>
          <w:lang w:val="nl-NL"/>
        </w:rPr>
        <w:t>Het is nog onbekend wat de precieze omvang zal zijn.</w:t>
      </w:r>
      <w:r w:rsidRPr="0095230E">
        <w:rPr>
          <w:bCs/>
          <w:szCs w:val="18"/>
          <w:lang w:val="nl-NL"/>
        </w:rPr>
        <w:t xml:space="preserve"> </w:t>
      </w:r>
      <w:r w:rsidRPr="0095230E" w:rsidR="00A21D23">
        <w:rPr>
          <w:bCs/>
          <w:szCs w:val="18"/>
          <w:lang w:val="nl-NL"/>
        </w:rPr>
        <w:t>Er zijn geen uitvoeringskosten voor de Nederlandse begroting.</w:t>
      </w:r>
    </w:p>
    <w:p w:rsidRPr="0095230E" w:rsidR="00DA65DA" w:rsidP="00E97935" w:rsidRDefault="00DA65DA" w14:paraId="7C4D1921" w14:textId="77777777">
      <w:pPr>
        <w:pStyle w:val="Lijstalinea"/>
        <w:numPr>
          <w:ilvl w:val="0"/>
          <w:numId w:val="2"/>
        </w:numPr>
        <w:spacing w:line="276" w:lineRule="auto"/>
        <w:rPr>
          <w:b/>
          <w:bCs/>
          <w:szCs w:val="18"/>
          <w:lang w:val="nl-NL"/>
        </w:rPr>
      </w:pPr>
      <w:r w:rsidRPr="0095230E">
        <w:rPr>
          <w:b/>
          <w:bCs/>
          <w:szCs w:val="18"/>
          <w:lang w:val="nl-NL"/>
        </w:rPr>
        <w:t xml:space="preserve">Hoe wordt de regeling geëvalueerd, welke informatie is daarvoor relevant evaluatie en hoe wordt een deugdelijke evaluatie geborgd? </w:t>
      </w:r>
    </w:p>
    <w:p w:rsidRPr="0095230E" w:rsidR="00C817DE" w:rsidP="00E97935" w:rsidRDefault="00622280" w14:paraId="622AEA84" w14:textId="21627B3E">
      <w:pPr>
        <w:spacing w:line="276" w:lineRule="auto"/>
        <w:rPr>
          <w:i/>
          <w:noProof/>
          <w:color w:val="FF0000"/>
          <w:szCs w:val="18"/>
          <w:lang w:val="nl-NL"/>
        </w:rPr>
      </w:pPr>
      <w:r w:rsidRPr="0095230E">
        <w:rPr>
          <w:szCs w:val="18"/>
          <w:lang w:val="nl-NL"/>
        </w:rPr>
        <w:t xml:space="preserve">Uiterlijk </w:t>
      </w:r>
      <w:r w:rsidRPr="0095230E" w:rsidR="000A7136">
        <w:rPr>
          <w:szCs w:val="18"/>
          <w:lang w:val="nl-NL"/>
        </w:rPr>
        <w:t xml:space="preserve">31 december 2027 </w:t>
      </w:r>
      <w:r w:rsidRPr="0095230E">
        <w:rPr>
          <w:szCs w:val="18"/>
          <w:lang w:val="nl-NL"/>
        </w:rPr>
        <w:t>presenteert de Commissie een evaluatierapport aan de Raad en het E</w:t>
      </w:r>
      <w:r w:rsidRPr="0095230E" w:rsidR="00D34E8E">
        <w:rPr>
          <w:szCs w:val="18"/>
          <w:lang w:val="nl-NL"/>
        </w:rPr>
        <w:t>uropees Parlement</w:t>
      </w:r>
      <w:r w:rsidRPr="0095230E">
        <w:rPr>
          <w:szCs w:val="18"/>
          <w:lang w:val="nl-NL"/>
        </w:rPr>
        <w:t>, waarin zij ingaat op de behaalde resultaten en de efficiëntie van de verleende MFB</w:t>
      </w:r>
      <w:r w:rsidRPr="0095230E" w:rsidR="00D34E8E">
        <w:rPr>
          <w:szCs w:val="18"/>
          <w:lang w:val="nl-NL"/>
        </w:rPr>
        <w:t xml:space="preserve"> </w:t>
      </w:r>
      <w:r w:rsidRPr="0095230E" w:rsidR="000A7136">
        <w:rPr>
          <w:szCs w:val="18"/>
          <w:lang w:val="nl-NL"/>
        </w:rPr>
        <w:t xml:space="preserve">en ULCM </w:t>
      </w:r>
      <w:r w:rsidRPr="0095230E" w:rsidR="00D34E8E">
        <w:rPr>
          <w:szCs w:val="18"/>
          <w:lang w:val="nl-NL"/>
        </w:rPr>
        <w:t>en in hoeverre de steun heeft bijgedragen aan het bereiken van de doelen</w:t>
      </w:r>
      <w:r w:rsidRPr="0095230E">
        <w:rPr>
          <w:szCs w:val="18"/>
          <w:lang w:val="nl-NL"/>
        </w:rPr>
        <w:t>.</w:t>
      </w:r>
    </w:p>
    <w:p w:rsidRPr="0095230E" w:rsidR="001C1572" w:rsidP="00E97935" w:rsidRDefault="001C1572" w14:paraId="21B781DD" w14:textId="17FDC71E">
      <w:pPr>
        <w:spacing w:line="276" w:lineRule="auto"/>
        <w:rPr>
          <w:i/>
          <w:color w:val="FF0000"/>
          <w:szCs w:val="18"/>
          <w:lang w:val="nl-NL"/>
        </w:rPr>
      </w:pPr>
    </w:p>
    <w:p w:rsidRPr="0095230E" w:rsidR="001C1572" w:rsidP="00E97935" w:rsidRDefault="001C1572" w14:paraId="7DCC767A" w14:textId="27EA2972">
      <w:pPr>
        <w:spacing w:line="276" w:lineRule="auto"/>
        <w:rPr>
          <w:i/>
          <w:color w:val="FF0000"/>
          <w:szCs w:val="18"/>
          <w:lang w:val="nl-NL"/>
        </w:rPr>
      </w:pPr>
    </w:p>
    <w:sectPr w:rsidRPr="0095230E" w:rsidR="001C1572"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218DD" w14:textId="77777777" w:rsidR="00101DF2" w:rsidRDefault="00101DF2" w:rsidP="00DA65DA">
      <w:pPr>
        <w:spacing w:after="0" w:line="240" w:lineRule="auto"/>
      </w:pPr>
      <w:r>
        <w:separator/>
      </w:r>
    </w:p>
  </w:endnote>
  <w:endnote w:type="continuationSeparator" w:id="0">
    <w:p w14:paraId="66AB8D3D" w14:textId="77777777" w:rsidR="00101DF2" w:rsidRDefault="00101DF2" w:rsidP="00DA65DA">
      <w:pPr>
        <w:spacing w:after="0" w:line="240" w:lineRule="auto"/>
      </w:pPr>
      <w:r>
        <w:continuationSeparator/>
      </w:r>
    </w:p>
  </w:endnote>
  <w:endnote w:type="continuationNotice" w:id="1">
    <w:p w14:paraId="2F884A25" w14:textId="77777777" w:rsidR="00101DF2" w:rsidRDefault="00101D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39030" w14:textId="77777777" w:rsidR="00101DF2" w:rsidRDefault="00101DF2" w:rsidP="00DA65DA">
      <w:pPr>
        <w:spacing w:after="0" w:line="240" w:lineRule="auto"/>
      </w:pPr>
      <w:r>
        <w:separator/>
      </w:r>
    </w:p>
  </w:footnote>
  <w:footnote w:type="continuationSeparator" w:id="0">
    <w:p w14:paraId="39199535" w14:textId="77777777" w:rsidR="00101DF2" w:rsidRDefault="00101DF2" w:rsidP="00DA65DA">
      <w:pPr>
        <w:spacing w:after="0" w:line="240" w:lineRule="auto"/>
      </w:pPr>
      <w:r>
        <w:continuationSeparator/>
      </w:r>
    </w:p>
  </w:footnote>
  <w:footnote w:type="continuationNotice" w:id="1">
    <w:p w14:paraId="69FF9016" w14:textId="77777777" w:rsidR="00101DF2" w:rsidRDefault="00101DF2">
      <w:pPr>
        <w:spacing w:after="0" w:line="240" w:lineRule="auto"/>
      </w:pPr>
    </w:p>
  </w:footnote>
  <w:footnote w:id="2">
    <w:p w14:paraId="488012A3" w14:textId="7D84C965" w:rsidR="00721B8A" w:rsidRPr="00336166" w:rsidRDefault="00721B8A">
      <w:pPr>
        <w:pStyle w:val="Voetnoottekst"/>
        <w:rPr>
          <w:sz w:val="16"/>
          <w:szCs w:val="16"/>
          <w:lang w:val="nl-NL"/>
        </w:rPr>
      </w:pPr>
      <w:r w:rsidRPr="00336166">
        <w:rPr>
          <w:rStyle w:val="Voetnootmarkering"/>
          <w:sz w:val="16"/>
          <w:szCs w:val="16"/>
        </w:rPr>
        <w:footnoteRef/>
      </w:r>
      <w:r w:rsidRPr="00336166">
        <w:rPr>
          <w:sz w:val="16"/>
          <w:szCs w:val="16"/>
          <w:lang w:val="nl-NL"/>
        </w:rPr>
        <w:t xml:space="preserve"> Meest recent: Miljoenennota 2025 Kamerstuk</w:t>
      </w:r>
      <w:r w:rsidR="00B017F4" w:rsidRPr="00336166">
        <w:rPr>
          <w:sz w:val="16"/>
          <w:szCs w:val="16"/>
          <w:lang w:val="nl-NL"/>
        </w:rPr>
        <w:t xml:space="preserve">ken II, 2024-2025, 36600, </w:t>
      </w:r>
      <w:r w:rsidR="00243575" w:rsidRPr="00336166">
        <w:rPr>
          <w:sz w:val="16"/>
          <w:szCs w:val="16"/>
          <w:lang w:val="nl-NL"/>
        </w:rPr>
        <w:t>bijlage 22.</w:t>
      </w:r>
    </w:p>
  </w:footnote>
  <w:footnote w:id="3">
    <w:p w14:paraId="22DF09EB" w14:textId="2749FA5A" w:rsidR="00D211BB" w:rsidRPr="00336166" w:rsidRDefault="00D211BB">
      <w:pPr>
        <w:pStyle w:val="Voetnoottekst"/>
        <w:rPr>
          <w:sz w:val="16"/>
          <w:szCs w:val="16"/>
          <w:lang w:val="nl-NL"/>
        </w:rPr>
      </w:pPr>
      <w:r w:rsidRPr="00336166">
        <w:rPr>
          <w:rStyle w:val="Voetnootmarkering"/>
          <w:sz w:val="16"/>
          <w:szCs w:val="16"/>
        </w:rPr>
        <w:footnoteRef/>
      </w:r>
      <w:r w:rsidRPr="00336166">
        <w:rPr>
          <w:sz w:val="16"/>
          <w:szCs w:val="16"/>
          <w:lang w:val="nl-NL"/>
        </w:rPr>
        <w:t xml:space="preserve"> </w:t>
      </w:r>
      <w:r w:rsidR="00541C53" w:rsidRPr="00336166">
        <w:rPr>
          <w:sz w:val="16"/>
          <w:szCs w:val="16"/>
          <w:lang w:val="nl-NL"/>
        </w:rPr>
        <w:t>Kamerstukken II, 2023-2024, 21501-20, nr. 2017.</w:t>
      </w:r>
    </w:p>
  </w:footnote>
  <w:footnote w:id="4">
    <w:p w14:paraId="6209B932" w14:textId="2FCC493C" w:rsidR="00356D71" w:rsidRPr="007E584C" w:rsidRDefault="00356D71">
      <w:pPr>
        <w:pStyle w:val="Voetnoottekst"/>
        <w:rPr>
          <w:sz w:val="16"/>
          <w:szCs w:val="16"/>
          <w:lang w:val="nl-NL"/>
        </w:rPr>
      </w:pPr>
      <w:r w:rsidRPr="00336166">
        <w:rPr>
          <w:rStyle w:val="Voetnootmarkering"/>
          <w:sz w:val="16"/>
          <w:szCs w:val="16"/>
        </w:rPr>
        <w:footnoteRef/>
      </w:r>
      <w:r w:rsidRPr="00336166">
        <w:rPr>
          <w:sz w:val="16"/>
          <w:szCs w:val="16"/>
          <w:lang w:val="nl-NL"/>
        </w:rPr>
        <w:t xml:space="preserve"> </w:t>
      </w:r>
      <w:r w:rsidR="007E584C" w:rsidRPr="007E584C">
        <w:rPr>
          <w:sz w:val="16"/>
          <w:szCs w:val="16"/>
          <w:lang w:val="nl-NL"/>
        </w:rPr>
        <w:t>De G7 bestaat uit Canada, Duitsland, Frankrijk, Italië, Japan, het Verenigd Koninkrijk en de Verenigde Staten. De Europese Unie neemt ook deel aan de G7.</w:t>
      </w:r>
    </w:p>
  </w:footnote>
  <w:footnote w:id="5">
    <w:p w14:paraId="7E15044D" w14:textId="593CC273" w:rsidR="00742B12" w:rsidRPr="00336166" w:rsidRDefault="00742B12">
      <w:pPr>
        <w:pStyle w:val="Voetnoottekst"/>
        <w:rPr>
          <w:sz w:val="16"/>
          <w:szCs w:val="16"/>
          <w:lang w:val="nl-NL"/>
        </w:rPr>
      </w:pPr>
      <w:r w:rsidRPr="00336166">
        <w:rPr>
          <w:rStyle w:val="Voetnootmarkering"/>
          <w:sz w:val="16"/>
          <w:szCs w:val="16"/>
        </w:rPr>
        <w:footnoteRef/>
      </w:r>
      <w:r w:rsidRPr="00336166">
        <w:rPr>
          <w:sz w:val="16"/>
          <w:szCs w:val="16"/>
          <w:lang w:val="nl-NL"/>
        </w:rPr>
        <w:t xml:space="preserve"> </w:t>
      </w:r>
      <w:hyperlink r:id="rId1" w:history="1">
        <w:r w:rsidR="00E91DC4" w:rsidRPr="00901DDA">
          <w:rPr>
            <w:rStyle w:val="Hyperlink"/>
            <w:sz w:val="16"/>
            <w:szCs w:val="16"/>
            <w:lang w:val="nl-NL"/>
          </w:rPr>
          <w:t>https://www.consilium.europa.eu/en/press/press-releases/2024/06/14/g7-leaders-communique-borgo-egnazia-italy-13-15-june-2024/</w:t>
        </w:r>
      </w:hyperlink>
      <w:r w:rsidR="00E91DC4">
        <w:rPr>
          <w:sz w:val="16"/>
          <w:szCs w:val="16"/>
          <w:lang w:val="nl-NL"/>
        </w:rPr>
        <w:t xml:space="preserve">. </w:t>
      </w:r>
    </w:p>
  </w:footnote>
  <w:footnote w:id="6">
    <w:p w14:paraId="4E9D05C6" w14:textId="1650C987" w:rsidR="007D410E" w:rsidRPr="00D66F30" w:rsidRDefault="007D410E" w:rsidP="007D410E">
      <w:pPr>
        <w:pStyle w:val="Voetnoottekst"/>
        <w:rPr>
          <w:sz w:val="16"/>
          <w:szCs w:val="16"/>
          <w:lang w:val="nl-NL"/>
        </w:rPr>
      </w:pPr>
      <w:r w:rsidRPr="00336166">
        <w:rPr>
          <w:rStyle w:val="Voetnootmarkering"/>
          <w:sz w:val="16"/>
          <w:szCs w:val="16"/>
        </w:rPr>
        <w:footnoteRef/>
      </w:r>
      <w:r w:rsidRPr="00336166">
        <w:rPr>
          <w:sz w:val="16"/>
          <w:szCs w:val="16"/>
          <w:lang w:val="nl-NL"/>
        </w:rPr>
        <w:t xml:space="preserve"> </w:t>
      </w:r>
      <w:hyperlink r:id="rId2" w:history="1">
        <w:r w:rsidR="00D66F30" w:rsidRPr="00901DDA">
          <w:rPr>
            <w:rStyle w:val="Hyperlink"/>
            <w:sz w:val="16"/>
            <w:szCs w:val="16"/>
            <w:lang w:val="nl-NL"/>
          </w:rPr>
          <w:t>https://www.rijksoverheid.nl/documenten/publicaties/2024/08/27/bijlage-1-verslag-eurogroep-en-ecofinraad-15-en-16-juli-2024</w:t>
        </w:r>
      </w:hyperlink>
      <w:r w:rsidR="00D66F30">
        <w:rPr>
          <w:sz w:val="16"/>
          <w:szCs w:val="16"/>
          <w:lang w:val="nl-NL"/>
        </w:rPr>
        <w:t xml:space="preserve">. </w:t>
      </w:r>
    </w:p>
  </w:footnote>
  <w:footnote w:id="7">
    <w:p w14:paraId="78F35052" w14:textId="238B8570" w:rsidR="007D410E" w:rsidRPr="00436E02" w:rsidRDefault="007D410E" w:rsidP="007D410E">
      <w:pPr>
        <w:pStyle w:val="Voetnoottekst"/>
        <w:rPr>
          <w:sz w:val="16"/>
          <w:szCs w:val="16"/>
          <w:lang w:val="nl-NL"/>
        </w:rPr>
      </w:pPr>
      <w:r w:rsidRPr="00336166">
        <w:rPr>
          <w:rStyle w:val="Voetnootmarkering"/>
          <w:sz w:val="16"/>
          <w:szCs w:val="16"/>
        </w:rPr>
        <w:footnoteRef/>
      </w:r>
      <w:r w:rsidRPr="00436E02">
        <w:rPr>
          <w:sz w:val="16"/>
          <w:szCs w:val="16"/>
          <w:lang w:val="nl-NL"/>
        </w:rPr>
        <w:t xml:space="preserve"> Kamerstuk 21501-02-2917</w:t>
      </w:r>
      <w:r w:rsidR="009B7F08" w:rsidRPr="00436E02">
        <w:rPr>
          <w:sz w:val="16"/>
          <w:szCs w:val="16"/>
          <w:lang w:val="nl-NL"/>
        </w:rPr>
        <w:t>.</w:t>
      </w:r>
    </w:p>
  </w:footnote>
  <w:footnote w:id="8">
    <w:p w14:paraId="651D266E" w14:textId="49A82197" w:rsidR="00EA5735" w:rsidRPr="00436E02" w:rsidRDefault="00EA5735">
      <w:pPr>
        <w:pStyle w:val="Voetnoottekst"/>
        <w:rPr>
          <w:sz w:val="16"/>
          <w:szCs w:val="16"/>
          <w:lang w:val="nl-NL"/>
        </w:rPr>
      </w:pPr>
      <w:r w:rsidRPr="00336166">
        <w:rPr>
          <w:rStyle w:val="Voetnootmarkering"/>
          <w:sz w:val="16"/>
          <w:szCs w:val="16"/>
        </w:rPr>
        <w:footnoteRef/>
      </w:r>
      <w:r w:rsidRPr="00436E02">
        <w:rPr>
          <w:sz w:val="16"/>
          <w:szCs w:val="16"/>
          <w:lang w:val="nl-NL"/>
        </w:rPr>
        <w:t xml:space="preserve"> </w:t>
      </w:r>
      <w:hyperlink r:id="rId3" w:history="1">
        <w:r w:rsidRPr="00436E02">
          <w:rPr>
            <w:rStyle w:val="Hyperlink"/>
            <w:sz w:val="16"/>
            <w:szCs w:val="16"/>
            <w:lang w:val="nl-NL"/>
          </w:rPr>
          <w:t>EUR-Lex - 52024PC0426 - EN - EUR-Lex (europa.eu)</w:t>
        </w:r>
      </w:hyperlink>
    </w:p>
  </w:footnote>
  <w:footnote w:id="9">
    <w:p w14:paraId="1509E1D7" w14:textId="77777777" w:rsidR="000146A4" w:rsidRPr="00F67B5B" w:rsidRDefault="000146A4" w:rsidP="000146A4">
      <w:pPr>
        <w:spacing w:line="240" w:lineRule="auto"/>
        <w:contextualSpacing/>
        <w:rPr>
          <w:sz w:val="16"/>
          <w:szCs w:val="16"/>
          <w:lang w:val="nl-NL"/>
        </w:rPr>
      </w:pPr>
      <w:r w:rsidRPr="00336166">
        <w:rPr>
          <w:rStyle w:val="Voetnootmarkering"/>
          <w:sz w:val="16"/>
          <w:szCs w:val="16"/>
        </w:rPr>
        <w:footnoteRef/>
      </w:r>
      <w:r w:rsidRPr="00336166">
        <w:rPr>
          <w:sz w:val="16"/>
          <w:szCs w:val="16"/>
          <w:lang w:val="nl-NL"/>
        </w:rPr>
        <w:t xml:space="preserve"> De uitleners hebben immers de zekerheid dat de Unie de leningen kan terugbetalen. Deze </w:t>
      </w:r>
      <w:proofErr w:type="spellStart"/>
      <w:r w:rsidRPr="00336166">
        <w:rPr>
          <w:sz w:val="16"/>
          <w:szCs w:val="16"/>
          <w:lang w:val="nl-NL"/>
        </w:rPr>
        <w:t>headroom</w:t>
      </w:r>
      <w:proofErr w:type="spellEnd"/>
      <w:r w:rsidRPr="00336166">
        <w:rPr>
          <w:sz w:val="16"/>
          <w:szCs w:val="16"/>
          <w:lang w:val="nl-NL"/>
        </w:rPr>
        <w:t xml:space="preserve"> mag niet worden ingezet voor reguliere Europese uitgaven, die moeten onder het MFK plaatsvinden.</w:t>
      </w:r>
    </w:p>
  </w:footnote>
  <w:footnote w:id="10">
    <w:p w14:paraId="5FFC20B6" w14:textId="77777777" w:rsidR="00EB43C1" w:rsidRPr="00F67B5B" w:rsidRDefault="00EB43C1" w:rsidP="00EB43C1">
      <w:pPr>
        <w:pStyle w:val="Voetnoottekst"/>
        <w:contextualSpacing/>
        <w:rPr>
          <w:rFonts w:cs="Times New Roman"/>
          <w:sz w:val="16"/>
          <w:szCs w:val="16"/>
          <w:lang w:val="nl-NL" w:eastAsia="nl-NL"/>
        </w:rPr>
      </w:pPr>
      <w:r w:rsidRPr="00F67B5B">
        <w:rPr>
          <w:rStyle w:val="Voetnootmarkering"/>
          <w:sz w:val="16"/>
          <w:szCs w:val="16"/>
        </w:rPr>
        <w:footnoteRef/>
      </w:r>
      <w:r w:rsidRPr="00F67B5B">
        <w:rPr>
          <w:sz w:val="16"/>
          <w:szCs w:val="16"/>
          <w:lang w:val="nl-NL"/>
        </w:rPr>
        <w:t xml:space="preserve"> Kamerstukken II, 2021-2022, 36048, nr. 3.</w:t>
      </w:r>
    </w:p>
  </w:footnote>
  <w:footnote w:id="11">
    <w:p w14:paraId="7B46DE4A" w14:textId="03DD8CAE" w:rsidR="001B3821" w:rsidRPr="00CB3921" w:rsidRDefault="001B3821" w:rsidP="002344FF">
      <w:pPr>
        <w:pStyle w:val="Voetnoottekst"/>
        <w:contextualSpacing/>
        <w:rPr>
          <w:sz w:val="16"/>
          <w:szCs w:val="16"/>
          <w:lang w:val="nl-NL"/>
        </w:rPr>
      </w:pPr>
      <w:r w:rsidRPr="00F67B5B">
        <w:rPr>
          <w:rStyle w:val="Voetnootmarkering"/>
          <w:sz w:val="16"/>
          <w:szCs w:val="16"/>
        </w:rPr>
        <w:footnoteRef/>
      </w:r>
      <w:r w:rsidRPr="00F67B5B">
        <w:rPr>
          <w:sz w:val="16"/>
          <w:szCs w:val="16"/>
          <w:lang w:val="nl-NL"/>
        </w:rPr>
        <w:t xml:space="preserve"> </w:t>
      </w:r>
      <w:hyperlink r:id="rId4" w:history="1">
        <w:r w:rsidR="00CB3921" w:rsidRPr="00CB3921">
          <w:rPr>
            <w:rStyle w:val="Hyperlink"/>
            <w:sz w:val="16"/>
            <w:szCs w:val="16"/>
            <w:lang w:val="nl-NL"/>
          </w:rPr>
          <w:t>https://www.rijksoverheid.nl/documenten/kamerstukken/2022/08/31/kamerbrief-nederlandse-lening-aan-oekraine-via-imf</w:t>
        </w:r>
      </w:hyperlink>
      <w:r w:rsidR="00CB3921" w:rsidRPr="00CB3921">
        <w:rPr>
          <w:sz w:val="16"/>
          <w:szCs w:val="16"/>
          <w:lang w:val="nl-NL"/>
        </w:rPr>
        <w:t>.</w:t>
      </w:r>
      <w:r w:rsidR="00CB3921">
        <w:rPr>
          <w:lang w:val="nl-NL"/>
        </w:rPr>
        <w:t xml:space="preserve"> </w:t>
      </w:r>
    </w:p>
  </w:footnote>
  <w:footnote w:id="12">
    <w:p w14:paraId="20EFEAE7" w14:textId="77777777" w:rsidR="006A4E80" w:rsidRPr="00810F81" w:rsidRDefault="006A4E80" w:rsidP="006A4E80">
      <w:pPr>
        <w:pStyle w:val="Voetnoottekst"/>
        <w:rPr>
          <w:sz w:val="16"/>
          <w:szCs w:val="16"/>
          <w:lang w:val="nl-NL"/>
        </w:rPr>
      </w:pPr>
      <w:r w:rsidRPr="00810F81">
        <w:rPr>
          <w:rStyle w:val="Voetnootmarkering"/>
          <w:sz w:val="16"/>
          <w:szCs w:val="16"/>
        </w:rPr>
        <w:footnoteRef/>
      </w:r>
      <w:r w:rsidRPr="00810F81">
        <w:rPr>
          <w:sz w:val="16"/>
          <w:szCs w:val="16"/>
          <w:lang w:val="nl-NL"/>
        </w:rPr>
        <w:t xml:space="preserve"> De Wereldbank raamt de wederopbouwnoden op USD 486 mld. over de komende tien jaar. </w:t>
      </w:r>
    </w:p>
  </w:footnote>
  <w:footnote w:id="13">
    <w:p w14:paraId="39E6082A" w14:textId="77777777" w:rsidR="00E61CD4" w:rsidRPr="00703D5F" w:rsidRDefault="00E61CD4" w:rsidP="00E61CD4">
      <w:pPr>
        <w:pStyle w:val="Voetnoottekst"/>
        <w:rPr>
          <w:sz w:val="16"/>
          <w:szCs w:val="16"/>
          <w:lang w:val="nl-NL"/>
        </w:rPr>
      </w:pPr>
      <w:r w:rsidRPr="00703D5F">
        <w:rPr>
          <w:rStyle w:val="Voetnootmarkering"/>
          <w:sz w:val="16"/>
          <w:szCs w:val="16"/>
        </w:rPr>
        <w:footnoteRef/>
      </w:r>
      <w:r w:rsidRPr="00703D5F">
        <w:rPr>
          <w:sz w:val="16"/>
          <w:szCs w:val="16"/>
          <w:lang w:val="nl-NL"/>
        </w:rPr>
        <w:t xml:space="preserve"> VERORDENING (EU) Nr. 182/2011 VAN HET EUROPEES PARLEMENT EN DE RAAD</w:t>
      </w:r>
    </w:p>
    <w:p w14:paraId="242BAADD" w14:textId="443264D3" w:rsidR="00E61CD4" w:rsidRPr="00E61CD4" w:rsidRDefault="00E61CD4" w:rsidP="00E61CD4">
      <w:pPr>
        <w:pStyle w:val="Voetnoottekst"/>
        <w:rPr>
          <w:lang w:val="nl-NL"/>
        </w:rPr>
      </w:pPr>
      <w:proofErr w:type="gramStart"/>
      <w:r w:rsidRPr="00703D5F">
        <w:rPr>
          <w:sz w:val="16"/>
          <w:szCs w:val="16"/>
          <w:lang w:val="nl-NL"/>
        </w:rPr>
        <w:t>van</w:t>
      </w:r>
      <w:proofErr w:type="gramEnd"/>
      <w:r w:rsidRPr="00703D5F">
        <w:rPr>
          <w:sz w:val="16"/>
          <w:szCs w:val="16"/>
          <w:lang w:val="nl-NL"/>
        </w:rPr>
        <w:t xml:space="preserve"> 16 februari 2011 tot vaststelling van de algemene voorschriften en beginselen die van toepassing zijn op de wijze waarop de lidstaten de uitoefening van de uitvoeringsbevoegdheden door de Commissie controleren.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F621C"/>
    <w:multiLevelType w:val="hybridMultilevel"/>
    <w:tmpl w:val="C096B5C0"/>
    <w:lvl w:ilvl="0" w:tplc="B2445C34">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587CEB"/>
    <w:multiLevelType w:val="hybridMultilevel"/>
    <w:tmpl w:val="C334328E"/>
    <w:lvl w:ilvl="0" w:tplc="0413000F">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026D28"/>
    <w:multiLevelType w:val="hybridMultilevel"/>
    <w:tmpl w:val="18724C72"/>
    <w:lvl w:ilvl="0" w:tplc="D034D54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1BCC061F"/>
    <w:multiLevelType w:val="hybridMultilevel"/>
    <w:tmpl w:val="25102F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CF10975"/>
    <w:multiLevelType w:val="hybridMultilevel"/>
    <w:tmpl w:val="3914324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10B4C0A"/>
    <w:multiLevelType w:val="hybridMultilevel"/>
    <w:tmpl w:val="2FA8ABC6"/>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98C09C2"/>
    <w:multiLevelType w:val="hybridMultilevel"/>
    <w:tmpl w:val="505AF7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EED77EF"/>
    <w:multiLevelType w:val="hybridMultilevel"/>
    <w:tmpl w:val="E514D7B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A870329"/>
    <w:multiLevelType w:val="hybridMultilevel"/>
    <w:tmpl w:val="180CC4E4"/>
    <w:lvl w:ilvl="0" w:tplc="88E081A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7387516B"/>
    <w:multiLevelType w:val="hybridMultilevel"/>
    <w:tmpl w:val="00D678AE"/>
    <w:lvl w:ilvl="0" w:tplc="10A2610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70225438">
    <w:abstractNumId w:val="3"/>
  </w:num>
  <w:num w:numId="2" w16cid:durableId="1310986009">
    <w:abstractNumId w:val="1"/>
  </w:num>
  <w:num w:numId="3" w16cid:durableId="1937056809">
    <w:abstractNumId w:val="5"/>
  </w:num>
  <w:num w:numId="4" w16cid:durableId="1097289210">
    <w:abstractNumId w:val="7"/>
  </w:num>
  <w:num w:numId="5" w16cid:durableId="292643365">
    <w:abstractNumId w:val="0"/>
  </w:num>
  <w:num w:numId="6" w16cid:durableId="1098792985">
    <w:abstractNumId w:val="4"/>
  </w:num>
  <w:num w:numId="7" w16cid:durableId="2041011310">
    <w:abstractNumId w:val="2"/>
  </w:num>
  <w:num w:numId="8" w16cid:durableId="553002442">
    <w:abstractNumId w:val="6"/>
  </w:num>
  <w:num w:numId="9" w16cid:durableId="1081098496">
    <w:abstractNumId w:val="9"/>
  </w:num>
  <w:num w:numId="10" w16cid:durableId="7424851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5DA"/>
    <w:rsid w:val="00000085"/>
    <w:rsid w:val="00003574"/>
    <w:rsid w:val="000075AB"/>
    <w:rsid w:val="00007928"/>
    <w:rsid w:val="0001061C"/>
    <w:rsid w:val="00011891"/>
    <w:rsid w:val="000133D8"/>
    <w:rsid w:val="000146A4"/>
    <w:rsid w:val="00021176"/>
    <w:rsid w:val="00023BBD"/>
    <w:rsid w:val="000242CE"/>
    <w:rsid w:val="00024C8A"/>
    <w:rsid w:val="00043736"/>
    <w:rsid w:val="000471E6"/>
    <w:rsid w:val="00052C85"/>
    <w:rsid w:val="00054017"/>
    <w:rsid w:val="00055084"/>
    <w:rsid w:val="0005510C"/>
    <w:rsid w:val="00060E3B"/>
    <w:rsid w:val="00063FE1"/>
    <w:rsid w:val="00067615"/>
    <w:rsid w:val="000712CB"/>
    <w:rsid w:val="0007253F"/>
    <w:rsid w:val="00072DA6"/>
    <w:rsid w:val="00081CBC"/>
    <w:rsid w:val="00085052"/>
    <w:rsid w:val="000908AB"/>
    <w:rsid w:val="000A208E"/>
    <w:rsid w:val="000A5389"/>
    <w:rsid w:val="000A7136"/>
    <w:rsid w:val="000B4618"/>
    <w:rsid w:val="000B4E6C"/>
    <w:rsid w:val="000B53D7"/>
    <w:rsid w:val="000B57D2"/>
    <w:rsid w:val="000C2144"/>
    <w:rsid w:val="000C26CB"/>
    <w:rsid w:val="000C4A54"/>
    <w:rsid w:val="000C51EC"/>
    <w:rsid w:val="000C5642"/>
    <w:rsid w:val="000D0858"/>
    <w:rsid w:val="000D08E6"/>
    <w:rsid w:val="000D091D"/>
    <w:rsid w:val="000E2661"/>
    <w:rsid w:val="000E44D0"/>
    <w:rsid w:val="000F5D4A"/>
    <w:rsid w:val="000F657F"/>
    <w:rsid w:val="00101DF2"/>
    <w:rsid w:val="00102916"/>
    <w:rsid w:val="00103437"/>
    <w:rsid w:val="00106F4A"/>
    <w:rsid w:val="00112289"/>
    <w:rsid w:val="00114264"/>
    <w:rsid w:val="001175E6"/>
    <w:rsid w:val="00125E9B"/>
    <w:rsid w:val="001311D8"/>
    <w:rsid w:val="00131559"/>
    <w:rsid w:val="0014250C"/>
    <w:rsid w:val="00150E21"/>
    <w:rsid w:val="00153503"/>
    <w:rsid w:val="00154947"/>
    <w:rsid w:val="00155C06"/>
    <w:rsid w:val="00160BE8"/>
    <w:rsid w:val="00164193"/>
    <w:rsid w:val="00170800"/>
    <w:rsid w:val="00170D08"/>
    <w:rsid w:val="00171267"/>
    <w:rsid w:val="00172C81"/>
    <w:rsid w:val="00174BD1"/>
    <w:rsid w:val="0018066D"/>
    <w:rsid w:val="00180F89"/>
    <w:rsid w:val="0018182C"/>
    <w:rsid w:val="001838D6"/>
    <w:rsid w:val="00184F8A"/>
    <w:rsid w:val="00185766"/>
    <w:rsid w:val="001872C4"/>
    <w:rsid w:val="00187B99"/>
    <w:rsid w:val="0019173C"/>
    <w:rsid w:val="00192379"/>
    <w:rsid w:val="0019401E"/>
    <w:rsid w:val="001943A9"/>
    <w:rsid w:val="00197B90"/>
    <w:rsid w:val="001A0A86"/>
    <w:rsid w:val="001A3924"/>
    <w:rsid w:val="001A4F00"/>
    <w:rsid w:val="001A5849"/>
    <w:rsid w:val="001B3821"/>
    <w:rsid w:val="001B4E60"/>
    <w:rsid w:val="001C1572"/>
    <w:rsid w:val="001C1C06"/>
    <w:rsid w:val="001C40AE"/>
    <w:rsid w:val="001C4C5B"/>
    <w:rsid w:val="001C5A00"/>
    <w:rsid w:val="001D0E33"/>
    <w:rsid w:val="001D1147"/>
    <w:rsid w:val="001D16C8"/>
    <w:rsid w:val="001D44B4"/>
    <w:rsid w:val="001D74FB"/>
    <w:rsid w:val="001E0554"/>
    <w:rsid w:val="001E332D"/>
    <w:rsid w:val="001E38BC"/>
    <w:rsid w:val="001E38D2"/>
    <w:rsid w:val="001E40CD"/>
    <w:rsid w:val="001E4146"/>
    <w:rsid w:val="001E6A24"/>
    <w:rsid w:val="001F017F"/>
    <w:rsid w:val="00203E68"/>
    <w:rsid w:val="00205ACD"/>
    <w:rsid w:val="00206A2B"/>
    <w:rsid w:val="002122E8"/>
    <w:rsid w:val="00220AD4"/>
    <w:rsid w:val="00232D20"/>
    <w:rsid w:val="00233E55"/>
    <w:rsid w:val="002344FF"/>
    <w:rsid w:val="00243575"/>
    <w:rsid w:val="00253F5F"/>
    <w:rsid w:val="00272A81"/>
    <w:rsid w:val="00272CA9"/>
    <w:rsid w:val="002765BB"/>
    <w:rsid w:val="00276C75"/>
    <w:rsid w:val="00285349"/>
    <w:rsid w:val="0029312A"/>
    <w:rsid w:val="002A1B02"/>
    <w:rsid w:val="002A38A1"/>
    <w:rsid w:val="002B0AA6"/>
    <w:rsid w:val="002B0EDB"/>
    <w:rsid w:val="002B484C"/>
    <w:rsid w:val="002B7CA6"/>
    <w:rsid w:val="002C15CA"/>
    <w:rsid w:val="002C434D"/>
    <w:rsid w:val="002C6297"/>
    <w:rsid w:val="002D0725"/>
    <w:rsid w:val="002D74C3"/>
    <w:rsid w:val="002E1F05"/>
    <w:rsid w:val="002F0E5B"/>
    <w:rsid w:val="002F1D05"/>
    <w:rsid w:val="002F28A5"/>
    <w:rsid w:val="002F378F"/>
    <w:rsid w:val="002F3B85"/>
    <w:rsid w:val="002F3D26"/>
    <w:rsid w:val="00306B85"/>
    <w:rsid w:val="00313EF2"/>
    <w:rsid w:val="0031405A"/>
    <w:rsid w:val="00315F9C"/>
    <w:rsid w:val="00316F23"/>
    <w:rsid w:val="003176E2"/>
    <w:rsid w:val="003203ED"/>
    <w:rsid w:val="00321490"/>
    <w:rsid w:val="00324FD6"/>
    <w:rsid w:val="0032590C"/>
    <w:rsid w:val="00332BAF"/>
    <w:rsid w:val="00336166"/>
    <w:rsid w:val="00340F8F"/>
    <w:rsid w:val="003451B7"/>
    <w:rsid w:val="00347A94"/>
    <w:rsid w:val="0035062F"/>
    <w:rsid w:val="003521AE"/>
    <w:rsid w:val="00354445"/>
    <w:rsid w:val="003565EF"/>
    <w:rsid w:val="00356D71"/>
    <w:rsid w:val="00357611"/>
    <w:rsid w:val="003623FB"/>
    <w:rsid w:val="00364D59"/>
    <w:rsid w:val="00364FD3"/>
    <w:rsid w:val="0036563A"/>
    <w:rsid w:val="00371AE4"/>
    <w:rsid w:val="00383038"/>
    <w:rsid w:val="00383CAE"/>
    <w:rsid w:val="00386AC5"/>
    <w:rsid w:val="0039051D"/>
    <w:rsid w:val="003949CA"/>
    <w:rsid w:val="00395F31"/>
    <w:rsid w:val="00396405"/>
    <w:rsid w:val="003A59CB"/>
    <w:rsid w:val="003B6240"/>
    <w:rsid w:val="003B685A"/>
    <w:rsid w:val="003B7090"/>
    <w:rsid w:val="003C099C"/>
    <w:rsid w:val="003C4C27"/>
    <w:rsid w:val="003C514C"/>
    <w:rsid w:val="003C6293"/>
    <w:rsid w:val="003D141B"/>
    <w:rsid w:val="003F723E"/>
    <w:rsid w:val="00401AD2"/>
    <w:rsid w:val="00410E26"/>
    <w:rsid w:val="00421EDF"/>
    <w:rsid w:val="00427452"/>
    <w:rsid w:val="00432F3D"/>
    <w:rsid w:val="00435038"/>
    <w:rsid w:val="004364FA"/>
    <w:rsid w:val="00436E02"/>
    <w:rsid w:val="004458AD"/>
    <w:rsid w:val="00462F59"/>
    <w:rsid w:val="00463BFF"/>
    <w:rsid w:val="00470339"/>
    <w:rsid w:val="00473D41"/>
    <w:rsid w:val="00474A46"/>
    <w:rsid w:val="00483718"/>
    <w:rsid w:val="00486BAF"/>
    <w:rsid w:val="00487DF2"/>
    <w:rsid w:val="004907A6"/>
    <w:rsid w:val="004A3C61"/>
    <w:rsid w:val="004A551B"/>
    <w:rsid w:val="004A5805"/>
    <w:rsid w:val="004A5D06"/>
    <w:rsid w:val="004B5F47"/>
    <w:rsid w:val="004C22C1"/>
    <w:rsid w:val="004C3DEF"/>
    <w:rsid w:val="004C464A"/>
    <w:rsid w:val="004C4791"/>
    <w:rsid w:val="004C517E"/>
    <w:rsid w:val="004D0BDA"/>
    <w:rsid w:val="004D1273"/>
    <w:rsid w:val="004D1858"/>
    <w:rsid w:val="004D1BE6"/>
    <w:rsid w:val="004D2DD1"/>
    <w:rsid w:val="004D5461"/>
    <w:rsid w:val="004D5C98"/>
    <w:rsid w:val="004D6470"/>
    <w:rsid w:val="004E0B66"/>
    <w:rsid w:val="004E51F1"/>
    <w:rsid w:val="004E52C1"/>
    <w:rsid w:val="004E5B29"/>
    <w:rsid w:val="004E6366"/>
    <w:rsid w:val="004F073D"/>
    <w:rsid w:val="004F191C"/>
    <w:rsid w:val="004F4FCC"/>
    <w:rsid w:val="004F6118"/>
    <w:rsid w:val="004F77D4"/>
    <w:rsid w:val="00514484"/>
    <w:rsid w:val="00517720"/>
    <w:rsid w:val="00517C77"/>
    <w:rsid w:val="00517D7B"/>
    <w:rsid w:val="00517F5D"/>
    <w:rsid w:val="00521854"/>
    <w:rsid w:val="00521A4B"/>
    <w:rsid w:val="00522F1E"/>
    <w:rsid w:val="005230ED"/>
    <w:rsid w:val="00525D97"/>
    <w:rsid w:val="005308CF"/>
    <w:rsid w:val="00531D4A"/>
    <w:rsid w:val="00532952"/>
    <w:rsid w:val="00534049"/>
    <w:rsid w:val="005377A1"/>
    <w:rsid w:val="00541C53"/>
    <w:rsid w:val="00544BF4"/>
    <w:rsid w:val="005464D1"/>
    <w:rsid w:val="00550651"/>
    <w:rsid w:val="00551844"/>
    <w:rsid w:val="00567EFD"/>
    <w:rsid w:val="00570488"/>
    <w:rsid w:val="005719F0"/>
    <w:rsid w:val="00574B39"/>
    <w:rsid w:val="00577CE7"/>
    <w:rsid w:val="00584835"/>
    <w:rsid w:val="005864F5"/>
    <w:rsid w:val="00597AAA"/>
    <w:rsid w:val="005A3EE7"/>
    <w:rsid w:val="005A605B"/>
    <w:rsid w:val="005B104F"/>
    <w:rsid w:val="005C39DA"/>
    <w:rsid w:val="005C46E6"/>
    <w:rsid w:val="005D3D29"/>
    <w:rsid w:val="005D3F91"/>
    <w:rsid w:val="005D68F7"/>
    <w:rsid w:val="005E0124"/>
    <w:rsid w:val="005E1B68"/>
    <w:rsid w:val="005E30F0"/>
    <w:rsid w:val="005F0DE4"/>
    <w:rsid w:val="005F0E5F"/>
    <w:rsid w:val="005F6D45"/>
    <w:rsid w:val="005F7713"/>
    <w:rsid w:val="006014E4"/>
    <w:rsid w:val="0060365F"/>
    <w:rsid w:val="00604F24"/>
    <w:rsid w:val="00607A64"/>
    <w:rsid w:val="0061626C"/>
    <w:rsid w:val="00617295"/>
    <w:rsid w:val="00622280"/>
    <w:rsid w:val="0062343B"/>
    <w:rsid w:val="00625FCC"/>
    <w:rsid w:val="00626989"/>
    <w:rsid w:val="00631F3C"/>
    <w:rsid w:val="0063527A"/>
    <w:rsid w:val="00637143"/>
    <w:rsid w:val="00641238"/>
    <w:rsid w:val="00644DAC"/>
    <w:rsid w:val="00645390"/>
    <w:rsid w:val="0064649D"/>
    <w:rsid w:val="0065478F"/>
    <w:rsid w:val="00655851"/>
    <w:rsid w:val="00657045"/>
    <w:rsid w:val="00663DC4"/>
    <w:rsid w:val="00667F8F"/>
    <w:rsid w:val="0067162F"/>
    <w:rsid w:val="00672B0B"/>
    <w:rsid w:val="00682768"/>
    <w:rsid w:val="006839A6"/>
    <w:rsid w:val="006854E7"/>
    <w:rsid w:val="00687853"/>
    <w:rsid w:val="006931CB"/>
    <w:rsid w:val="006965F3"/>
    <w:rsid w:val="006A34AB"/>
    <w:rsid w:val="006A3737"/>
    <w:rsid w:val="006A49A8"/>
    <w:rsid w:val="006A4E80"/>
    <w:rsid w:val="006B476D"/>
    <w:rsid w:val="006C2810"/>
    <w:rsid w:val="006C3516"/>
    <w:rsid w:val="006C3D57"/>
    <w:rsid w:val="006C4FEF"/>
    <w:rsid w:val="006D1140"/>
    <w:rsid w:val="006D76CA"/>
    <w:rsid w:val="006E4735"/>
    <w:rsid w:val="006F05A2"/>
    <w:rsid w:val="006F0E4D"/>
    <w:rsid w:val="006F7424"/>
    <w:rsid w:val="0070016A"/>
    <w:rsid w:val="00702AB8"/>
    <w:rsid w:val="00703D5F"/>
    <w:rsid w:val="00710A4E"/>
    <w:rsid w:val="00715C6F"/>
    <w:rsid w:val="0071637D"/>
    <w:rsid w:val="0071766B"/>
    <w:rsid w:val="00720AD4"/>
    <w:rsid w:val="00721B8A"/>
    <w:rsid w:val="007235B2"/>
    <w:rsid w:val="00723FA0"/>
    <w:rsid w:val="00731B06"/>
    <w:rsid w:val="007400CB"/>
    <w:rsid w:val="00742B12"/>
    <w:rsid w:val="00743AEA"/>
    <w:rsid w:val="00743FAC"/>
    <w:rsid w:val="00746EFB"/>
    <w:rsid w:val="007519F5"/>
    <w:rsid w:val="007568DF"/>
    <w:rsid w:val="007607FE"/>
    <w:rsid w:val="007626BB"/>
    <w:rsid w:val="00763A74"/>
    <w:rsid w:val="007673EB"/>
    <w:rsid w:val="007713D8"/>
    <w:rsid w:val="007719DA"/>
    <w:rsid w:val="00771EDF"/>
    <w:rsid w:val="0077334B"/>
    <w:rsid w:val="007855F5"/>
    <w:rsid w:val="00786138"/>
    <w:rsid w:val="00795B5C"/>
    <w:rsid w:val="007A044B"/>
    <w:rsid w:val="007A6DDC"/>
    <w:rsid w:val="007A7A82"/>
    <w:rsid w:val="007B5D59"/>
    <w:rsid w:val="007B6BB6"/>
    <w:rsid w:val="007C2FEF"/>
    <w:rsid w:val="007C5358"/>
    <w:rsid w:val="007C5D5B"/>
    <w:rsid w:val="007C749A"/>
    <w:rsid w:val="007D013D"/>
    <w:rsid w:val="007D2DE9"/>
    <w:rsid w:val="007D410E"/>
    <w:rsid w:val="007E1256"/>
    <w:rsid w:val="007E1601"/>
    <w:rsid w:val="007E4AB6"/>
    <w:rsid w:val="007E584C"/>
    <w:rsid w:val="007E6290"/>
    <w:rsid w:val="007F5BDB"/>
    <w:rsid w:val="008024AF"/>
    <w:rsid w:val="00810F81"/>
    <w:rsid w:val="0082735C"/>
    <w:rsid w:val="008324B9"/>
    <w:rsid w:val="008407D9"/>
    <w:rsid w:val="008409D4"/>
    <w:rsid w:val="008437DA"/>
    <w:rsid w:val="0085060B"/>
    <w:rsid w:val="008510D8"/>
    <w:rsid w:val="00853F1B"/>
    <w:rsid w:val="00867895"/>
    <w:rsid w:val="00874BD4"/>
    <w:rsid w:val="00880095"/>
    <w:rsid w:val="0088162F"/>
    <w:rsid w:val="00892C75"/>
    <w:rsid w:val="008947C9"/>
    <w:rsid w:val="008A69E1"/>
    <w:rsid w:val="008B0894"/>
    <w:rsid w:val="008B2951"/>
    <w:rsid w:val="008B3934"/>
    <w:rsid w:val="008B4EBB"/>
    <w:rsid w:val="008C6E61"/>
    <w:rsid w:val="008D5939"/>
    <w:rsid w:val="008D5C55"/>
    <w:rsid w:val="008D630E"/>
    <w:rsid w:val="008D788F"/>
    <w:rsid w:val="008E35A1"/>
    <w:rsid w:val="008E4336"/>
    <w:rsid w:val="008E4428"/>
    <w:rsid w:val="008F6C12"/>
    <w:rsid w:val="009003BB"/>
    <w:rsid w:val="00904003"/>
    <w:rsid w:val="00906678"/>
    <w:rsid w:val="00912A0C"/>
    <w:rsid w:val="00913578"/>
    <w:rsid w:val="009257E0"/>
    <w:rsid w:val="00927CEF"/>
    <w:rsid w:val="00931F9D"/>
    <w:rsid w:val="009334BC"/>
    <w:rsid w:val="009367F5"/>
    <w:rsid w:val="00951833"/>
    <w:rsid w:val="0095230E"/>
    <w:rsid w:val="00952BDC"/>
    <w:rsid w:val="00954528"/>
    <w:rsid w:val="0095569F"/>
    <w:rsid w:val="00961C5F"/>
    <w:rsid w:val="00964889"/>
    <w:rsid w:val="009708E2"/>
    <w:rsid w:val="0097170E"/>
    <w:rsid w:val="009759FF"/>
    <w:rsid w:val="00977067"/>
    <w:rsid w:val="00981703"/>
    <w:rsid w:val="009903B0"/>
    <w:rsid w:val="00996A78"/>
    <w:rsid w:val="009A200A"/>
    <w:rsid w:val="009B368E"/>
    <w:rsid w:val="009B3B66"/>
    <w:rsid w:val="009B7F08"/>
    <w:rsid w:val="009C446D"/>
    <w:rsid w:val="009C6A1C"/>
    <w:rsid w:val="009D0021"/>
    <w:rsid w:val="009D26ED"/>
    <w:rsid w:val="009D5F49"/>
    <w:rsid w:val="009D75FB"/>
    <w:rsid w:val="009D788B"/>
    <w:rsid w:val="009E2BED"/>
    <w:rsid w:val="009E2F3D"/>
    <w:rsid w:val="009F03EE"/>
    <w:rsid w:val="009F4B5E"/>
    <w:rsid w:val="00A013DD"/>
    <w:rsid w:val="00A01C95"/>
    <w:rsid w:val="00A03D3F"/>
    <w:rsid w:val="00A060BD"/>
    <w:rsid w:val="00A064C4"/>
    <w:rsid w:val="00A13154"/>
    <w:rsid w:val="00A158CE"/>
    <w:rsid w:val="00A21D23"/>
    <w:rsid w:val="00A25820"/>
    <w:rsid w:val="00A2770D"/>
    <w:rsid w:val="00A368B7"/>
    <w:rsid w:val="00A37592"/>
    <w:rsid w:val="00A46118"/>
    <w:rsid w:val="00A60CCB"/>
    <w:rsid w:val="00A6352E"/>
    <w:rsid w:val="00A63A92"/>
    <w:rsid w:val="00A677E2"/>
    <w:rsid w:val="00A73A7C"/>
    <w:rsid w:val="00A74CD3"/>
    <w:rsid w:val="00A80D72"/>
    <w:rsid w:val="00A80D76"/>
    <w:rsid w:val="00A82FB5"/>
    <w:rsid w:val="00A91B26"/>
    <w:rsid w:val="00A957EA"/>
    <w:rsid w:val="00A9610E"/>
    <w:rsid w:val="00AA79BA"/>
    <w:rsid w:val="00AB7FEA"/>
    <w:rsid w:val="00AC1FD0"/>
    <w:rsid w:val="00AD044B"/>
    <w:rsid w:val="00AD14F8"/>
    <w:rsid w:val="00AD330D"/>
    <w:rsid w:val="00AE337B"/>
    <w:rsid w:val="00AE34F4"/>
    <w:rsid w:val="00AE3DFE"/>
    <w:rsid w:val="00AE4384"/>
    <w:rsid w:val="00AE67E4"/>
    <w:rsid w:val="00AE7CC3"/>
    <w:rsid w:val="00AF0340"/>
    <w:rsid w:val="00AF5A95"/>
    <w:rsid w:val="00B017F4"/>
    <w:rsid w:val="00B01F92"/>
    <w:rsid w:val="00B0232A"/>
    <w:rsid w:val="00B06701"/>
    <w:rsid w:val="00B15AEA"/>
    <w:rsid w:val="00B23BCD"/>
    <w:rsid w:val="00B266E6"/>
    <w:rsid w:val="00B27743"/>
    <w:rsid w:val="00B32D35"/>
    <w:rsid w:val="00B3462A"/>
    <w:rsid w:val="00B36403"/>
    <w:rsid w:val="00B36674"/>
    <w:rsid w:val="00B41059"/>
    <w:rsid w:val="00B44D05"/>
    <w:rsid w:val="00B4778A"/>
    <w:rsid w:val="00B60C63"/>
    <w:rsid w:val="00B737FC"/>
    <w:rsid w:val="00B763A7"/>
    <w:rsid w:val="00B76FF1"/>
    <w:rsid w:val="00B851BD"/>
    <w:rsid w:val="00B9798F"/>
    <w:rsid w:val="00B97E98"/>
    <w:rsid w:val="00BA1EFB"/>
    <w:rsid w:val="00BA3FE2"/>
    <w:rsid w:val="00BA5995"/>
    <w:rsid w:val="00BA743E"/>
    <w:rsid w:val="00BB34D1"/>
    <w:rsid w:val="00BB4B97"/>
    <w:rsid w:val="00BB7271"/>
    <w:rsid w:val="00BC4D31"/>
    <w:rsid w:val="00BC60F1"/>
    <w:rsid w:val="00BC6283"/>
    <w:rsid w:val="00BD0007"/>
    <w:rsid w:val="00BD1DD3"/>
    <w:rsid w:val="00BD6746"/>
    <w:rsid w:val="00BD7A09"/>
    <w:rsid w:val="00BE0305"/>
    <w:rsid w:val="00BE0891"/>
    <w:rsid w:val="00BE1AD2"/>
    <w:rsid w:val="00BE1BED"/>
    <w:rsid w:val="00BE72B3"/>
    <w:rsid w:val="00BF1476"/>
    <w:rsid w:val="00BF1D41"/>
    <w:rsid w:val="00BF1E6B"/>
    <w:rsid w:val="00BF2723"/>
    <w:rsid w:val="00BF2E4E"/>
    <w:rsid w:val="00BF7D51"/>
    <w:rsid w:val="00C0074D"/>
    <w:rsid w:val="00C03EBC"/>
    <w:rsid w:val="00C05285"/>
    <w:rsid w:val="00C076C6"/>
    <w:rsid w:val="00C10187"/>
    <w:rsid w:val="00C14FC7"/>
    <w:rsid w:val="00C23768"/>
    <w:rsid w:val="00C32A56"/>
    <w:rsid w:val="00C342D8"/>
    <w:rsid w:val="00C34972"/>
    <w:rsid w:val="00C428C1"/>
    <w:rsid w:val="00C46ADA"/>
    <w:rsid w:val="00C470EF"/>
    <w:rsid w:val="00C47E25"/>
    <w:rsid w:val="00C52BBF"/>
    <w:rsid w:val="00C52DB4"/>
    <w:rsid w:val="00C6493F"/>
    <w:rsid w:val="00C71B69"/>
    <w:rsid w:val="00C744D9"/>
    <w:rsid w:val="00C8141C"/>
    <w:rsid w:val="00C817DE"/>
    <w:rsid w:val="00C92067"/>
    <w:rsid w:val="00CA0664"/>
    <w:rsid w:val="00CA7215"/>
    <w:rsid w:val="00CB1D2F"/>
    <w:rsid w:val="00CB3393"/>
    <w:rsid w:val="00CB3921"/>
    <w:rsid w:val="00CB3D9E"/>
    <w:rsid w:val="00CB6CD1"/>
    <w:rsid w:val="00CC0D31"/>
    <w:rsid w:val="00CD041D"/>
    <w:rsid w:val="00CD1EA2"/>
    <w:rsid w:val="00CD5844"/>
    <w:rsid w:val="00CE62F3"/>
    <w:rsid w:val="00CE6F25"/>
    <w:rsid w:val="00CF002E"/>
    <w:rsid w:val="00CF0A75"/>
    <w:rsid w:val="00CF0D56"/>
    <w:rsid w:val="00CF5683"/>
    <w:rsid w:val="00D006C8"/>
    <w:rsid w:val="00D02172"/>
    <w:rsid w:val="00D04075"/>
    <w:rsid w:val="00D07F2A"/>
    <w:rsid w:val="00D1284D"/>
    <w:rsid w:val="00D1595C"/>
    <w:rsid w:val="00D211BB"/>
    <w:rsid w:val="00D2180E"/>
    <w:rsid w:val="00D25B2E"/>
    <w:rsid w:val="00D312B2"/>
    <w:rsid w:val="00D3150A"/>
    <w:rsid w:val="00D34E8E"/>
    <w:rsid w:val="00D442B2"/>
    <w:rsid w:val="00D467A7"/>
    <w:rsid w:val="00D478F2"/>
    <w:rsid w:val="00D5476B"/>
    <w:rsid w:val="00D56DC4"/>
    <w:rsid w:val="00D61080"/>
    <w:rsid w:val="00D66F30"/>
    <w:rsid w:val="00D7058D"/>
    <w:rsid w:val="00D74306"/>
    <w:rsid w:val="00D76D05"/>
    <w:rsid w:val="00D83901"/>
    <w:rsid w:val="00D8502A"/>
    <w:rsid w:val="00D92E5A"/>
    <w:rsid w:val="00DA5744"/>
    <w:rsid w:val="00DA65DA"/>
    <w:rsid w:val="00DB0577"/>
    <w:rsid w:val="00DB0796"/>
    <w:rsid w:val="00DB2C2E"/>
    <w:rsid w:val="00DB50E1"/>
    <w:rsid w:val="00DB5A7C"/>
    <w:rsid w:val="00DC3BC9"/>
    <w:rsid w:val="00DC7263"/>
    <w:rsid w:val="00DC7993"/>
    <w:rsid w:val="00DE28DA"/>
    <w:rsid w:val="00DE2CC3"/>
    <w:rsid w:val="00DE3529"/>
    <w:rsid w:val="00DE47E4"/>
    <w:rsid w:val="00DE636E"/>
    <w:rsid w:val="00DF28EE"/>
    <w:rsid w:val="00DF5DB8"/>
    <w:rsid w:val="00E004C6"/>
    <w:rsid w:val="00E0302C"/>
    <w:rsid w:val="00E06AFC"/>
    <w:rsid w:val="00E10EBD"/>
    <w:rsid w:val="00E13AE9"/>
    <w:rsid w:val="00E226F0"/>
    <w:rsid w:val="00E26FB0"/>
    <w:rsid w:val="00E31F09"/>
    <w:rsid w:val="00E32944"/>
    <w:rsid w:val="00E351AD"/>
    <w:rsid w:val="00E3575A"/>
    <w:rsid w:val="00E41419"/>
    <w:rsid w:val="00E43525"/>
    <w:rsid w:val="00E44F81"/>
    <w:rsid w:val="00E45787"/>
    <w:rsid w:val="00E556AF"/>
    <w:rsid w:val="00E56C01"/>
    <w:rsid w:val="00E61CD4"/>
    <w:rsid w:val="00E671E3"/>
    <w:rsid w:val="00E71CC7"/>
    <w:rsid w:val="00E801A0"/>
    <w:rsid w:val="00E85B57"/>
    <w:rsid w:val="00E902D5"/>
    <w:rsid w:val="00E91DC4"/>
    <w:rsid w:val="00E920CA"/>
    <w:rsid w:val="00E97935"/>
    <w:rsid w:val="00EA1585"/>
    <w:rsid w:val="00EA4322"/>
    <w:rsid w:val="00EA5735"/>
    <w:rsid w:val="00EA5EC2"/>
    <w:rsid w:val="00EB2B0D"/>
    <w:rsid w:val="00EB43C1"/>
    <w:rsid w:val="00EB5C74"/>
    <w:rsid w:val="00EC2F01"/>
    <w:rsid w:val="00EC4D99"/>
    <w:rsid w:val="00ED36E7"/>
    <w:rsid w:val="00ED685B"/>
    <w:rsid w:val="00EE4A60"/>
    <w:rsid w:val="00EF1804"/>
    <w:rsid w:val="00EF3B89"/>
    <w:rsid w:val="00EF5D79"/>
    <w:rsid w:val="00EF725D"/>
    <w:rsid w:val="00EF78AD"/>
    <w:rsid w:val="00F0344B"/>
    <w:rsid w:val="00F03BAF"/>
    <w:rsid w:val="00F06095"/>
    <w:rsid w:val="00F137AE"/>
    <w:rsid w:val="00F14A67"/>
    <w:rsid w:val="00F15C4D"/>
    <w:rsid w:val="00F17121"/>
    <w:rsid w:val="00F17304"/>
    <w:rsid w:val="00F178B8"/>
    <w:rsid w:val="00F20DD3"/>
    <w:rsid w:val="00F223AB"/>
    <w:rsid w:val="00F26908"/>
    <w:rsid w:val="00F27F46"/>
    <w:rsid w:val="00F338A9"/>
    <w:rsid w:val="00F36D4C"/>
    <w:rsid w:val="00F44087"/>
    <w:rsid w:val="00F5031B"/>
    <w:rsid w:val="00F52333"/>
    <w:rsid w:val="00F54185"/>
    <w:rsid w:val="00F560D9"/>
    <w:rsid w:val="00F5743F"/>
    <w:rsid w:val="00F603EF"/>
    <w:rsid w:val="00F61C35"/>
    <w:rsid w:val="00F6357D"/>
    <w:rsid w:val="00F63CCB"/>
    <w:rsid w:val="00F64DDB"/>
    <w:rsid w:val="00F67B5B"/>
    <w:rsid w:val="00F77077"/>
    <w:rsid w:val="00F77270"/>
    <w:rsid w:val="00F81F61"/>
    <w:rsid w:val="00F82833"/>
    <w:rsid w:val="00F854E6"/>
    <w:rsid w:val="00F86720"/>
    <w:rsid w:val="00F86EB3"/>
    <w:rsid w:val="00F91113"/>
    <w:rsid w:val="00F937AB"/>
    <w:rsid w:val="00F9635F"/>
    <w:rsid w:val="00F97F41"/>
    <w:rsid w:val="00FA0039"/>
    <w:rsid w:val="00FA4443"/>
    <w:rsid w:val="00FA7C00"/>
    <w:rsid w:val="00FB1A6A"/>
    <w:rsid w:val="00FC0CF5"/>
    <w:rsid w:val="00FC709D"/>
    <w:rsid w:val="00FC722F"/>
    <w:rsid w:val="00FC7885"/>
    <w:rsid w:val="00FD43EE"/>
    <w:rsid w:val="00FE7CF1"/>
    <w:rsid w:val="00FF4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A3F34"/>
  <w15:chartTrackingRefBased/>
  <w15:docId w15:val="{F274E17E-175A-45E7-B5C3-CA6EBA6D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DA65DA"/>
    <w:pPr>
      <w:autoSpaceDE w:val="0"/>
      <w:autoSpaceDN w:val="0"/>
      <w:adjustRightInd w:val="0"/>
      <w:spacing w:after="0" w:line="240" w:lineRule="auto"/>
    </w:pPr>
    <w:rPr>
      <w:rFonts w:cs="Verdana"/>
      <w:color w:val="000000"/>
      <w:sz w:val="24"/>
      <w:szCs w:val="24"/>
      <w:lang w:val="nl-NL"/>
    </w:rPr>
  </w:style>
  <w:style w:type="paragraph" w:styleId="Lijstalinea">
    <w:name w:val="List Paragraph"/>
    <w:basedOn w:val="Standaard"/>
    <w:uiPriority w:val="34"/>
    <w:qFormat/>
    <w:rsid w:val="00DA65DA"/>
    <w:pPr>
      <w:ind w:left="720"/>
      <w:contextualSpacing/>
    </w:pPr>
  </w:style>
  <w:style w:type="paragraph" w:customStyle="1" w:styleId="ManualNumPar1">
    <w:name w:val="Manual NumPar 1"/>
    <w:basedOn w:val="Standaard"/>
    <w:next w:val="Standaard"/>
    <w:rsid w:val="00C817DE"/>
    <w:pPr>
      <w:spacing w:before="120" w:after="120" w:line="240" w:lineRule="auto"/>
      <w:ind w:left="850" w:hanging="850"/>
      <w:jc w:val="both"/>
    </w:pPr>
    <w:rPr>
      <w:rFonts w:ascii="Times New Roman" w:hAnsi="Times New Roman" w:cs="Times New Roman"/>
      <w:sz w:val="24"/>
      <w:lang w:val="en-GB"/>
    </w:rPr>
  </w:style>
  <w:style w:type="character" w:styleId="Verwijzingopmerking">
    <w:name w:val="annotation reference"/>
    <w:basedOn w:val="Standaardalinea-lettertype"/>
    <w:uiPriority w:val="99"/>
    <w:semiHidden/>
    <w:unhideWhenUsed/>
    <w:rsid w:val="00A2770D"/>
    <w:rPr>
      <w:sz w:val="16"/>
      <w:szCs w:val="16"/>
    </w:rPr>
  </w:style>
  <w:style w:type="paragraph" w:styleId="Tekstopmerking">
    <w:name w:val="annotation text"/>
    <w:basedOn w:val="Standaard"/>
    <w:link w:val="TekstopmerkingChar"/>
    <w:uiPriority w:val="99"/>
    <w:unhideWhenUsed/>
    <w:rsid w:val="00A2770D"/>
    <w:pPr>
      <w:spacing w:line="240" w:lineRule="auto"/>
    </w:pPr>
    <w:rPr>
      <w:sz w:val="20"/>
      <w:szCs w:val="20"/>
    </w:rPr>
  </w:style>
  <w:style w:type="character" w:customStyle="1" w:styleId="TekstopmerkingChar">
    <w:name w:val="Tekst opmerking Char"/>
    <w:basedOn w:val="Standaardalinea-lettertype"/>
    <w:link w:val="Tekstopmerking"/>
    <w:uiPriority w:val="99"/>
    <w:rsid w:val="00A2770D"/>
    <w:rPr>
      <w:sz w:val="20"/>
      <w:szCs w:val="20"/>
    </w:rPr>
  </w:style>
  <w:style w:type="paragraph" w:styleId="Onderwerpvanopmerking">
    <w:name w:val="annotation subject"/>
    <w:basedOn w:val="Tekstopmerking"/>
    <w:next w:val="Tekstopmerking"/>
    <w:link w:val="OnderwerpvanopmerkingChar"/>
    <w:uiPriority w:val="99"/>
    <w:semiHidden/>
    <w:unhideWhenUsed/>
    <w:rsid w:val="00A2770D"/>
    <w:rPr>
      <w:b/>
      <w:bCs/>
    </w:rPr>
  </w:style>
  <w:style w:type="character" w:customStyle="1" w:styleId="OnderwerpvanopmerkingChar">
    <w:name w:val="Onderwerp van opmerking Char"/>
    <w:basedOn w:val="TekstopmerkingChar"/>
    <w:link w:val="Onderwerpvanopmerking"/>
    <w:uiPriority w:val="99"/>
    <w:semiHidden/>
    <w:rsid w:val="00A2770D"/>
    <w:rPr>
      <w:b/>
      <w:bCs/>
      <w:sz w:val="20"/>
      <w:szCs w:val="20"/>
    </w:rPr>
  </w:style>
  <w:style w:type="paragraph" w:styleId="Ballontekst">
    <w:name w:val="Balloon Text"/>
    <w:basedOn w:val="Standaard"/>
    <w:link w:val="BallontekstChar"/>
    <w:uiPriority w:val="99"/>
    <w:semiHidden/>
    <w:unhideWhenUsed/>
    <w:rsid w:val="00A2770D"/>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A2770D"/>
    <w:rPr>
      <w:rFonts w:ascii="Segoe UI" w:hAnsi="Segoe UI" w:cs="Segoe UI"/>
      <w:szCs w:val="18"/>
    </w:rPr>
  </w:style>
  <w:style w:type="character" w:styleId="Hyperlink">
    <w:name w:val="Hyperlink"/>
    <w:basedOn w:val="Standaardalinea-lettertype"/>
    <w:uiPriority w:val="99"/>
    <w:unhideWhenUsed/>
    <w:rsid w:val="00567EFD"/>
    <w:rPr>
      <w:color w:val="0000FF"/>
      <w:u w:val="single"/>
    </w:rPr>
  </w:style>
  <w:style w:type="character" w:customStyle="1" w:styleId="VoetnoottekstChar">
    <w:name w:val="Voetnoottekst Char"/>
    <w:aliases w:val="Voetnoottekst Char Char Char Char,Footnote Text1 Char,Char Char,Voetnoottekst Char Char Char1,ESB-eigenwoningdiscussie Char,toelichting Char,Voetnoottekst Char3 Char Char Char,Voetnoottekst Char1 Char1 Char Char Char"/>
    <w:basedOn w:val="Standaardalinea-lettertype"/>
    <w:link w:val="Voetnoottekst"/>
    <w:uiPriority w:val="99"/>
    <w:semiHidden/>
    <w:locked/>
    <w:rsid w:val="00567EFD"/>
  </w:style>
  <w:style w:type="paragraph" w:styleId="Voetnoottekst">
    <w:name w:val="footnote text"/>
    <w:aliases w:val="Voetnoottekst Char Char Char,Footnote Text1,Char,Voetnoottekst Char Char,ESB-eigenwoningdiscussie,toelichting,Voetnoottekst Char3 Char Char,Voetnoottekst Char1 Char1 Char Char,Voetnoottekst Char2 Char Char Char Char,Char Char2 Ch"/>
    <w:basedOn w:val="Standaard"/>
    <w:link w:val="VoetnoottekstChar"/>
    <w:uiPriority w:val="99"/>
    <w:semiHidden/>
    <w:unhideWhenUsed/>
    <w:qFormat/>
    <w:rsid w:val="00567EFD"/>
    <w:pPr>
      <w:spacing w:after="0" w:line="240" w:lineRule="auto"/>
    </w:pPr>
  </w:style>
  <w:style w:type="character" w:customStyle="1" w:styleId="VoetnoottekstChar1">
    <w:name w:val="Voetnoottekst Char1"/>
    <w:basedOn w:val="Standaardalinea-lettertype"/>
    <w:uiPriority w:val="99"/>
    <w:semiHidden/>
    <w:rsid w:val="00567EFD"/>
    <w:rPr>
      <w:sz w:val="20"/>
      <w:szCs w:val="20"/>
    </w:rPr>
  </w:style>
  <w:style w:type="character" w:styleId="Voetnootmarkering">
    <w:name w:val="footnote reference"/>
    <w:aliases w:val="SUPERS,Odwołanie przypisu,Times 10 Point,Exposant 3 Point,Footnote symbol,Footnote reference number,number,Footnote Reference Superscript,stylish,Знак сноски-FN,Ciae niinee-FN,Знак сноски 1,(Footnote Reference),FR"/>
    <w:basedOn w:val="Standaardalinea-lettertype"/>
    <w:link w:val="FootnotesymbolCarZchn"/>
    <w:uiPriority w:val="99"/>
    <w:semiHidden/>
    <w:unhideWhenUsed/>
    <w:qFormat/>
    <w:rsid w:val="00567EFD"/>
    <w:rPr>
      <w:vertAlign w:val="superscript"/>
    </w:rPr>
  </w:style>
  <w:style w:type="character" w:styleId="GevolgdeHyperlink">
    <w:name w:val="FollowedHyperlink"/>
    <w:basedOn w:val="Standaardalinea-lettertype"/>
    <w:uiPriority w:val="99"/>
    <w:semiHidden/>
    <w:unhideWhenUsed/>
    <w:rsid w:val="009708E2"/>
    <w:rPr>
      <w:color w:val="954F72" w:themeColor="followedHyperlink"/>
      <w:u w:val="single"/>
    </w:rPr>
  </w:style>
  <w:style w:type="paragraph" w:styleId="Koptekst">
    <w:name w:val="header"/>
    <w:basedOn w:val="Standaard"/>
    <w:link w:val="KoptekstChar"/>
    <w:uiPriority w:val="99"/>
    <w:semiHidden/>
    <w:unhideWhenUsed/>
    <w:rsid w:val="00F14A67"/>
    <w:pPr>
      <w:tabs>
        <w:tab w:val="center" w:pos="4513"/>
        <w:tab w:val="right" w:pos="9026"/>
      </w:tabs>
      <w:spacing w:after="0" w:line="240" w:lineRule="auto"/>
    </w:pPr>
  </w:style>
  <w:style w:type="character" w:customStyle="1" w:styleId="KoptekstChar">
    <w:name w:val="Koptekst Char"/>
    <w:basedOn w:val="Standaardalinea-lettertype"/>
    <w:link w:val="Koptekst"/>
    <w:uiPriority w:val="99"/>
    <w:semiHidden/>
    <w:rsid w:val="00F14A67"/>
  </w:style>
  <w:style w:type="paragraph" w:styleId="Voettekst">
    <w:name w:val="footer"/>
    <w:basedOn w:val="Standaard"/>
    <w:link w:val="VoettekstChar"/>
    <w:uiPriority w:val="99"/>
    <w:semiHidden/>
    <w:unhideWhenUsed/>
    <w:rsid w:val="00F14A67"/>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semiHidden/>
    <w:rsid w:val="00F14A67"/>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semiHidden/>
    <w:rsid w:val="00D467A7"/>
    <w:pPr>
      <w:spacing w:line="240" w:lineRule="exact"/>
      <w:jc w:val="both"/>
    </w:pPr>
    <w:rPr>
      <w:vertAlign w:val="superscript"/>
    </w:rPr>
  </w:style>
  <w:style w:type="character" w:styleId="Onopgelostemelding">
    <w:name w:val="Unresolved Mention"/>
    <w:basedOn w:val="Standaardalinea-lettertype"/>
    <w:uiPriority w:val="99"/>
    <w:semiHidden/>
    <w:unhideWhenUsed/>
    <w:rsid w:val="002344FF"/>
    <w:rPr>
      <w:color w:val="605E5C"/>
      <w:shd w:val="clear" w:color="auto" w:fill="E1DFDD"/>
    </w:rPr>
  </w:style>
  <w:style w:type="paragraph" w:styleId="Revisie">
    <w:name w:val="Revision"/>
    <w:hidden/>
    <w:uiPriority w:val="99"/>
    <w:semiHidden/>
    <w:rsid w:val="00427452"/>
    <w:pPr>
      <w:spacing w:after="0" w:line="240" w:lineRule="auto"/>
    </w:pPr>
  </w:style>
  <w:style w:type="paragraph" w:customStyle="1" w:styleId="StandaardSlotzin">
    <w:name w:val="Standaard_Slotzin"/>
    <w:basedOn w:val="Standaard"/>
    <w:next w:val="Standaard"/>
    <w:rsid w:val="00A82FB5"/>
    <w:pPr>
      <w:autoSpaceDN w:val="0"/>
      <w:spacing w:before="240" w:after="0" w:line="240" w:lineRule="exact"/>
      <w:textAlignment w:val="baseline"/>
    </w:pPr>
    <w:rPr>
      <w:rFonts w:eastAsia="DejaVu Sans" w:cs="Lohit Hindi"/>
      <w:color w:val="000000"/>
      <w:szCs w:val="18"/>
      <w:lang w:val="nl-NL" w:eastAsia="nl-NL"/>
    </w:rPr>
  </w:style>
  <w:style w:type="character" w:customStyle="1" w:styleId="cf01">
    <w:name w:val="cf01"/>
    <w:basedOn w:val="Standaardalinea-lettertype"/>
    <w:rsid w:val="00313EF2"/>
    <w:rPr>
      <w:rFonts w:ascii="Segoe UI" w:hAnsi="Segoe UI" w:cs="Segoe UI" w:hint="default"/>
      <w:sz w:val="18"/>
      <w:szCs w:val="18"/>
    </w:rPr>
  </w:style>
  <w:style w:type="character" w:styleId="Zwaar">
    <w:name w:val="Strong"/>
    <w:basedOn w:val="Standaardalinea-lettertype"/>
    <w:uiPriority w:val="22"/>
    <w:qFormat/>
    <w:rsid w:val="00541C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024">
      <w:bodyDiv w:val="1"/>
      <w:marLeft w:val="0"/>
      <w:marRight w:val="0"/>
      <w:marTop w:val="0"/>
      <w:marBottom w:val="0"/>
      <w:divBdr>
        <w:top w:val="none" w:sz="0" w:space="0" w:color="auto"/>
        <w:left w:val="none" w:sz="0" w:space="0" w:color="auto"/>
        <w:bottom w:val="none" w:sz="0" w:space="0" w:color="auto"/>
        <w:right w:val="none" w:sz="0" w:space="0" w:color="auto"/>
      </w:divBdr>
    </w:div>
    <w:div w:id="69160635">
      <w:bodyDiv w:val="1"/>
      <w:marLeft w:val="0"/>
      <w:marRight w:val="0"/>
      <w:marTop w:val="0"/>
      <w:marBottom w:val="0"/>
      <w:divBdr>
        <w:top w:val="none" w:sz="0" w:space="0" w:color="auto"/>
        <w:left w:val="none" w:sz="0" w:space="0" w:color="auto"/>
        <w:bottom w:val="none" w:sz="0" w:space="0" w:color="auto"/>
        <w:right w:val="none" w:sz="0" w:space="0" w:color="auto"/>
      </w:divBdr>
    </w:div>
    <w:div w:id="106629226">
      <w:bodyDiv w:val="1"/>
      <w:marLeft w:val="0"/>
      <w:marRight w:val="0"/>
      <w:marTop w:val="0"/>
      <w:marBottom w:val="0"/>
      <w:divBdr>
        <w:top w:val="none" w:sz="0" w:space="0" w:color="auto"/>
        <w:left w:val="none" w:sz="0" w:space="0" w:color="auto"/>
        <w:bottom w:val="none" w:sz="0" w:space="0" w:color="auto"/>
        <w:right w:val="none" w:sz="0" w:space="0" w:color="auto"/>
      </w:divBdr>
    </w:div>
    <w:div w:id="225074869">
      <w:bodyDiv w:val="1"/>
      <w:marLeft w:val="0"/>
      <w:marRight w:val="0"/>
      <w:marTop w:val="0"/>
      <w:marBottom w:val="0"/>
      <w:divBdr>
        <w:top w:val="none" w:sz="0" w:space="0" w:color="auto"/>
        <w:left w:val="none" w:sz="0" w:space="0" w:color="auto"/>
        <w:bottom w:val="none" w:sz="0" w:space="0" w:color="auto"/>
        <w:right w:val="none" w:sz="0" w:space="0" w:color="auto"/>
      </w:divBdr>
    </w:div>
    <w:div w:id="273289609">
      <w:bodyDiv w:val="1"/>
      <w:marLeft w:val="0"/>
      <w:marRight w:val="0"/>
      <w:marTop w:val="0"/>
      <w:marBottom w:val="0"/>
      <w:divBdr>
        <w:top w:val="none" w:sz="0" w:space="0" w:color="auto"/>
        <w:left w:val="none" w:sz="0" w:space="0" w:color="auto"/>
        <w:bottom w:val="none" w:sz="0" w:space="0" w:color="auto"/>
        <w:right w:val="none" w:sz="0" w:space="0" w:color="auto"/>
      </w:divBdr>
    </w:div>
    <w:div w:id="273949691">
      <w:bodyDiv w:val="1"/>
      <w:marLeft w:val="0"/>
      <w:marRight w:val="0"/>
      <w:marTop w:val="0"/>
      <w:marBottom w:val="0"/>
      <w:divBdr>
        <w:top w:val="none" w:sz="0" w:space="0" w:color="auto"/>
        <w:left w:val="none" w:sz="0" w:space="0" w:color="auto"/>
        <w:bottom w:val="none" w:sz="0" w:space="0" w:color="auto"/>
        <w:right w:val="none" w:sz="0" w:space="0" w:color="auto"/>
      </w:divBdr>
    </w:div>
    <w:div w:id="279991064">
      <w:bodyDiv w:val="1"/>
      <w:marLeft w:val="0"/>
      <w:marRight w:val="0"/>
      <w:marTop w:val="0"/>
      <w:marBottom w:val="0"/>
      <w:divBdr>
        <w:top w:val="none" w:sz="0" w:space="0" w:color="auto"/>
        <w:left w:val="none" w:sz="0" w:space="0" w:color="auto"/>
        <w:bottom w:val="none" w:sz="0" w:space="0" w:color="auto"/>
        <w:right w:val="none" w:sz="0" w:space="0" w:color="auto"/>
      </w:divBdr>
    </w:div>
    <w:div w:id="283538119">
      <w:bodyDiv w:val="1"/>
      <w:marLeft w:val="0"/>
      <w:marRight w:val="0"/>
      <w:marTop w:val="0"/>
      <w:marBottom w:val="0"/>
      <w:divBdr>
        <w:top w:val="none" w:sz="0" w:space="0" w:color="auto"/>
        <w:left w:val="none" w:sz="0" w:space="0" w:color="auto"/>
        <w:bottom w:val="none" w:sz="0" w:space="0" w:color="auto"/>
        <w:right w:val="none" w:sz="0" w:space="0" w:color="auto"/>
      </w:divBdr>
    </w:div>
    <w:div w:id="383722034">
      <w:bodyDiv w:val="1"/>
      <w:marLeft w:val="0"/>
      <w:marRight w:val="0"/>
      <w:marTop w:val="0"/>
      <w:marBottom w:val="0"/>
      <w:divBdr>
        <w:top w:val="none" w:sz="0" w:space="0" w:color="auto"/>
        <w:left w:val="none" w:sz="0" w:space="0" w:color="auto"/>
        <w:bottom w:val="none" w:sz="0" w:space="0" w:color="auto"/>
        <w:right w:val="none" w:sz="0" w:space="0" w:color="auto"/>
      </w:divBdr>
    </w:div>
    <w:div w:id="481192734">
      <w:bodyDiv w:val="1"/>
      <w:marLeft w:val="0"/>
      <w:marRight w:val="0"/>
      <w:marTop w:val="0"/>
      <w:marBottom w:val="0"/>
      <w:divBdr>
        <w:top w:val="none" w:sz="0" w:space="0" w:color="auto"/>
        <w:left w:val="none" w:sz="0" w:space="0" w:color="auto"/>
        <w:bottom w:val="none" w:sz="0" w:space="0" w:color="auto"/>
        <w:right w:val="none" w:sz="0" w:space="0" w:color="auto"/>
      </w:divBdr>
    </w:div>
    <w:div w:id="965741012">
      <w:bodyDiv w:val="1"/>
      <w:marLeft w:val="0"/>
      <w:marRight w:val="0"/>
      <w:marTop w:val="0"/>
      <w:marBottom w:val="0"/>
      <w:divBdr>
        <w:top w:val="none" w:sz="0" w:space="0" w:color="auto"/>
        <w:left w:val="none" w:sz="0" w:space="0" w:color="auto"/>
        <w:bottom w:val="none" w:sz="0" w:space="0" w:color="auto"/>
        <w:right w:val="none" w:sz="0" w:space="0" w:color="auto"/>
      </w:divBdr>
    </w:div>
    <w:div w:id="1071851336">
      <w:bodyDiv w:val="1"/>
      <w:marLeft w:val="0"/>
      <w:marRight w:val="0"/>
      <w:marTop w:val="0"/>
      <w:marBottom w:val="0"/>
      <w:divBdr>
        <w:top w:val="none" w:sz="0" w:space="0" w:color="auto"/>
        <w:left w:val="none" w:sz="0" w:space="0" w:color="auto"/>
        <w:bottom w:val="none" w:sz="0" w:space="0" w:color="auto"/>
        <w:right w:val="none" w:sz="0" w:space="0" w:color="auto"/>
      </w:divBdr>
    </w:div>
    <w:div w:id="1162161789">
      <w:bodyDiv w:val="1"/>
      <w:marLeft w:val="0"/>
      <w:marRight w:val="0"/>
      <w:marTop w:val="0"/>
      <w:marBottom w:val="0"/>
      <w:divBdr>
        <w:top w:val="none" w:sz="0" w:space="0" w:color="auto"/>
        <w:left w:val="none" w:sz="0" w:space="0" w:color="auto"/>
        <w:bottom w:val="none" w:sz="0" w:space="0" w:color="auto"/>
        <w:right w:val="none" w:sz="0" w:space="0" w:color="auto"/>
      </w:divBdr>
    </w:div>
    <w:div w:id="1195575860">
      <w:bodyDiv w:val="1"/>
      <w:marLeft w:val="0"/>
      <w:marRight w:val="0"/>
      <w:marTop w:val="0"/>
      <w:marBottom w:val="0"/>
      <w:divBdr>
        <w:top w:val="none" w:sz="0" w:space="0" w:color="auto"/>
        <w:left w:val="none" w:sz="0" w:space="0" w:color="auto"/>
        <w:bottom w:val="none" w:sz="0" w:space="0" w:color="auto"/>
        <w:right w:val="none" w:sz="0" w:space="0" w:color="auto"/>
      </w:divBdr>
    </w:div>
    <w:div w:id="1315335192">
      <w:bodyDiv w:val="1"/>
      <w:marLeft w:val="0"/>
      <w:marRight w:val="0"/>
      <w:marTop w:val="0"/>
      <w:marBottom w:val="0"/>
      <w:divBdr>
        <w:top w:val="none" w:sz="0" w:space="0" w:color="auto"/>
        <w:left w:val="none" w:sz="0" w:space="0" w:color="auto"/>
        <w:bottom w:val="none" w:sz="0" w:space="0" w:color="auto"/>
        <w:right w:val="none" w:sz="0" w:space="0" w:color="auto"/>
      </w:divBdr>
    </w:div>
    <w:div w:id="1439252878">
      <w:bodyDiv w:val="1"/>
      <w:marLeft w:val="0"/>
      <w:marRight w:val="0"/>
      <w:marTop w:val="0"/>
      <w:marBottom w:val="0"/>
      <w:divBdr>
        <w:top w:val="none" w:sz="0" w:space="0" w:color="auto"/>
        <w:left w:val="none" w:sz="0" w:space="0" w:color="auto"/>
        <w:bottom w:val="none" w:sz="0" w:space="0" w:color="auto"/>
        <w:right w:val="none" w:sz="0" w:space="0" w:color="auto"/>
      </w:divBdr>
    </w:div>
    <w:div w:id="1509515081">
      <w:bodyDiv w:val="1"/>
      <w:marLeft w:val="0"/>
      <w:marRight w:val="0"/>
      <w:marTop w:val="0"/>
      <w:marBottom w:val="0"/>
      <w:divBdr>
        <w:top w:val="none" w:sz="0" w:space="0" w:color="auto"/>
        <w:left w:val="none" w:sz="0" w:space="0" w:color="auto"/>
        <w:bottom w:val="none" w:sz="0" w:space="0" w:color="auto"/>
        <w:right w:val="none" w:sz="0" w:space="0" w:color="auto"/>
      </w:divBdr>
    </w:div>
    <w:div w:id="1652249249">
      <w:bodyDiv w:val="1"/>
      <w:marLeft w:val="0"/>
      <w:marRight w:val="0"/>
      <w:marTop w:val="0"/>
      <w:marBottom w:val="0"/>
      <w:divBdr>
        <w:top w:val="none" w:sz="0" w:space="0" w:color="auto"/>
        <w:left w:val="none" w:sz="0" w:space="0" w:color="auto"/>
        <w:bottom w:val="none" w:sz="0" w:space="0" w:color="auto"/>
        <w:right w:val="none" w:sz="0" w:space="0" w:color="auto"/>
      </w:divBdr>
    </w:div>
    <w:div w:id="1828207260">
      <w:bodyDiv w:val="1"/>
      <w:marLeft w:val="0"/>
      <w:marRight w:val="0"/>
      <w:marTop w:val="0"/>
      <w:marBottom w:val="0"/>
      <w:divBdr>
        <w:top w:val="none" w:sz="0" w:space="0" w:color="auto"/>
        <w:left w:val="none" w:sz="0" w:space="0" w:color="auto"/>
        <w:bottom w:val="none" w:sz="0" w:space="0" w:color="auto"/>
        <w:right w:val="none" w:sz="0" w:space="0" w:color="auto"/>
      </w:divBdr>
    </w:div>
    <w:div w:id="1829591997">
      <w:bodyDiv w:val="1"/>
      <w:marLeft w:val="0"/>
      <w:marRight w:val="0"/>
      <w:marTop w:val="0"/>
      <w:marBottom w:val="0"/>
      <w:divBdr>
        <w:top w:val="none" w:sz="0" w:space="0" w:color="auto"/>
        <w:left w:val="none" w:sz="0" w:space="0" w:color="auto"/>
        <w:bottom w:val="none" w:sz="0" w:space="0" w:color="auto"/>
        <w:right w:val="none" w:sz="0" w:space="0" w:color="auto"/>
      </w:divBdr>
    </w:div>
    <w:div w:id="1960530120">
      <w:bodyDiv w:val="1"/>
      <w:marLeft w:val="0"/>
      <w:marRight w:val="0"/>
      <w:marTop w:val="0"/>
      <w:marBottom w:val="0"/>
      <w:divBdr>
        <w:top w:val="none" w:sz="0" w:space="0" w:color="auto"/>
        <w:left w:val="none" w:sz="0" w:space="0" w:color="auto"/>
        <w:bottom w:val="none" w:sz="0" w:space="0" w:color="auto"/>
        <w:right w:val="none" w:sz="0" w:space="0" w:color="auto"/>
      </w:divBdr>
    </w:div>
    <w:div w:id="2016609162">
      <w:bodyDiv w:val="1"/>
      <w:marLeft w:val="0"/>
      <w:marRight w:val="0"/>
      <w:marTop w:val="0"/>
      <w:marBottom w:val="0"/>
      <w:divBdr>
        <w:top w:val="none" w:sz="0" w:space="0" w:color="auto"/>
        <w:left w:val="none" w:sz="0" w:space="0" w:color="auto"/>
        <w:bottom w:val="none" w:sz="0" w:space="0" w:color="auto"/>
        <w:right w:val="none" w:sz="0" w:space="0" w:color="auto"/>
      </w:divBdr>
    </w:div>
    <w:div w:id="2035840870">
      <w:bodyDiv w:val="1"/>
      <w:marLeft w:val="0"/>
      <w:marRight w:val="0"/>
      <w:marTop w:val="0"/>
      <w:marBottom w:val="0"/>
      <w:divBdr>
        <w:top w:val="none" w:sz="0" w:space="0" w:color="auto"/>
        <w:left w:val="none" w:sz="0" w:space="0" w:color="auto"/>
        <w:bottom w:val="none" w:sz="0" w:space="0" w:color="auto"/>
        <w:right w:val="none" w:sz="0" w:space="0" w:color="auto"/>
      </w:divBdr>
    </w:div>
    <w:div w:id="2079787080">
      <w:bodyDiv w:val="1"/>
      <w:marLeft w:val="0"/>
      <w:marRight w:val="0"/>
      <w:marTop w:val="0"/>
      <w:marBottom w:val="0"/>
      <w:divBdr>
        <w:top w:val="none" w:sz="0" w:space="0" w:color="auto"/>
        <w:left w:val="none" w:sz="0" w:space="0" w:color="auto"/>
        <w:bottom w:val="none" w:sz="0" w:space="0" w:color="auto"/>
        <w:right w:val="none" w:sz="0" w:space="0" w:color="auto"/>
      </w:divBdr>
    </w:div>
    <w:div w:id="210988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CELEX:52024PC0426" TargetMode="External"/><Relationship Id="rId2" Type="http://schemas.openxmlformats.org/officeDocument/2006/relationships/hyperlink" Target="https://www.rijksoverheid.nl/documenten/publicaties/2024/08/27/bijlage-1-verslag-eurogroep-en-ecofinraad-15-en-16-juli-2024" TargetMode="External"/><Relationship Id="rId1" Type="http://schemas.openxmlformats.org/officeDocument/2006/relationships/hyperlink" Target="https://www.consilium.europa.eu/en/press/press-releases/2024/06/14/g7-leaders-communique-borgo-egnazia-italy-13-15-june-2024/" TargetMode="External"/><Relationship Id="rId4" Type="http://schemas.openxmlformats.org/officeDocument/2006/relationships/hyperlink" Target="https://www.rijksoverheid.nl/documenten/kamerstukken/2022/08/31/kamerbrief-nederlandse-lening-aan-oekraine-via-im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3145</ap:Words>
  <ap:Characters>17300</ap:Characters>
  <ap:DocSecurity>4</ap:DocSecurity>
  <ap:Lines>144</ap:Lines>
  <ap:Paragraphs>40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20405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2024-10-04T16:12:00.0000000Z</dcterms:created>
  <dcterms:modified xsi:type="dcterms:W3CDTF">2024-10-04T16:12:00.0000000Z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2022-08-08T07:26:59Z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17ca6f23-a75b-4b6d-a97a-80952d6655f8</vt:lpwstr>
  </property>
  <property fmtid="{D5CDD505-2E9C-101B-9397-08002B2CF9AE}" pid="8" name="MSIP_Label_6800fede-0e59-47ad-af95-4e63bbdb932d_ContentBits">
    <vt:lpwstr>0</vt:lpwstr>
  </property>
  <property fmtid="{D5CDD505-2E9C-101B-9397-08002B2CF9AE}" pid="9" name="ContentTypeId">
    <vt:lpwstr>0x0101009C7CE436063D44E9BE7DC0259EF7C32F006EB9F9836A634AE58B6169785FD3936F00E99F30D875534B4FAED8E6BD6650B513</vt:lpwstr>
  </property>
  <property fmtid="{D5CDD505-2E9C-101B-9397-08002B2CF9AE}" pid="10" name="BZ_Country">
    <vt:lpwstr>8;#Ukraine|1d0b3b4a-20e6-48f4-9620-63d5fcfa06a4</vt:lpwstr>
  </property>
  <property fmtid="{D5CDD505-2E9C-101B-9397-08002B2CF9AE}" pid="11" name="BZ_Classification">
    <vt:lpwstr>10;#UNCLASSIFIED|d92c6340-bc14-4cb2-a9a6-6deda93c493b;#11;#NO MARKING|879e64ec-6597-483b-94db-f5f70afd7299</vt:lpwstr>
  </property>
  <property fmtid="{D5CDD505-2E9C-101B-9397-08002B2CF9AE}" pid="12" name="BZ_Forum">
    <vt:lpwstr>9;#EU|4d8f9873-61b3-4ee5-b6f7-0bb00c6df5e8</vt:lpwstr>
  </property>
  <property fmtid="{D5CDD505-2E9C-101B-9397-08002B2CF9AE}" pid="13" name="BZ_Theme">
    <vt:lpwstr>1;#Development cooperation general|380d0ef2-9ec9-4294-9181-2e77a680c18c;#2;#Food security|57c1d760-e793-41ab-85ec-ac09700e204a;#3;#Economy and development|e6c19ce2-aacb-416a-a804-3c1f665c9054;#4;#Coordination international aid|73c785be-7076-4770-b034-14787f02dc1c;#5;#Humanitarian aid general|67032a61-48a4-40cb-b0a3-d3ce348f6e26;#6;#Peace, security and stability general|49c2c3b4-618a-4f67-bf18-d7a145562f44;#7;#Post-conflict reconstruction|976874ee-bc22-46e8-ac34-2e9fd7650b79</vt:lpwstr>
  </property>
</Properties>
</file>