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0A36" w:rsidR="000D687F" w:rsidP="0068771F" w:rsidRDefault="00BA6113" w14:paraId="42BE870F" w14:textId="5103FA23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080A36">
        <w:rPr>
          <w:rFonts w:ascii="Verdana" w:hAnsi="Verdana"/>
          <w:b/>
          <w:bCs/>
          <w:sz w:val="18"/>
          <w:szCs w:val="18"/>
          <w:u w:val="single"/>
        </w:rPr>
        <w:t>B</w:t>
      </w:r>
      <w:r w:rsidRPr="00080A36" w:rsidR="000D687F">
        <w:rPr>
          <w:rFonts w:ascii="Verdana" w:hAnsi="Verdana"/>
          <w:b/>
          <w:bCs/>
          <w:sz w:val="18"/>
          <w:szCs w:val="18"/>
          <w:u w:val="single"/>
        </w:rPr>
        <w:t>ijlage</w:t>
      </w:r>
      <w:r w:rsidRPr="00080A36" w:rsidR="005232B1">
        <w:rPr>
          <w:rFonts w:ascii="Verdana" w:hAnsi="Verdana"/>
          <w:b/>
          <w:bCs/>
          <w:sz w:val="18"/>
          <w:szCs w:val="18"/>
          <w:u w:val="single"/>
        </w:rPr>
        <w:t xml:space="preserve"> omvang bevroren tegoeden</w:t>
      </w:r>
    </w:p>
    <w:p w:rsidRPr="00080A36" w:rsidR="000D687F" w:rsidP="0068771F" w:rsidRDefault="000D687F" w14:paraId="2A2D3631" w14:textId="77777777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Pr="00080A36" w:rsidR="006D1D10" w:rsidP="0068771F" w:rsidRDefault="00300816" w14:paraId="4B946AAE" w14:textId="74616725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Op peildatum </w:t>
      </w:r>
      <w:r w:rsidRPr="00080A36">
        <w:rPr>
          <w:rFonts w:ascii="Verdana" w:hAnsi="Verdana"/>
          <w:color w:val="000000" w:themeColor="text1"/>
          <w:sz w:val="18"/>
          <w:szCs w:val="18"/>
        </w:rPr>
        <w:t xml:space="preserve">1 juli </w:t>
      </w:r>
      <w:r w:rsidRPr="00080A36">
        <w:rPr>
          <w:rFonts w:ascii="Verdana" w:hAnsi="Verdana"/>
          <w:sz w:val="18"/>
          <w:szCs w:val="18"/>
        </w:rPr>
        <w:t>2024 was het totaal van private bevroren</w:t>
      </w:r>
      <w:r w:rsidRPr="00080A36" w:rsidR="00532F87">
        <w:rPr>
          <w:rFonts w:ascii="Verdana" w:hAnsi="Verdana"/>
          <w:sz w:val="18"/>
          <w:szCs w:val="18"/>
        </w:rPr>
        <w:t xml:space="preserve"> </w:t>
      </w:r>
      <w:r w:rsidRPr="00080A36">
        <w:rPr>
          <w:rFonts w:ascii="Verdana" w:hAnsi="Verdana"/>
          <w:sz w:val="18"/>
          <w:szCs w:val="18"/>
        </w:rPr>
        <w:t xml:space="preserve">tegoeden in Nederland </w:t>
      </w:r>
      <w:r w:rsidR="00755E6E">
        <w:rPr>
          <w:rFonts w:ascii="Verdana" w:hAnsi="Verdana"/>
          <w:color w:val="000000" w:themeColor="text1"/>
          <w:sz w:val="18"/>
          <w:szCs w:val="18"/>
        </w:rPr>
        <w:t>EUR</w:t>
      </w:r>
      <w:r w:rsidRPr="00080A3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80A36" w:rsidR="000C6E21">
        <w:rPr>
          <w:rFonts w:ascii="Verdana" w:hAnsi="Verdana"/>
          <w:color w:val="000000" w:themeColor="text1"/>
          <w:sz w:val="18"/>
          <w:szCs w:val="18"/>
        </w:rPr>
        <w:t>97</w:t>
      </w:r>
      <w:r w:rsidRPr="00080A36">
        <w:rPr>
          <w:rFonts w:ascii="Verdana" w:hAnsi="Verdana"/>
          <w:color w:val="000000" w:themeColor="text1"/>
          <w:sz w:val="18"/>
          <w:szCs w:val="18"/>
        </w:rPr>
        <w:t>,</w:t>
      </w:r>
      <w:r w:rsidRPr="00080A36" w:rsidR="000C6E21">
        <w:rPr>
          <w:rFonts w:ascii="Verdana" w:hAnsi="Verdana"/>
          <w:color w:val="000000" w:themeColor="text1"/>
          <w:sz w:val="18"/>
          <w:szCs w:val="18"/>
        </w:rPr>
        <w:t>2</w:t>
      </w:r>
      <w:r w:rsidRPr="00080A3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55E6E">
        <w:rPr>
          <w:rFonts w:ascii="Verdana" w:hAnsi="Verdana"/>
          <w:sz w:val="18"/>
          <w:szCs w:val="18"/>
        </w:rPr>
        <w:t>mln</w:t>
      </w:r>
      <w:r w:rsidRPr="00080A36">
        <w:rPr>
          <w:rFonts w:ascii="Verdana" w:hAnsi="Verdana"/>
          <w:sz w:val="18"/>
          <w:szCs w:val="18"/>
        </w:rPr>
        <w:t>.</w:t>
      </w:r>
      <w:r w:rsidRPr="00080A36" w:rsidR="006D1D10">
        <w:rPr>
          <w:rFonts w:ascii="Verdana" w:hAnsi="Verdana"/>
          <w:sz w:val="18"/>
          <w:szCs w:val="18"/>
        </w:rPr>
        <w:t xml:space="preserve"> </w:t>
      </w:r>
      <w:r w:rsidRPr="00080A36">
        <w:rPr>
          <w:rFonts w:ascii="Verdana" w:hAnsi="Verdana"/>
          <w:sz w:val="18"/>
          <w:szCs w:val="18"/>
        </w:rPr>
        <w:t xml:space="preserve">Dit bedrag is significant lager dan de in januari </w:t>
      </w:r>
      <w:r w:rsidRPr="00080A36" w:rsidR="00255F11">
        <w:rPr>
          <w:rFonts w:ascii="Verdana" w:hAnsi="Verdana"/>
          <w:sz w:val="18"/>
          <w:szCs w:val="18"/>
        </w:rPr>
        <w:t xml:space="preserve">aan uw Kamer </w:t>
      </w:r>
      <w:r w:rsidRPr="00080A36">
        <w:rPr>
          <w:rFonts w:ascii="Verdana" w:hAnsi="Verdana"/>
          <w:sz w:val="18"/>
          <w:szCs w:val="18"/>
        </w:rPr>
        <w:t xml:space="preserve">gemelde </w:t>
      </w:r>
      <w:r w:rsidR="00755E6E">
        <w:rPr>
          <w:rFonts w:ascii="Verdana" w:hAnsi="Verdana"/>
          <w:sz w:val="18"/>
          <w:szCs w:val="18"/>
        </w:rPr>
        <w:t>EUR</w:t>
      </w:r>
      <w:r w:rsidRPr="00080A36" w:rsidR="009F0186">
        <w:rPr>
          <w:rFonts w:ascii="Verdana" w:hAnsi="Verdana"/>
          <w:sz w:val="18"/>
          <w:szCs w:val="18"/>
        </w:rPr>
        <w:t xml:space="preserve"> </w:t>
      </w:r>
      <w:r w:rsidRPr="00080A36">
        <w:rPr>
          <w:rFonts w:ascii="Verdana" w:hAnsi="Verdana"/>
          <w:sz w:val="18"/>
          <w:szCs w:val="18"/>
        </w:rPr>
        <w:t xml:space="preserve">660 </w:t>
      </w:r>
      <w:r w:rsidR="00755E6E">
        <w:rPr>
          <w:rFonts w:ascii="Verdana" w:hAnsi="Verdana"/>
          <w:sz w:val="18"/>
          <w:szCs w:val="18"/>
        </w:rPr>
        <w:t>mln.</w:t>
      </w:r>
      <w:r w:rsidRPr="00080A36" w:rsidR="007805E3">
        <w:rPr>
          <w:rFonts w:ascii="Verdana" w:hAnsi="Verdana"/>
          <w:sz w:val="18"/>
          <w:szCs w:val="18"/>
        </w:rPr>
        <w:t xml:space="preserve"> totaal gemelde bevroren tegoeden sinds de eerste sanctiepakke</w:t>
      </w:r>
      <w:r w:rsidRPr="00080A36" w:rsidR="008635C0">
        <w:rPr>
          <w:rFonts w:ascii="Verdana" w:hAnsi="Verdana"/>
          <w:sz w:val="18"/>
          <w:szCs w:val="18"/>
        </w:rPr>
        <w:t>t</w:t>
      </w:r>
      <w:r w:rsidRPr="00080A36" w:rsidR="007805E3">
        <w:rPr>
          <w:rFonts w:ascii="Verdana" w:hAnsi="Verdana"/>
          <w:sz w:val="18"/>
          <w:szCs w:val="18"/>
        </w:rPr>
        <w:t>ten vanwege de inval van Rusland in Oekra</w:t>
      </w:r>
      <w:r w:rsidRPr="00080A36" w:rsidR="008635C0">
        <w:rPr>
          <w:rFonts w:ascii="Verdana" w:hAnsi="Verdana"/>
          <w:sz w:val="18"/>
          <w:szCs w:val="18"/>
        </w:rPr>
        <w:t>ï</w:t>
      </w:r>
      <w:r w:rsidRPr="00080A36" w:rsidR="007805E3">
        <w:rPr>
          <w:rFonts w:ascii="Verdana" w:hAnsi="Verdana"/>
          <w:sz w:val="18"/>
          <w:szCs w:val="18"/>
        </w:rPr>
        <w:t>ne</w:t>
      </w:r>
      <w:r w:rsidRPr="00080A36" w:rsidR="00001A61">
        <w:rPr>
          <w:rFonts w:ascii="Verdana" w:hAnsi="Verdana"/>
          <w:sz w:val="18"/>
          <w:szCs w:val="18"/>
        </w:rPr>
        <w:t xml:space="preserve">. </w:t>
      </w:r>
      <w:r w:rsidRPr="00080A36" w:rsidR="006D1D10">
        <w:rPr>
          <w:rFonts w:ascii="Verdana" w:hAnsi="Verdana"/>
          <w:sz w:val="18"/>
          <w:szCs w:val="18"/>
        </w:rPr>
        <w:t xml:space="preserve">Deze bijlage </w:t>
      </w:r>
      <w:r w:rsidRPr="00080A36" w:rsidR="005B1E83">
        <w:rPr>
          <w:rFonts w:ascii="Verdana" w:hAnsi="Verdana"/>
          <w:sz w:val="18"/>
          <w:szCs w:val="18"/>
        </w:rPr>
        <w:t>geeft een toelichting op</w:t>
      </w:r>
      <w:r w:rsidRPr="00080A36" w:rsidR="006D1D10">
        <w:rPr>
          <w:rFonts w:ascii="Verdana" w:hAnsi="Verdana"/>
          <w:sz w:val="18"/>
          <w:szCs w:val="18"/>
        </w:rPr>
        <w:t xml:space="preserve"> enkele specifieke gevallen waarbij een aanzienlijk bedrag aan bevroren tegoeden is vrijgekomen.</w:t>
      </w:r>
      <w:r w:rsidRPr="00080A36" w:rsidR="00532F87">
        <w:rPr>
          <w:rFonts w:ascii="Verdana" w:hAnsi="Verdana"/>
          <w:sz w:val="18"/>
          <w:szCs w:val="18"/>
        </w:rPr>
        <w:t xml:space="preserve"> Vanwege de vertrouwelijkheid van de informatie zijn de betrokken partijen geanonimiseerd weergegeven.</w:t>
      </w:r>
    </w:p>
    <w:p w:rsidRPr="00080A36" w:rsidR="006D1D10" w:rsidP="0068771F" w:rsidRDefault="006D1D10" w14:paraId="40356B5E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7925B6" w:rsidP="0068771F" w:rsidRDefault="007A73E5" w14:paraId="303247BF" w14:textId="60A57B05">
      <w:pPr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080A36">
        <w:rPr>
          <w:rFonts w:ascii="Verdana" w:hAnsi="Verdana"/>
          <w:i/>
          <w:iCs/>
          <w:sz w:val="18"/>
          <w:szCs w:val="18"/>
        </w:rPr>
        <w:t>Bedrijf 1</w:t>
      </w:r>
    </w:p>
    <w:p w:rsidRPr="00080A36" w:rsidR="0060075F" w:rsidP="0068771F" w:rsidRDefault="007925B6" w14:paraId="709E19F9" w14:textId="3BB2CDE3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In maart 2022 </w:t>
      </w:r>
      <w:r w:rsidR="00B7050F">
        <w:rPr>
          <w:rFonts w:ascii="Verdana" w:hAnsi="Verdana"/>
          <w:sz w:val="18"/>
          <w:szCs w:val="18"/>
        </w:rPr>
        <w:t>meldde</w:t>
      </w:r>
      <w:r w:rsidRPr="00080A36" w:rsidR="007A73E5">
        <w:rPr>
          <w:rFonts w:ascii="Verdana" w:hAnsi="Verdana"/>
          <w:sz w:val="18"/>
          <w:szCs w:val="18"/>
        </w:rPr>
        <w:t xml:space="preserve"> een</w:t>
      </w:r>
      <w:r w:rsidRPr="00080A36">
        <w:rPr>
          <w:rFonts w:ascii="Verdana" w:hAnsi="Verdana"/>
          <w:sz w:val="18"/>
          <w:szCs w:val="18"/>
        </w:rPr>
        <w:t xml:space="preserve"> trustkantoor de bevriezing van </w:t>
      </w:r>
      <w:r w:rsidR="00B7050F">
        <w:rPr>
          <w:rFonts w:ascii="Verdana" w:hAnsi="Verdana"/>
          <w:sz w:val="18"/>
          <w:szCs w:val="18"/>
        </w:rPr>
        <w:t xml:space="preserve">een </w:t>
      </w:r>
      <w:r w:rsidRPr="00080A36" w:rsidR="007A73E5">
        <w:rPr>
          <w:rFonts w:ascii="Verdana" w:hAnsi="Verdana"/>
          <w:sz w:val="18"/>
          <w:szCs w:val="18"/>
        </w:rPr>
        <w:t>bedrijf</w:t>
      </w:r>
      <w:r w:rsidRPr="00080A36" w:rsidR="007A2F01">
        <w:rPr>
          <w:rFonts w:ascii="Verdana" w:hAnsi="Verdana"/>
          <w:sz w:val="18"/>
          <w:szCs w:val="18"/>
        </w:rPr>
        <w:t xml:space="preserve"> met gesanctioneerde </w:t>
      </w:r>
      <w:proofErr w:type="spellStart"/>
      <w:r w:rsidRPr="00080A36" w:rsidR="007A2F01">
        <w:rPr>
          <w:rFonts w:ascii="Verdana" w:hAnsi="Verdana"/>
          <w:sz w:val="18"/>
          <w:szCs w:val="18"/>
        </w:rPr>
        <w:t>UBO’s</w:t>
      </w:r>
      <w:proofErr w:type="spellEnd"/>
      <w:r w:rsidRPr="00080A36" w:rsidR="007A2F01">
        <w:rPr>
          <w:rFonts w:ascii="Verdana" w:hAnsi="Verdana"/>
          <w:sz w:val="18"/>
          <w:szCs w:val="18"/>
        </w:rPr>
        <w:t xml:space="preserve">. </w:t>
      </w:r>
      <w:r w:rsidRPr="00080A36" w:rsidR="007A73E5">
        <w:rPr>
          <w:rFonts w:ascii="Verdana" w:hAnsi="Verdana"/>
          <w:sz w:val="18"/>
          <w:szCs w:val="18"/>
        </w:rPr>
        <w:t xml:space="preserve">Het betrokken </w:t>
      </w:r>
      <w:r w:rsidRPr="00080A36">
        <w:rPr>
          <w:rFonts w:ascii="Verdana" w:hAnsi="Verdana"/>
          <w:sz w:val="18"/>
          <w:szCs w:val="18"/>
        </w:rPr>
        <w:t xml:space="preserve">trustkantoor beheert </w:t>
      </w:r>
      <w:r w:rsidRPr="00080A36" w:rsidR="00532F87">
        <w:rPr>
          <w:rFonts w:ascii="Verdana" w:hAnsi="Verdana"/>
          <w:sz w:val="18"/>
          <w:szCs w:val="18"/>
        </w:rPr>
        <w:t>dit bedrijf</w:t>
      </w:r>
      <w:r w:rsidRPr="00080A36">
        <w:rPr>
          <w:rFonts w:ascii="Verdana" w:hAnsi="Verdana"/>
          <w:sz w:val="18"/>
          <w:szCs w:val="18"/>
        </w:rPr>
        <w:t xml:space="preserve">. Naar opgave van </w:t>
      </w:r>
      <w:r w:rsidRPr="00080A36" w:rsidR="007A73E5">
        <w:rPr>
          <w:rFonts w:ascii="Verdana" w:hAnsi="Verdana"/>
          <w:sz w:val="18"/>
          <w:szCs w:val="18"/>
        </w:rPr>
        <w:t xml:space="preserve">het trustkantoor </w:t>
      </w:r>
      <w:r w:rsidRPr="00080A36">
        <w:rPr>
          <w:rFonts w:ascii="Verdana" w:hAnsi="Verdana"/>
          <w:sz w:val="18"/>
          <w:szCs w:val="18"/>
        </w:rPr>
        <w:t xml:space="preserve">waren met die bevriezing </w:t>
      </w:r>
      <w:r w:rsidRPr="00080A36" w:rsidR="007E0AC1">
        <w:rPr>
          <w:rFonts w:ascii="Verdana" w:hAnsi="Verdana"/>
          <w:sz w:val="18"/>
          <w:szCs w:val="18"/>
        </w:rPr>
        <w:t xml:space="preserve">bezittingen </w:t>
      </w:r>
      <w:r w:rsidRPr="00080A36">
        <w:rPr>
          <w:rFonts w:ascii="Verdana" w:hAnsi="Verdana"/>
          <w:sz w:val="18"/>
          <w:szCs w:val="18"/>
        </w:rPr>
        <w:t xml:space="preserve">gemoeid ter waarde van ca. </w:t>
      </w:r>
      <w:r w:rsidR="00755E6E">
        <w:rPr>
          <w:rFonts w:ascii="Verdana" w:hAnsi="Verdana"/>
          <w:sz w:val="18"/>
          <w:szCs w:val="18"/>
        </w:rPr>
        <w:t>EUR 2</w:t>
      </w:r>
      <w:r w:rsidRPr="00080A36">
        <w:rPr>
          <w:rFonts w:ascii="Verdana" w:hAnsi="Verdana"/>
          <w:sz w:val="18"/>
          <w:szCs w:val="18"/>
        </w:rPr>
        <w:t xml:space="preserve">30 </w:t>
      </w:r>
      <w:r w:rsidR="00755E6E">
        <w:rPr>
          <w:rFonts w:ascii="Verdana" w:hAnsi="Verdana"/>
          <w:sz w:val="18"/>
          <w:szCs w:val="18"/>
        </w:rPr>
        <w:t>mln</w:t>
      </w:r>
      <w:r w:rsidRPr="00080A36">
        <w:rPr>
          <w:rFonts w:ascii="Verdana" w:hAnsi="Verdana"/>
          <w:sz w:val="18"/>
          <w:szCs w:val="18"/>
        </w:rPr>
        <w:t>.</w:t>
      </w:r>
      <w:r w:rsidRPr="00080A36" w:rsidR="007A2F01">
        <w:rPr>
          <w:rFonts w:ascii="Verdana" w:hAnsi="Verdana"/>
          <w:sz w:val="18"/>
          <w:szCs w:val="18"/>
        </w:rPr>
        <w:t xml:space="preserve"> </w:t>
      </w:r>
      <w:r w:rsidRPr="00080A36" w:rsidR="007E0AC1">
        <w:rPr>
          <w:rFonts w:ascii="Verdana" w:hAnsi="Verdana"/>
          <w:sz w:val="18"/>
          <w:szCs w:val="18"/>
        </w:rPr>
        <w:t xml:space="preserve">Daarvan was meer dan 90% toe </w:t>
      </w:r>
      <w:r w:rsidR="00B7050F">
        <w:rPr>
          <w:rFonts w:ascii="Verdana" w:hAnsi="Verdana"/>
          <w:sz w:val="18"/>
          <w:szCs w:val="18"/>
        </w:rPr>
        <w:t xml:space="preserve">te </w:t>
      </w:r>
      <w:r w:rsidRPr="00080A36" w:rsidR="007E0AC1">
        <w:rPr>
          <w:rFonts w:ascii="Verdana" w:hAnsi="Verdana"/>
          <w:sz w:val="18"/>
          <w:szCs w:val="18"/>
        </w:rPr>
        <w:t xml:space="preserve">rekenen aan een deelneming van </w:t>
      </w:r>
      <w:r w:rsidRPr="00080A36" w:rsidR="007A73E5">
        <w:rPr>
          <w:rFonts w:ascii="Verdana" w:hAnsi="Verdana"/>
          <w:sz w:val="18"/>
          <w:szCs w:val="18"/>
        </w:rPr>
        <w:t>BV 1</w:t>
      </w:r>
      <w:r w:rsidRPr="00080A36" w:rsidR="007E0AC1">
        <w:rPr>
          <w:rFonts w:ascii="Verdana" w:hAnsi="Verdana"/>
          <w:sz w:val="18"/>
          <w:szCs w:val="18"/>
        </w:rPr>
        <w:t xml:space="preserve"> in </w:t>
      </w:r>
      <w:r w:rsidRPr="00080A36" w:rsidR="00532F87">
        <w:rPr>
          <w:rFonts w:ascii="Verdana" w:hAnsi="Verdana"/>
          <w:sz w:val="18"/>
          <w:szCs w:val="18"/>
        </w:rPr>
        <w:t>haar</w:t>
      </w:r>
      <w:r w:rsidRPr="00080A36" w:rsidR="007E0AC1">
        <w:rPr>
          <w:rFonts w:ascii="Verdana" w:hAnsi="Verdana"/>
          <w:sz w:val="18"/>
          <w:szCs w:val="18"/>
        </w:rPr>
        <w:t xml:space="preserve"> zustervennootschap. </w:t>
      </w:r>
    </w:p>
    <w:p w:rsidRPr="00080A36" w:rsidR="0060075F" w:rsidP="0068771F" w:rsidRDefault="0060075F" w14:paraId="3D3D74AA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7925B6" w:rsidP="0068771F" w:rsidRDefault="00485E90" w14:paraId="4A2A5079" w14:textId="5879BA60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Inmiddels staat </w:t>
      </w:r>
      <w:r w:rsidRPr="00080A36" w:rsidR="007A73E5">
        <w:rPr>
          <w:rFonts w:ascii="Verdana" w:hAnsi="Verdana"/>
          <w:sz w:val="18"/>
          <w:szCs w:val="18"/>
        </w:rPr>
        <w:t xml:space="preserve">de </w:t>
      </w:r>
      <w:r w:rsidRPr="00080A36" w:rsidR="00532F87">
        <w:rPr>
          <w:rFonts w:ascii="Verdana" w:hAnsi="Verdana"/>
          <w:sz w:val="18"/>
          <w:szCs w:val="18"/>
        </w:rPr>
        <w:t>gesanctioneerde</w:t>
      </w:r>
      <w:r w:rsidRPr="00080A36" w:rsidR="007A73E5">
        <w:rPr>
          <w:rFonts w:ascii="Verdana" w:hAnsi="Verdana"/>
          <w:sz w:val="18"/>
          <w:szCs w:val="18"/>
        </w:rPr>
        <w:t xml:space="preserve"> eigenaar</w:t>
      </w:r>
      <w:r w:rsidRPr="00080A36">
        <w:rPr>
          <w:rFonts w:ascii="Verdana" w:hAnsi="Verdana"/>
          <w:sz w:val="18"/>
          <w:szCs w:val="18"/>
        </w:rPr>
        <w:t xml:space="preserve"> op voldoende afstand van </w:t>
      </w:r>
      <w:r w:rsidRPr="00080A36" w:rsidR="007A73E5">
        <w:rPr>
          <w:rFonts w:ascii="Verdana" w:hAnsi="Verdana"/>
          <w:sz w:val="18"/>
          <w:szCs w:val="18"/>
        </w:rPr>
        <w:t>Bedrijf 1</w:t>
      </w:r>
      <w:r w:rsidRPr="00080A36">
        <w:rPr>
          <w:rFonts w:ascii="Verdana" w:hAnsi="Verdana"/>
          <w:sz w:val="18"/>
          <w:szCs w:val="18"/>
        </w:rPr>
        <w:t xml:space="preserve"> </w:t>
      </w:r>
      <w:r w:rsidRPr="00080A36" w:rsidR="007A73E5">
        <w:rPr>
          <w:rFonts w:ascii="Verdana" w:hAnsi="Verdana"/>
          <w:sz w:val="18"/>
          <w:szCs w:val="18"/>
        </w:rPr>
        <w:t>en heeft</w:t>
      </w:r>
      <w:r w:rsidRPr="00080A36" w:rsidR="00C92D67">
        <w:rPr>
          <w:rFonts w:ascii="Verdana" w:hAnsi="Verdana"/>
          <w:sz w:val="18"/>
          <w:szCs w:val="18"/>
        </w:rPr>
        <w:t xml:space="preserve"> </w:t>
      </w:r>
      <w:r w:rsidRPr="00080A36" w:rsidR="00532F87">
        <w:rPr>
          <w:rFonts w:ascii="Verdana" w:hAnsi="Verdana"/>
          <w:sz w:val="18"/>
          <w:szCs w:val="18"/>
        </w:rPr>
        <w:t xml:space="preserve">deze eigenaar </w:t>
      </w:r>
      <w:r w:rsidRPr="00080A36" w:rsidR="00C92D67">
        <w:rPr>
          <w:rFonts w:ascii="Verdana" w:hAnsi="Verdana"/>
          <w:sz w:val="18"/>
          <w:szCs w:val="18"/>
        </w:rPr>
        <w:t>geen toegang meer tot de bezittingen van het bedrijf. Daarmee</w:t>
      </w:r>
      <w:r w:rsidRPr="00080A36">
        <w:rPr>
          <w:rFonts w:ascii="Verdana" w:hAnsi="Verdana"/>
          <w:sz w:val="18"/>
          <w:szCs w:val="18"/>
        </w:rPr>
        <w:t xml:space="preserve"> vervalt ook de bevriezingsverplichting. </w:t>
      </w:r>
      <w:bookmarkStart w:name="_Hlk176354013" w:id="0"/>
      <w:r w:rsidRPr="00080A36" w:rsidR="00890E5F">
        <w:rPr>
          <w:rFonts w:ascii="Verdana" w:hAnsi="Verdana"/>
          <w:sz w:val="18"/>
          <w:szCs w:val="18"/>
        </w:rPr>
        <w:t>In Nederland is d</w:t>
      </w:r>
      <w:r w:rsidRPr="00080A36" w:rsidR="00A00313">
        <w:rPr>
          <w:rFonts w:ascii="Verdana" w:hAnsi="Verdana"/>
          <w:sz w:val="18"/>
          <w:szCs w:val="18"/>
        </w:rPr>
        <w:t xml:space="preserve">e minister van Economische Zaken verantwoordelijk voor de beoordeling van de sanctiestatus van een onderneming, bijvoorbeeld of de eigenaarsstructuur van een bepaalde onderneming wel of niet gesanctioneerd is. </w:t>
      </w:r>
      <w:bookmarkEnd w:id="0"/>
      <w:r w:rsidRPr="00080A36" w:rsidR="007925B6">
        <w:rPr>
          <w:rFonts w:ascii="Verdana" w:hAnsi="Verdana"/>
          <w:sz w:val="18"/>
          <w:szCs w:val="18"/>
        </w:rPr>
        <w:t xml:space="preserve">In mei 2024 </w:t>
      </w:r>
      <w:r w:rsidR="00B7050F">
        <w:rPr>
          <w:rFonts w:ascii="Verdana" w:hAnsi="Verdana"/>
          <w:sz w:val="18"/>
          <w:szCs w:val="18"/>
        </w:rPr>
        <w:t>oordeelde</w:t>
      </w:r>
      <w:r w:rsidRPr="00080A36" w:rsidR="00757439">
        <w:rPr>
          <w:rFonts w:ascii="Verdana" w:hAnsi="Verdana"/>
          <w:color w:val="000000" w:themeColor="text1"/>
          <w:sz w:val="18"/>
          <w:szCs w:val="18"/>
        </w:rPr>
        <w:t xml:space="preserve"> het</w:t>
      </w:r>
      <w:r w:rsidRPr="00080A36" w:rsidR="007925B6">
        <w:rPr>
          <w:rFonts w:ascii="Verdana" w:hAnsi="Verdana"/>
          <w:color w:val="000000" w:themeColor="text1"/>
          <w:sz w:val="18"/>
          <w:szCs w:val="18"/>
        </w:rPr>
        <w:t xml:space="preserve"> Bureau Toetsing Investeringen (hierna: BTI) van het ministerie van E</w:t>
      </w:r>
      <w:r w:rsidRPr="00080A36" w:rsidR="007A2F01">
        <w:rPr>
          <w:rFonts w:ascii="Verdana" w:hAnsi="Verdana"/>
          <w:color w:val="000000" w:themeColor="text1"/>
          <w:sz w:val="18"/>
          <w:szCs w:val="18"/>
        </w:rPr>
        <w:t>conomische Zaken</w:t>
      </w:r>
      <w:r w:rsidRPr="00080A36" w:rsidR="007925B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80A36" w:rsidR="007A73E5">
        <w:rPr>
          <w:rFonts w:ascii="Verdana" w:hAnsi="Verdana"/>
          <w:color w:val="000000" w:themeColor="text1"/>
          <w:sz w:val="18"/>
          <w:szCs w:val="18"/>
        </w:rPr>
        <w:t xml:space="preserve">dat </w:t>
      </w:r>
      <w:r w:rsidR="00B7050F">
        <w:rPr>
          <w:rFonts w:ascii="Verdana" w:hAnsi="Verdana"/>
          <w:color w:val="000000" w:themeColor="text1"/>
          <w:sz w:val="18"/>
          <w:szCs w:val="18"/>
        </w:rPr>
        <w:t>B</w:t>
      </w:r>
      <w:r w:rsidRPr="00080A36" w:rsidR="007A73E5">
        <w:rPr>
          <w:rFonts w:ascii="Verdana" w:hAnsi="Verdana"/>
          <w:color w:val="000000" w:themeColor="text1"/>
          <w:sz w:val="18"/>
          <w:szCs w:val="18"/>
        </w:rPr>
        <w:t>edrijf 1 en</w:t>
      </w:r>
      <w:r w:rsidRPr="00080A36" w:rsidR="007925B6">
        <w:rPr>
          <w:rFonts w:ascii="Verdana" w:hAnsi="Verdana"/>
          <w:sz w:val="18"/>
          <w:szCs w:val="18"/>
        </w:rPr>
        <w:t xml:space="preserve"> enkele gerelateerde vennootschappen niet</w:t>
      </w:r>
      <w:r w:rsidRPr="00080A36">
        <w:rPr>
          <w:rFonts w:ascii="Verdana" w:hAnsi="Verdana"/>
          <w:sz w:val="18"/>
          <w:szCs w:val="18"/>
        </w:rPr>
        <w:t xml:space="preserve"> zijn</w:t>
      </w:r>
      <w:r w:rsidRPr="00080A36" w:rsidR="007925B6">
        <w:rPr>
          <w:rFonts w:ascii="Verdana" w:hAnsi="Verdana"/>
          <w:sz w:val="18"/>
          <w:szCs w:val="18"/>
        </w:rPr>
        <w:t xml:space="preserve"> onderworpen aan de bevriezingsmaatregelen zoals vastgesteld in het EU-sanctieregime inzake Rusland.</w:t>
      </w:r>
      <w:r w:rsidRPr="00080A36" w:rsidR="007A2F01">
        <w:rPr>
          <w:rFonts w:ascii="Verdana" w:hAnsi="Verdana"/>
          <w:sz w:val="18"/>
          <w:szCs w:val="18"/>
        </w:rPr>
        <w:t xml:space="preserve"> </w:t>
      </w:r>
      <w:r w:rsidRPr="00080A36" w:rsidR="00CD2030">
        <w:rPr>
          <w:rFonts w:ascii="Verdana" w:hAnsi="Verdana"/>
          <w:sz w:val="18"/>
          <w:szCs w:val="18"/>
        </w:rPr>
        <w:t xml:space="preserve">Hierdoor </w:t>
      </w:r>
      <w:r w:rsidR="00B7050F">
        <w:rPr>
          <w:rFonts w:ascii="Verdana" w:hAnsi="Verdana"/>
          <w:sz w:val="18"/>
          <w:szCs w:val="18"/>
        </w:rPr>
        <w:t>gold</w:t>
      </w:r>
      <w:r w:rsidRPr="00080A36" w:rsidR="00CD2030">
        <w:rPr>
          <w:rFonts w:ascii="Verdana" w:hAnsi="Verdana"/>
          <w:sz w:val="18"/>
          <w:szCs w:val="18"/>
        </w:rPr>
        <w:t xml:space="preserve"> de bevriezingsverplichting niet langer voor deze ca </w:t>
      </w:r>
      <w:r w:rsidR="00755E6E">
        <w:rPr>
          <w:rFonts w:ascii="Verdana" w:hAnsi="Verdana"/>
          <w:sz w:val="18"/>
          <w:szCs w:val="18"/>
        </w:rPr>
        <w:t xml:space="preserve">EUR </w:t>
      </w:r>
      <w:r w:rsidRPr="00080A36" w:rsidR="00CD2030">
        <w:rPr>
          <w:rFonts w:ascii="Verdana" w:hAnsi="Verdana"/>
          <w:sz w:val="18"/>
          <w:szCs w:val="18"/>
        </w:rPr>
        <w:t xml:space="preserve">230 </w:t>
      </w:r>
      <w:r w:rsidR="00755E6E">
        <w:rPr>
          <w:rFonts w:ascii="Verdana" w:hAnsi="Verdana"/>
          <w:sz w:val="18"/>
          <w:szCs w:val="18"/>
        </w:rPr>
        <w:t>mln</w:t>
      </w:r>
      <w:r w:rsidRPr="00080A36" w:rsidR="00CD2030">
        <w:rPr>
          <w:rFonts w:ascii="Verdana" w:hAnsi="Verdana"/>
          <w:sz w:val="18"/>
          <w:szCs w:val="18"/>
        </w:rPr>
        <w:t>.</w:t>
      </w:r>
    </w:p>
    <w:p w:rsidRPr="00080A36" w:rsidR="007A2F01" w:rsidP="0068771F" w:rsidRDefault="007A2F01" w14:paraId="57B2C60A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7925B6" w:rsidP="0068771F" w:rsidRDefault="007A73E5" w14:paraId="545E1E3A" w14:textId="696A173E">
      <w:pPr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080A36">
        <w:rPr>
          <w:rFonts w:ascii="Verdana" w:hAnsi="Verdana"/>
          <w:i/>
          <w:iCs/>
          <w:sz w:val="18"/>
          <w:szCs w:val="18"/>
        </w:rPr>
        <w:t>Bedrijf 2</w:t>
      </w:r>
    </w:p>
    <w:p w:rsidRPr="00080A36" w:rsidR="0060075F" w:rsidP="0068771F" w:rsidRDefault="007925B6" w14:paraId="10DB9704" w14:textId="71D0C0B2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In maart, juli en augustus 2022 </w:t>
      </w:r>
      <w:r w:rsidR="00B7050F">
        <w:rPr>
          <w:rFonts w:ascii="Verdana" w:hAnsi="Verdana"/>
          <w:sz w:val="18"/>
          <w:szCs w:val="18"/>
        </w:rPr>
        <w:t>meldde</w:t>
      </w:r>
      <w:r w:rsidRPr="00080A36">
        <w:rPr>
          <w:rFonts w:ascii="Verdana" w:hAnsi="Verdana"/>
          <w:sz w:val="18"/>
          <w:szCs w:val="18"/>
        </w:rPr>
        <w:t xml:space="preserve"> </w:t>
      </w:r>
      <w:r w:rsidRPr="00080A36" w:rsidR="007A73E5">
        <w:rPr>
          <w:rFonts w:ascii="Verdana" w:hAnsi="Verdana"/>
          <w:sz w:val="18"/>
          <w:szCs w:val="18"/>
        </w:rPr>
        <w:t xml:space="preserve">een </w:t>
      </w:r>
      <w:r w:rsidRPr="00080A36" w:rsidR="00532F87">
        <w:rPr>
          <w:rFonts w:ascii="Verdana" w:hAnsi="Verdana"/>
          <w:sz w:val="18"/>
          <w:szCs w:val="18"/>
        </w:rPr>
        <w:t>b</w:t>
      </w:r>
      <w:r w:rsidRPr="00080A36">
        <w:rPr>
          <w:rFonts w:ascii="Verdana" w:hAnsi="Verdana"/>
          <w:sz w:val="18"/>
          <w:szCs w:val="18"/>
        </w:rPr>
        <w:t xml:space="preserve">ank bevriezingen gerelateerd aan </w:t>
      </w:r>
      <w:r w:rsidRPr="00080A36" w:rsidR="007A73E5">
        <w:rPr>
          <w:rFonts w:ascii="Verdana" w:hAnsi="Verdana"/>
          <w:sz w:val="18"/>
          <w:szCs w:val="18"/>
        </w:rPr>
        <w:t>Bedrijf 2</w:t>
      </w:r>
      <w:r w:rsidRPr="00080A36" w:rsidR="00BA6113">
        <w:rPr>
          <w:rFonts w:ascii="Verdana" w:hAnsi="Verdana"/>
          <w:sz w:val="18"/>
          <w:szCs w:val="18"/>
        </w:rPr>
        <w:t>.</w:t>
      </w:r>
      <w:r w:rsidRPr="00080A36" w:rsidR="00532F87">
        <w:rPr>
          <w:rFonts w:ascii="Verdana" w:hAnsi="Verdana"/>
          <w:sz w:val="18"/>
          <w:szCs w:val="18"/>
        </w:rPr>
        <w:t xml:space="preserve"> </w:t>
      </w:r>
      <w:r w:rsidRPr="00080A36">
        <w:rPr>
          <w:rFonts w:ascii="Verdana" w:hAnsi="Verdana"/>
          <w:sz w:val="18"/>
          <w:szCs w:val="18"/>
        </w:rPr>
        <w:t>De</w:t>
      </w:r>
      <w:r w:rsidRPr="00080A36" w:rsidR="00532F87">
        <w:rPr>
          <w:rFonts w:ascii="Verdana" w:hAnsi="Verdana"/>
          <w:sz w:val="18"/>
          <w:szCs w:val="18"/>
        </w:rPr>
        <w:t>ze</w:t>
      </w:r>
      <w:r w:rsidRPr="00080A36">
        <w:rPr>
          <w:rFonts w:ascii="Verdana" w:hAnsi="Verdana"/>
          <w:sz w:val="18"/>
          <w:szCs w:val="18"/>
        </w:rPr>
        <w:t xml:space="preserve"> bevriezingen betroffen in totaal tegoeden ter waarde van ca. </w:t>
      </w:r>
      <w:r w:rsidR="00755E6E">
        <w:rPr>
          <w:rFonts w:ascii="Verdana" w:hAnsi="Verdana"/>
          <w:sz w:val="18"/>
          <w:szCs w:val="18"/>
        </w:rPr>
        <w:t>EUR</w:t>
      </w:r>
      <w:r w:rsidRPr="00080A36" w:rsidR="00B75EF9">
        <w:rPr>
          <w:rFonts w:ascii="Verdana" w:hAnsi="Verdana"/>
          <w:sz w:val="18"/>
          <w:szCs w:val="18"/>
        </w:rPr>
        <w:t xml:space="preserve"> </w:t>
      </w:r>
      <w:r w:rsidRPr="00080A36">
        <w:rPr>
          <w:rFonts w:ascii="Verdana" w:hAnsi="Verdana"/>
          <w:sz w:val="18"/>
          <w:szCs w:val="18"/>
        </w:rPr>
        <w:t xml:space="preserve">200 </w:t>
      </w:r>
      <w:r w:rsidR="00755E6E">
        <w:rPr>
          <w:rFonts w:ascii="Verdana" w:hAnsi="Verdana"/>
          <w:sz w:val="18"/>
          <w:szCs w:val="18"/>
        </w:rPr>
        <w:t>mln</w:t>
      </w:r>
      <w:r w:rsidRPr="00080A36">
        <w:rPr>
          <w:rFonts w:ascii="Verdana" w:hAnsi="Verdana"/>
          <w:sz w:val="18"/>
          <w:szCs w:val="18"/>
        </w:rPr>
        <w:t>.</w:t>
      </w:r>
      <w:r w:rsidRPr="00080A36" w:rsidR="007A2F01">
        <w:rPr>
          <w:rFonts w:ascii="Verdana" w:hAnsi="Verdana"/>
          <w:sz w:val="18"/>
          <w:szCs w:val="18"/>
        </w:rPr>
        <w:t xml:space="preserve"> </w:t>
      </w:r>
      <w:r w:rsidRPr="00080A36" w:rsidR="007A73E5">
        <w:rPr>
          <w:rFonts w:ascii="Verdana" w:hAnsi="Verdana"/>
          <w:sz w:val="18"/>
          <w:szCs w:val="18"/>
        </w:rPr>
        <w:t xml:space="preserve">Bedrijf 2 is een </w:t>
      </w:r>
      <w:r w:rsidRPr="00080A36">
        <w:rPr>
          <w:rFonts w:ascii="Verdana" w:hAnsi="Verdana"/>
          <w:sz w:val="18"/>
          <w:szCs w:val="18"/>
        </w:rPr>
        <w:t xml:space="preserve">onderneming met dezelfde gesanctioneerde </w:t>
      </w:r>
      <w:proofErr w:type="spellStart"/>
      <w:r w:rsidRPr="00080A36">
        <w:rPr>
          <w:rFonts w:ascii="Verdana" w:hAnsi="Verdana"/>
          <w:sz w:val="18"/>
          <w:szCs w:val="18"/>
        </w:rPr>
        <w:t>UBO’s</w:t>
      </w:r>
      <w:proofErr w:type="spellEnd"/>
      <w:r w:rsidRPr="00080A36">
        <w:rPr>
          <w:rFonts w:ascii="Verdana" w:hAnsi="Verdana"/>
          <w:sz w:val="18"/>
          <w:szCs w:val="18"/>
        </w:rPr>
        <w:t xml:space="preserve"> als </w:t>
      </w:r>
      <w:r w:rsidRPr="00080A36" w:rsidR="007A73E5">
        <w:rPr>
          <w:rFonts w:ascii="Verdana" w:hAnsi="Verdana"/>
          <w:sz w:val="18"/>
          <w:szCs w:val="18"/>
        </w:rPr>
        <w:t>Bedrijf 1</w:t>
      </w:r>
      <w:r w:rsidRPr="00080A36">
        <w:rPr>
          <w:rFonts w:ascii="Verdana" w:hAnsi="Verdana"/>
          <w:sz w:val="18"/>
          <w:szCs w:val="18"/>
        </w:rPr>
        <w:t>.</w:t>
      </w:r>
      <w:r w:rsidRPr="00080A36" w:rsidR="007A2F01">
        <w:rPr>
          <w:rFonts w:ascii="Verdana" w:hAnsi="Verdana"/>
          <w:sz w:val="18"/>
          <w:szCs w:val="18"/>
        </w:rPr>
        <w:t xml:space="preserve"> </w:t>
      </w:r>
      <w:r w:rsidR="00B7050F">
        <w:rPr>
          <w:rFonts w:ascii="Verdana" w:hAnsi="Verdana"/>
          <w:sz w:val="18"/>
          <w:szCs w:val="18"/>
        </w:rPr>
        <w:t>I</w:t>
      </w:r>
      <w:r w:rsidRPr="00080A36">
        <w:rPr>
          <w:rFonts w:ascii="Verdana" w:hAnsi="Verdana"/>
          <w:sz w:val="18"/>
          <w:szCs w:val="18"/>
        </w:rPr>
        <w:t xml:space="preserve">n augustus 2022 </w:t>
      </w:r>
      <w:r w:rsidR="00B7050F">
        <w:rPr>
          <w:rFonts w:ascii="Verdana" w:hAnsi="Verdana"/>
          <w:sz w:val="18"/>
          <w:szCs w:val="18"/>
        </w:rPr>
        <w:t>verleende</w:t>
      </w:r>
      <w:r w:rsidRPr="00080A36">
        <w:rPr>
          <w:rFonts w:ascii="Verdana" w:hAnsi="Verdana"/>
          <w:sz w:val="18"/>
          <w:szCs w:val="18"/>
        </w:rPr>
        <w:t xml:space="preserve"> </w:t>
      </w:r>
      <w:r w:rsidRPr="00080A36" w:rsidR="007A73E5">
        <w:rPr>
          <w:rFonts w:ascii="Verdana" w:hAnsi="Verdana"/>
          <w:sz w:val="18"/>
          <w:szCs w:val="18"/>
        </w:rPr>
        <w:t xml:space="preserve">de </w:t>
      </w:r>
      <w:r w:rsidRPr="00080A36" w:rsidR="00FD377C">
        <w:rPr>
          <w:rFonts w:ascii="Verdana" w:hAnsi="Verdana"/>
          <w:sz w:val="18"/>
          <w:szCs w:val="18"/>
        </w:rPr>
        <w:t>m</w:t>
      </w:r>
      <w:r w:rsidRPr="00080A36" w:rsidR="007A2F01">
        <w:rPr>
          <w:rFonts w:ascii="Verdana" w:hAnsi="Verdana"/>
          <w:sz w:val="18"/>
          <w:szCs w:val="18"/>
        </w:rPr>
        <w:t>inister van Financiën</w:t>
      </w:r>
      <w:r w:rsidRPr="00080A36">
        <w:rPr>
          <w:rFonts w:ascii="Verdana" w:hAnsi="Verdana"/>
          <w:sz w:val="18"/>
          <w:szCs w:val="18"/>
        </w:rPr>
        <w:t xml:space="preserve"> toestemming voor vrijgave van die bevroren tegoeden ten behoeve van rente en aflossing op uitstaande leningen</w:t>
      </w:r>
      <w:r w:rsidRPr="00080A36" w:rsidR="00B75EF9">
        <w:rPr>
          <w:rFonts w:ascii="Verdana" w:hAnsi="Verdana"/>
          <w:sz w:val="18"/>
          <w:szCs w:val="18"/>
        </w:rPr>
        <w:t xml:space="preserve"> bij </w:t>
      </w:r>
      <w:r w:rsidRPr="00080A36" w:rsidR="008F4098">
        <w:rPr>
          <w:rFonts w:ascii="Verdana" w:hAnsi="Verdana"/>
          <w:sz w:val="18"/>
          <w:szCs w:val="18"/>
        </w:rPr>
        <w:t>niet</w:t>
      </w:r>
      <w:r w:rsidRPr="00080A36" w:rsidR="007A73E5">
        <w:rPr>
          <w:rFonts w:ascii="Verdana" w:hAnsi="Verdana"/>
          <w:sz w:val="18"/>
          <w:szCs w:val="18"/>
        </w:rPr>
        <w:t>-</w:t>
      </w:r>
      <w:r w:rsidRPr="00080A36" w:rsidR="008F4098">
        <w:rPr>
          <w:rFonts w:ascii="Verdana" w:hAnsi="Verdana"/>
          <w:sz w:val="18"/>
          <w:szCs w:val="18"/>
        </w:rPr>
        <w:t>gesanctioneerde banken.</w:t>
      </w:r>
      <w:r w:rsidRPr="00080A36" w:rsidR="009F0186">
        <w:rPr>
          <w:rFonts w:ascii="Verdana" w:hAnsi="Verdana"/>
          <w:sz w:val="18"/>
          <w:szCs w:val="18"/>
        </w:rPr>
        <w:t xml:space="preserve"> </w:t>
      </w:r>
      <w:r w:rsidRPr="00080A36" w:rsidR="00A00313">
        <w:rPr>
          <w:rFonts w:ascii="Verdana" w:hAnsi="Verdana"/>
          <w:sz w:val="18"/>
          <w:szCs w:val="18"/>
        </w:rPr>
        <w:t xml:space="preserve">De minister van Financiën is bevoegd ontheffingen te verlenen voor financiële transacties of het vrijgeven van bevroren tegoeden als het EU-sanctieregime die mogelijkheid biedt. Zo kan toestemming worden verleend voor vrijgave van bevroren tegoeden voor het betalen van </w:t>
      </w:r>
      <w:r w:rsidRPr="00080A36" w:rsidR="009F0186">
        <w:rPr>
          <w:rFonts w:ascii="Verdana" w:hAnsi="Verdana"/>
          <w:sz w:val="18"/>
          <w:szCs w:val="18"/>
        </w:rPr>
        <w:t xml:space="preserve">zulke </w:t>
      </w:r>
      <w:r w:rsidRPr="00080A36" w:rsidR="00A00313">
        <w:rPr>
          <w:rFonts w:ascii="Verdana" w:hAnsi="Verdana"/>
          <w:sz w:val="18"/>
          <w:szCs w:val="18"/>
        </w:rPr>
        <w:t xml:space="preserve">‘oude schulden’, </w:t>
      </w:r>
      <w:r w:rsidRPr="00080A36" w:rsidR="001D0ED3">
        <w:rPr>
          <w:rFonts w:ascii="Verdana" w:hAnsi="Verdana"/>
          <w:sz w:val="18"/>
          <w:szCs w:val="18"/>
        </w:rPr>
        <w:t>mits</w:t>
      </w:r>
      <w:r w:rsidRPr="00080A36" w:rsidR="008F4098">
        <w:rPr>
          <w:rFonts w:ascii="Verdana" w:hAnsi="Verdana"/>
          <w:sz w:val="18"/>
          <w:szCs w:val="18"/>
        </w:rPr>
        <w:t xml:space="preserve"> die tegoeden niet ten goede komen van gesanctioneerde partijen.</w:t>
      </w:r>
    </w:p>
    <w:p w:rsidRPr="00080A36" w:rsidR="0060075F" w:rsidP="0068771F" w:rsidRDefault="0060075F" w14:paraId="6BC4778C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7925B6" w:rsidP="0068771F" w:rsidRDefault="007925B6" w14:paraId="35E9F905" w14:textId="21C78F0B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In juni 2024 </w:t>
      </w:r>
      <w:r w:rsidR="00B7050F">
        <w:rPr>
          <w:rFonts w:ascii="Verdana" w:hAnsi="Verdana"/>
          <w:sz w:val="18"/>
          <w:szCs w:val="18"/>
        </w:rPr>
        <w:t>bevestigde</w:t>
      </w:r>
      <w:r w:rsidRPr="00080A36">
        <w:rPr>
          <w:rFonts w:ascii="Verdana" w:hAnsi="Verdana"/>
          <w:sz w:val="18"/>
          <w:szCs w:val="18"/>
        </w:rPr>
        <w:t xml:space="preserve"> </w:t>
      </w:r>
      <w:r w:rsidRPr="00080A36" w:rsidR="00757439">
        <w:rPr>
          <w:rFonts w:ascii="Verdana" w:hAnsi="Verdana"/>
          <w:sz w:val="18"/>
          <w:szCs w:val="18"/>
        </w:rPr>
        <w:t xml:space="preserve">het </w:t>
      </w:r>
      <w:r w:rsidRPr="00080A36">
        <w:rPr>
          <w:rFonts w:ascii="Verdana" w:hAnsi="Verdana"/>
          <w:sz w:val="18"/>
          <w:szCs w:val="18"/>
        </w:rPr>
        <w:t xml:space="preserve">BTI in aanvulling hierop dat ook </w:t>
      </w:r>
      <w:r w:rsidRPr="00080A36" w:rsidR="007A73E5">
        <w:rPr>
          <w:rFonts w:ascii="Verdana" w:hAnsi="Verdana"/>
          <w:sz w:val="18"/>
          <w:szCs w:val="18"/>
        </w:rPr>
        <w:t>Bedrijf 2</w:t>
      </w:r>
      <w:r w:rsidRPr="00080A36">
        <w:rPr>
          <w:rFonts w:ascii="Verdana" w:hAnsi="Verdana"/>
          <w:sz w:val="18"/>
          <w:szCs w:val="18"/>
        </w:rPr>
        <w:t xml:space="preserve"> niet is onderworpen aan de bevriezingsmaatregelen zoals vastgesteld in het EU-sanctieregime inzake Rusland. Aanleiding vormde een herstructurering van </w:t>
      </w:r>
      <w:r w:rsidRPr="00080A36" w:rsidR="007A73E5">
        <w:rPr>
          <w:rFonts w:ascii="Verdana" w:hAnsi="Verdana"/>
          <w:sz w:val="18"/>
          <w:szCs w:val="18"/>
        </w:rPr>
        <w:t>Bedrijf 1</w:t>
      </w:r>
      <w:r w:rsidR="00B7050F">
        <w:rPr>
          <w:rFonts w:ascii="Verdana" w:hAnsi="Verdana"/>
          <w:sz w:val="18"/>
          <w:szCs w:val="18"/>
        </w:rPr>
        <w:t>,</w:t>
      </w:r>
      <w:r w:rsidRPr="00080A36" w:rsidR="007A73E5">
        <w:rPr>
          <w:rFonts w:ascii="Verdana" w:hAnsi="Verdana"/>
          <w:sz w:val="18"/>
          <w:szCs w:val="18"/>
        </w:rPr>
        <w:t xml:space="preserve"> </w:t>
      </w:r>
      <w:r w:rsidRPr="00080A36">
        <w:rPr>
          <w:rFonts w:ascii="Verdana" w:hAnsi="Verdana"/>
          <w:sz w:val="18"/>
          <w:szCs w:val="18"/>
        </w:rPr>
        <w:t xml:space="preserve">waardoor </w:t>
      </w:r>
      <w:r w:rsidRPr="00080A36" w:rsidR="007A73E5">
        <w:rPr>
          <w:rFonts w:ascii="Verdana" w:hAnsi="Verdana"/>
          <w:sz w:val="18"/>
          <w:szCs w:val="18"/>
        </w:rPr>
        <w:t xml:space="preserve">Bedrijf 2 </w:t>
      </w:r>
      <w:r w:rsidRPr="00080A36">
        <w:rPr>
          <w:rFonts w:ascii="Verdana" w:hAnsi="Verdana"/>
          <w:sz w:val="18"/>
          <w:szCs w:val="18"/>
        </w:rPr>
        <w:t xml:space="preserve">een </w:t>
      </w:r>
      <w:r w:rsidRPr="00080A36" w:rsidR="000A2208">
        <w:rPr>
          <w:rFonts w:ascii="Verdana" w:hAnsi="Verdana"/>
          <w:sz w:val="18"/>
          <w:szCs w:val="18"/>
        </w:rPr>
        <w:t>volledige</w:t>
      </w:r>
      <w:r w:rsidRPr="00080A36">
        <w:rPr>
          <w:rFonts w:ascii="Verdana" w:hAnsi="Verdana"/>
          <w:sz w:val="18"/>
          <w:szCs w:val="18"/>
        </w:rPr>
        <w:t xml:space="preserve"> dochter was geworden van </w:t>
      </w:r>
      <w:r w:rsidRPr="00080A36" w:rsidR="007A73E5">
        <w:rPr>
          <w:rFonts w:ascii="Verdana" w:hAnsi="Verdana"/>
          <w:sz w:val="18"/>
          <w:szCs w:val="18"/>
        </w:rPr>
        <w:t>Bedrijf 1</w:t>
      </w:r>
      <w:r w:rsidRPr="00080A36">
        <w:rPr>
          <w:rFonts w:ascii="Verdana" w:hAnsi="Verdana"/>
          <w:sz w:val="18"/>
          <w:szCs w:val="18"/>
        </w:rPr>
        <w:t xml:space="preserve"> en zodoende </w:t>
      </w:r>
      <w:r w:rsidRPr="00080A36" w:rsidR="0063747B">
        <w:rPr>
          <w:rFonts w:ascii="Verdana" w:hAnsi="Verdana"/>
          <w:sz w:val="18"/>
          <w:szCs w:val="18"/>
        </w:rPr>
        <w:t xml:space="preserve">ook op voldoende afstand </w:t>
      </w:r>
      <w:r w:rsidR="00B7050F">
        <w:rPr>
          <w:rFonts w:ascii="Verdana" w:hAnsi="Verdana"/>
          <w:sz w:val="18"/>
          <w:szCs w:val="18"/>
        </w:rPr>
        <w:t>was</w:t>
      </w:r>
      <w:r w:rsidRPr="00080A36" w:rsidR="0063747B">
        <w:rPr>
          <w:rFonts w:ascii="Verdana" w:hAnsi="Verdana"/>
          <w:sz w:val="18"/>
          <w:szCs w:val="18"/>
        </w:rPr>
        <w:t xml:space="preserve"> gezet van de gesanctioneerde eigenaren (zie hierboven)</w:t>
      </w:r>
      <w:r w:rsidRPr="00080A36">
        <w:rPr>
          <w:rFonts w:ascii="Verdana" w:hAnsi="Verdana"/>
          <w:sz w:val="18"/>
          <w:szCs w:val="18"/>
        </w:rPr>
        <w:t xml:space="preserve">. Hierdoor </w:t>
      </w:r>
      <w:r w:rsidR="00B7050F">
        <w:rPr>
          <w:rFonts w:ascii="Verdana" w:hAnsi="Verdana"/>
          <w:sz w:val="18"/>
          <w:szCs w:val="18"/>
        </w:rPr>
        <w:t>gold</w:t>
      </w:r>
      <w:r w:rsidRPr="00080A36" w:rsidR="00B75EF9">
        <w:rPr>
          <w:rFonts w:ascii="Verdana" w:hAnsi="Verdana"/>
          <w:sz w:val="18"/>
          <w:szCs w:val="18"/>
        </w:rPr>
        <w:t xml:space="preserve"> de bevriezingsverplichting </w:t>
      </w:r>
      <w:r w:rsidRPr="00080A36">
        <w:rPr>
          <w:rFonts w:ascii="Verdana" w:hAnsi="Verdana"/>
          <w:sz w:val="18"/>
          <w:szCs w:val="18"/>
        </w:rPr>
        <w:t xml:space="preserve">ook </w:t>
      </w:r>
      <w:r w:rsidRPr="00080A36" w:rsidR="00B75EF9">
        <w:rPr>
          <w:rFonts w:ascii="Verdana" w:hAnsi="Verdana"/>
          <w:sz w:val="18"/>
          <w:szCs w:val="18"/>
        </w:rPr>
        <w:t xml:space="preserve">niet meer voor </w:t>
      </w:r>
      <w:r w:rsidRPr="00080A36">
        <w:rPr>
          <w:rFonts w:ascii="Verdana" w:hAnsi="Verdana"/>
          <w:sz w:val="18"/>
          <w:szCs w:val="18"/>
        </w:rPr>
        <w:t>deze tegoeden.</w:t>
      </w:r>
    </w:p>
    <w:p w:rsidRPr="00080A36" w:rsidR="007A2F01" w:rsidP="0068771F" w:rsidRDefault="007A2F01" w14:paraId="75A12252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7925B6" w:rsidP="0068771F" w:rsidRDefault="007925B6" w14:paraId="6C02FBD9" w14:textId="77777777">
      <w:pPr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080A36">
        <w:rPr>
          <w:rFonts w:ascii="Verdana" w:hAnsi="Verdana"/>
          <w:i/>
          <w:iCs/>
          <w:sz w:val="18"/>
          <w:szCs w:val="18"/>
        </w:rPr>
        <w:t>Overig</w:t>
      </w:r>
    </w:p>
    <w:p w:rsidRPr="00080A36" w:rsidR="00760333" w:rsidP="0068771F" w:rsidRDefault="007925B6" w14:paraId="4192F02D" w14:textId="1CA6510E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Naast </w:t>
      </w:r>
      <w:r w:rsidRPr="00080A36" w:rsidR="007A73E5">
        <w:rPr>
          <w:rFonts w:ascii="Verdana" w:hAnsi="Verdana"/>
          <w:sz w:val="18"/>
          <w:szCs w:val="18"/>
        </w:rPr>
        <w:t>Bedrijf 1 en Bedrijf 2</w:t>
      </w:r>
      <w:r w:rsidRPr="00080A36">
        <w:rPr>
          <w:rFonts w:ascii="Verdana" w:hAnsi="Verdana"/>
          <w:sz w:val="18"/>
          <w:szCs w:val="18"/>
        </w:rPr>
        <w:t xml:space="preserve"> zijn er enkele vergelijkbare casussen, met een beperktere omvang dan hierboven genoemd.</w:t>
      </w:r>
      <w:r w:rsidRPr="00080A36" w:rsidR="007A2F01">
        <w:rPr>
          <w:rFonts w:ascii="Verdana" w:hAnsi="Verdana"/>
          <w:sz w:val="18"/>
          <w:szCs w:val="18"/>
        </w:rPr>
        <w:t xml:space="preserve"> </w:t>
      </w:r>
      <w:r w:rsidRPr="00080A36" w:rsidR="00757439">
        <w:rPr>
          <w:rFonts w:ascii="Verdana" w:hAnsi="Verdana"/>
          <w:sz w:val="18"/>
          <w:szCs w:val="18"/>
        </w:rPr>
        <w:t>Net als bij bovenstaande casussen, heeft het BTI ook hier vanuit zijn rol de sanctiestatus van de ondernemingen</w:t>
      </w:r>
      <w:r w:rsidR="00B7050F">
        <w:rPr>
          <w:rFonts w:ascii="Verdana" w:hAnsi="Verdana"/>
          <w:sz w:val="18"/>
          <w:szCs w:val="18"/>
        </w:rPr>
        <w:t xml:space="preserve"> beoordeeld</w:t>
      </w:r>
      <w:r w:rsidRPr="00080A36" w:rsidR="00757439">
        <w:rPr>
          <w:rFonts w:ascii="Verdana" w:hAnsi="Verdana"/>
          <w:sz w:val="18"/>
          <w:szCs w:val="18"/>
        </w:rPr>
        <w:t xml:space="preserve">. </w:t>
      </w:r>
      <w:r w:rsidRPr="00080A36" w:rsidR="009D5CEB">
        <w:rPr>
          <w:rFonts w:ascii="Verdana" w:hAnsi="Verdana"/>
          <w:sz w:val="18"/>
          <w:szCs w:val="18"/>
        </w:rPr>
        <w:t xml:space="preserve">Tabel 1 bevat een overzicht van de </w:t>
      </w:r>
      <w:r w:rsidRPr="00080A36" w:rsidR="007B5753">
        <w:rPr>
          <w:rFonts w:ascii="Verdana" w:hAnsi="Verdana"/>
          <w:sz w:val="18"/>
          <w:szCs w:val="18"/>
        </w:rPr>
        <w:t xml:space="preserve">hoogste bedragen met bevroren tegoeden en een toelichting op eventuele </w:t>
      </w:r>
      <w:r w:rsidRPr="00080A36" w:rsidR="009D5CEB">
        <w:rPr>
          <w:rFonts w:ascii="Verdana" w:hAnsi="Verdana"/>
          <w:sz w:val="18"/>
          <w:szCs w:val="18"/>
        </w:rPr>
        <w:t>verschillen</w:t>
      </w:r>
      <w:r w:rsidRPr="00080A36" w:rsidR="00C34DE3">
        <w:rPr>
          <w:rFonts w:ascii="Verdana" w:hAnsi="Verdana"/>
          <w:sz w:val="18"/>
          <w:szCs w:val="18"/>
        </w:rPr>
        <w:t>.</w:t>
      </w:r>
      <w:r w:rsidRPr="00080A36" w:rsidR="006302FF">
        <w:rPr>
          <w:rFonts w:ascii="Verdana" w:hAnsi="Verdana"/>
          <w:sz w:val="18"/>
          <w:szCs w:val="18"/>
        </w:rPr>
        <w:t xml:space="preserve"> In de tabel is ook een post overige genoemd. Dit gaa</w:t>
      </w:r>
      <w:r w:rsidRPr="00080A36" w:rsidR="00760333">
        <w:rPr>
          <w:rFonts w:ascii="Verdana" w:hAnsi="Verdana"/>
          <w:sz w:val="18"/>
          <w:szCs w:val="18"/>
        </w:rPr>
        <w:t>t</w:t>
      </w:r>
      <w:r w:rsidRPr="00080A36" w:rsidR="006302FF">
        <w:rPr>
          <w:rFonts w:ascii="Verdana" w:hAnsi="Verdana"/>
          <w:sz w:val="18"/>
          <w:szCs w:val="18"/>
        </w:rPr>
        <w:t xml:space="preserve"> om een groot aantal posten </w:t>
      </w:r>
      <w:r w:rsidRPr="00080A36" w:rsidR="008B0175">
        <w:rPr>
          <w:rFonts w:ascii="Verdana" w:hAnsi="Verdana"/>
          <w:sz w:val="18"/>
          <w:szCs w:val="18"/>
        </w:rPr>
        <w:t>variërend</w:t>
      </w:r>
      <w:r w:rsidRPr="00080A36" w:rsidR="006302FF">
        <w:rPr>
          <w:rFonts w:ascii="Verdana" w:hAnsi="Verdana"/>
          <w:sz w:val="18"/>
          <w:szCs w:val="18"/>
        </w:rPr>
        <w:t xml:space="preserve"> van een paar euro tot een miljoen euro. </w:t>
      </w:r>
    </w:p>
    <w:p w:rsidRPr="00080A36" w:rsidR="00760333" w:rsidP="00080A36" w:rsidRDefault="00760333" w14:paraId="0C46B6EB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760333" w:rsidP="00080A36" w:rsidRDefault="00760333" w14:paraId="68FC3FED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080A36" w:rsidR="00A57602" w:rsidP="00080A36" w:rsidRDefault="00C34DE3" w14:paraId="6DC755B9" w14:textId="273CF7D4">
      <w:pPr>
        <w:spacing w:line="276" w:lineRule="auto"/>
        <w:rPr>
          <w:rFonts w:ascii="Verdana" w:hAnsi="Verdana"/>
          <w:sz w:val="18"/>
          <w:szCs w:val="18"/>
        </w:rPr>
      </w:pPr>
      <w:r w:rsidRPr="00080A36">
        <w:rPr>
          <w:rFonts w:ascii="Verdana" w:hAnsi="Verdana"/>
          <w:sz w:val="18"/>
          <w:szCs w:val="18"/>
        </w:rPr>
        <w:t xml:space="preserve"> </w:t>
      </w:r>
    </w:p>
    <w:p w:rsidRPr="00080A36" w:rsidR="009D5CEB" w:rsidP="00080A36" w:rsidRDefault="009D5CEB" w14:paraId="5FB43092" w14:textId="77777777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GridTable1Light"/>
        <w:tblW w:w="9083" w:type="dxa"/>
        <w:tblLook w:val="04A0" w:firstRow="1" w:lastRow="0" w:firstColumn="1" w:lastColumn="0" w:noHBand="0" w:noVBand="1"/>
      </w:tblPr>
      <w:tblGrid>
        <w:gridCol w:w="2562"/>
        <w:gridCol w:w="1985"/>
        <w:gridCol w:w="1701"/>
        <w:gridCol w:w="2835"/>
      </w:tblGrid>
      <w:tr w:rsidRPr="00080A36" w:rsidR="000C6E21" w:rsidTr="00AD1942" w14:paraId="307E43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  <w:gridSpan w:val="4"/>
          </w:tcPr>
          <w:p w:rsidRPr="00080A36" w:rsidR="000C6E21" w:rsidP="00080A36" w:rsidRDefault="000C6E21" w14:paraId="19C187AA" w14:textId="5122DCDE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/>
                <w:sz w:val="18"/>
                <w:szCs w:val="18"/>
              </w:rPr>
              <w:lastRenderedPageBreak/>
              <w:t xml:space="preserve">Tabel 1. Toelichting op </w:t>
            </w:r>
            <w:r w:rsidRPr="00080A36" w:rsidR="007B5753">
              <w:rPr>
                <w:rFonts w:ascii="Verdana" w:hAnsi="Verdana"/>
                <w:sz w:val="18"/>
                <w:szCs w:val="18"/>
              </w:rPr>
              <w:t xml:space="preserve">bevroren tegoeden en </w:t>
            </w:r>
            <w:r w:rsidRPr="00080A36">
              <w:rPr>
                <w:rFonts w:ascii="Verdana" w:hAnsi="Verdana"/>
                <w:sz w:val="18"/>
                <w:szCs w:val="18"/>
              </w:rPr>
              <w:t>de belangrijkste verschillen tussen de oorspronkelijke meldingen en nieuwe meldingen als gevolg van de nieuwe meldplicht uit het 10</w:t>
            </w:r>
            <w:r w:rsidRPr="00080A36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080A36">
              <w:rPr>
                <w:rFonts w:ascii="Verdana" w:hAnsi="Verdana"/>
                <w:sz w:val="18"/>
                <w:szCs w:val="18"/>
              </w:rPr>
              <w:t xml:space="preserve"> sanctiepakket.</w:t>
            </w:r>
          </w:p>
        </w:tc>
      </w:tr>
      <w:tr w:rsidRPr="00080A36" w:rsidR="000C6E21" w:rsidTr="00AD1942" w14:paraId="47D504AB" w14:textId="7777777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hideMark/>
          </w:tcPr>
          <w:p w:rsidRPr="00080A36" w:rsidR="000C6E21" w:rsidP="00080A36" w:rsidRDefault="000C6E21" w14:paraId="4FECF12B" w14:textId="77777777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Gesanctioneerde partij </w:t>
            </w:r>
          </w:p>
        </w:tc>
        <w:tc>
          <w:tcPr>
            <w:tcW w:w="1985" w:type="dxa"/>
            <w:hideMark/>
          </w:tcPr>
          <w:p w:rsidRPr="00080A36" w:rsidR="000C6E21" w:rsidP="00080A36" w:rsidRDefault="000C6E21" w14:paraId="4FECD217" w14:textId="47712E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  <w:t>Eerdere melding</w:t>
            </w:r>
          </w:p>
        </w:tc>
        <w:tc>
          <w:tcPr>
            <w:tcW w:w="1701" w:type="dxa"/>
            <w:hideMark/>
          </w:tcPr>
          <w:p w:rsidRPr="00080A36" w:rsidR="000C6E21" w:rsidP="00080A36" w:rsidRDefault="000C6E21" w14:paraId="4B44A38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  <w:t>Nieuwe melding</w:t>
            </w:r>
          </w:p>
        </w:tc>
        <w:tc>
          <w:tcPr>
            <w:tcW w:w="2835" w:type="dxa"/>
            <w:hideMark/>
          </w:tcPr>
          <w:p w:rsidRPr="00080A36" w:rsidR="000C6E21" w:rsidP="00080A36" w:rsidRDefault="000C6E21" w14:paraId="234276D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Toelichting wijziging </w:t>
            </w:r>
          </w:p>
        </w:tc>
      </w:tr>
      <w:tr w:rsidRPr="00080A36" w:rsidR="000C6E21" w:rsidTr="00AD1942" w14:paraId="7CD029D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0C6E21" w:rsidP="00080A36" w:rsidRDefault="007A73E5" w14:paraId="5220FEAB" w14:textId="2D96A52F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1</w:t>
            </w:r>
          </w:p>
        </w:tc>
        <w:tc>
          <w:tcPr>
            <w:tcW w:w="1985" w:type="dxa"/>
            <w:noWrap/>
            <w:hideMark/>
          </w:tcPr>
          <w:p w:rsidRPr="00080A36" w:rsidR="000C6E21" w:rsidP="00080A36" w:rsidRDefault="000C6E21" w14:paraId="56D6CB33" w14:textId="6D15419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€ 233.300.000 </w:t>
            </w:r>
          </w:p>
        </w:tc>
        <w:tc>
          <w:tcPr>
            <w:tcW w:w="1701" w:type="dxa"/>
            <w:noWrap/>
            <w:hideMark/>
          </w:tcPr>
          <w:p w:rsidRPr="00080A36" w:rsidR="000C6E21" w:rsidP="00080A36" w:rsidRDefault="000C6E21" w14:paraId="093E3EA5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€ 0</w:t>
            </w:r>
          </w:p>
        </w:tc>
        <w:tc>
          <w:tcPr>
            <w:tcW w:w="2835" w:type="dxa"/>
            <w:noWrap/>
            <w:hideMark/>
          </w:tcPr>
          <w:p w:rsidRPr="00080A36" w:rsidR="000C6E21" w:rsidP="00080A36" w:rsidRDefault="000C6E21" w14:paraId="33F5EE9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Wijziging eigendomsstructuur</w:t>
            </w:r>
          </w:p>
        </w:tc>
      </w:tr>
      <w:tr w:rsidRPr="00080A36" w:rsidR="000C6E21" w:rsidTr="00AD1942" w14:paraId="0D52040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0C6E21" w:rsidP="00080A36" w:rsidRDefault="007A73E5" w14:paraId="58E131E2" w14:textId="074BB7C9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2</w:t>
            </w:r>
          </w:p>
        </w:tc>
        <w:tc>
          <w:tcPr>
            <w:tcW w:w="1985" w:type="dxa"/>
            <w:noWrap/>
            <w:hideMark/>
          </w:tcPr>
          <w:p w:rsidRPr="00080A36" w:rsidR="000C6E21" w:rsidP="00080A36" w:rsidRDefault="000C6E21" w14:paraId="524387C9" w14:textId="6B5AF22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€ 216.400.000 </w:t>
            </w:r>
          </w:p>
        </w:tc>
        <w:tc>
          <w:tcPr>
            <w:tcW w:w="1701" w:type="dxa"/>
            <w:noWrap/>
            <w:hideMark/>
          </w:tcPr>
          <w:p w:rsidRPr="00080A36" w:rsidR="000C6E21" w:rsidP="00080A36" w:rsidRDefault="000C6E21" w14:paraId="03BD1E50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€ 0</w:t>
            </w:r>
          </w:p>
        </w:tc>
        <w:tc>
          <w:tcPr>
            <w:tcW w:w="2835" w:type="dxa"/>
            <w:noWrap/>
            <w:hideMark/>
          </w:tcPr>
          <w:p w:rsidRPr="00080A36" w:rsidR="000C6E21" w:rsidP="00080A36" w:rsidRDefault="000C6E21" w14:paraId="094092F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Wijziging eigendomsstructuur</w:t>
            </w:r>
          </w:p>
        </w:tc>
      </w:tr>
      <w:tr w:rsidRPr="00080A36" w:rsidR="000C6E21" w:rsidTr="00AD1942" w14:paraId="273FD476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hideMark/>
          </w:tcPr>
          <w:p w:rsidRPr="00080A36" w:rsidR="000C6E21" w:rsidP="00080A36" w:rsidRDefault="007A73E5" w14:paraId="1E70C67A" w14:textId="7ED65BB1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3</w:t>
            </w:r>
          </w:p>
        </w:tc>
        <w:tc>
          <w:tcPr>
            <w:tcW w:w="1985" w:type="dxa"/>
            <w:noWrap/>
            <w:hideMark/>
          </w:tcPr>
          <w:p w:rsidRPr="00080A36" w:rsidR="000C6E21" w:rsidP="00080A36" w:rsidRDefault="000C6E21" w14:paraId="677AF290" w14:textId="253E53C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€ 114.800.000 </w:t>
            </w:r>
          </w:p>
        </w:tc>
        <w:tc>
          <w:tcPr>
            <w:tcW w:w="1701" w:type="dxa"/>
            <w:noWrap/>
            <w:hideMark/>
          </w:tcPr>
          <w:p w:rsidRPr="00080A36" w:rsidR="000C6E21" w:rsidP="00080A36" w:rsidRDefault="000C6E21" w14:paraId="72B859A6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€ 83.200.000</w:t>
            </w:r>
          </w:p>
        </w:tc>
        <w:tc>
          <w:tcPr>
            <w:tcW w:w="2835" w:type="dxa"/>
            <w:noWrap/>
            <w:hideMark/>
          </w:tcPr>
          <w:p w:rsidRPr="00080A36" w:rsidR="000C6E21" w:rsidP="00080A36" w:rsidRDefault="000C6E21" w14:paraId="25541F4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Melding gecorrigeerd</w:t>
            </w:r>
          </w:p>
        </w:tc>
      </w:tr>
      <w:tr w:rsidRPr="00080A36" w:rsidR="00AD1942" w:rsidTr="00AD1942" w14:paraId="66C979F4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AD1942" w:rsidP="00080A36" w:rsidRDefault="007A73E5" w14:paraId="56C67028" w14:textId="00888A4E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4</w:t>
            </w:r>
          </w:p>
        </w:tc>
        <w:tc>
          <w:tcPr>
            <w:tcW w:w="1985" w:type="dxa"/>
            <w:noWrap/>
          </w:tcPr>
          <w:p w:rsidRPr="00080A36" w:rsidR="00AD1942" w:rsidP="00080A36" w:rsidRDefault="00AD1942" w14:paraId="15C99EB4" w14:textId="05225D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       € 67.200.000</w:t>
            </w:r>
          </w:p>
        </w:tc>
        <w:tc>
          <w:tcPr>
            <w:tcW w:w="1701" w:type="dxa"/>
            <w:noWrap/>
            <w:hideMark/>
          </w:tcPr>
          <w:p w:rsidRPr="00080A36" w:rsidR="00AD1942" w:rsidP="00080A36" w:rsidRDefault="00AD1942" w14:paraId="72DA0FA4" w14:textId="7DC75A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    € 7.800.000</w:t>
            </w:r>
          </w:p>
        </w:tc>
        <w:tc>
          <w:tcPr>
            <w:tcW w:w="2835" w:type="dxa"/>
            <w:noWrap/>
            <w:hideMark/>
          </w:tcPr>
          <w:p w:rsidRPr="00080A36" w:rsidR="00AD1942" w:rsidP="00080A36" w:rsidRDefault="00AD1942" w14:paraId="329705E2" w14:textId="5D3FD7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Ontheffing verleen</w:t>
            </w:r>
            <w:r w:rsidRPr="00080A36">
              <w:rPr>
                <w:rFonts w:ascii="Verdana" w:hAnsi="Verdana" w:eastAsia="Times New Roman"/>
                <w:sz w:val="18"/>
                <w:szCs w:val="18"/>
                <w:lang w:eastAsia="nl-NL"/>
              </w:rPr>
              <w:t xml:space="preserve">d </w:t>
            </w:r>
            <w:r w:rsidRPr="00080A36">
              <w:rPr>
                <w:rFonts w:ascii="Verdana" w:hAnsi="Verdana"/>
                <w:sz w:val="18"/>
                <w:szCs w:val="18"/>
              </w:rPr>
              <w:t>voor vrijgave tegoeden ten behoeve van terugbetaling van een voorafgaand aan de sanctionering verstrekte lening</w:t>
            </w:r>
          </w:p>
        </w:tc>
      </w:tr>
      <w:tr w:rsidRPr="00080A36" w:rsidR="00AD1942" w:rsidTr="00AD1942" w14:paraId="3B6A72D5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AD1942" w:rsidP="00080A36" w:rsidRDefault="007A73E5" w14:paraId="5A587116" w14:textId="112E8AE9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5</w:t>
            </w:r>
          </w:p>
        </w:tc>
        <w:tc>
          <w:tcPr>
            <w:tcW w:w="1985" w:type="dxa"/>
            <w:noWrap/>
            <w:hideMark/>
          </w:tcPr>
          <w:p w:rsidRPr="00080A36" w:rsidR="00AD1942" w:rsidP="00080A36" w:rsidRDefault="00AD1942" w14:paraId="0DF744F8" w14:textId="1BFEBA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       € 10.500.000 </w:t>
            </w:r>
          </w:p>
        </w:tc>
        <w:tc>
          <w:tcPr>
            <w:tcW w:w="1701" w:type="dxa"/>
            <w:noWrap/>
            <w:hideMark/>
          </w:tcPr>
          <w:p w:rsidRPr="00080A36" w:rsidR="00AD1942" w:rsidP="00080A36" w:rsidRDefault="00AD1942" w14:paraId="621D87C1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€ 0</w:t>
            </w:r>
          </w:p>
        </w:tc>
        <w:tc>
          <w:tcPr>
            <w:tcW w:w="2835" w:type="dxa"/>
            <w:noWrap/>
            <w:hideMark/>
          </w:tcPr>
          <w:p w:rsidRPr="00080A36" w:rsidR="00AD1942" w:rsidP="00080A36" w:rsidRDefault="00AD1942" w14:paraId="21EDD0A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Wijziging eigendomsstructuur</w:t>
            </w:r>
          </w:p>
        </w:tc>
      </w:tr>
      <w:tr w:rsidRPr="00080A36" w:rsidR="00AD1942" w:rsidTr="00AD1942" w14:paraId="4843AF75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AD1942" w:rsidP="00080A36" w:rsidRDefault="007A73E5" w14:paraId="7DC418E3" w14:textId="4193C571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6</w:t>
            </w:r>
          </w:p>
        </w:tc>
        <w:tc>
          <w:tcPr>
            <w:tcW w:w="1985" w:type="dxa"/>
            <w:noWrap/>
            <w:hideMark/>
          </w:tcPr>
          <w:p w:rsidRPr="00080A36" w:rsidR="00AD1942" w:rsidP="00080A36" w:rsidRDefault="00AD1942" w14:paraId="66FBAF8D" w14:textId="319C11C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€ 4.100.000 </w:t>
            </w:r>
          </w:p>
        </w:tc>
        <w:tc>
          <w:tcPr>
            <w:tcW w:w="1701" w:type="dxa"/>
            <w:noWrap/>
            <w:hideMark/>
          </w:tcPr>
          <w:p w:rsidRPr="00080A36" w:rsidR="00AD1942" w:rsidP="00080A36" w:rsidRDefault="00AD1942" w14:paraId="608AB46C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€ 0</w:t>
            </w:r>
          </w:p>
        </w:tc>
        <w:tc>
          <w:tcPr>
            <w:tcW w:w="2835" w:type="dxa"/>
            <w:noWrap/>
            <w:hideMark/>
          </w:tcPr>
          <w:p w:rsidRPr="00080A36" w:rsidR="00AD1942" w:rsidP="00080A36" w:rsidRDefault="00AD1942" w14:paraId="44388B4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Wijziging eigendomsstructuur</w:t>
            </w:r>
          </w:p>
        </w:tc>
      </w:tr>
      <w:tr w:rsidRPr="00080A36" w:rsidR="00AD1942" w:rsidTr="00AD1942" w14:paraId="3E7E9D5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AD1942" w:rsidP="00080A36" w:rsidRDefault="007A73E5" w14:paraId="67AEE9BA" w14:textId="5D0A5940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  <w:t>Bedrijf 7</w:t>
            </w:r>
          </w:p>
        </w:tc>
        <w:tc>
          <w:tcPr>
            <w:tcW w:w="1985" w:type="dxa"/>
            <w:noWrap/>
            <w:hideMark/>
          </w:tcPr>
          <w:p w:rsidRPr="00080A36" w:rsidR="00AD1942" w:rsidP="00080A36" w:rsidRDefault="00AD1942" w14:paraId="3C4976B0" w14:textId="06810D9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 xml:space="preserve"> € 4.300.000 </w:t>
            </w:r>
          </w:p>
        </w:tc>
        <w:tc>
          <w:tcPr>
            <w:tcW w:w="1701" w:type="dxa"/>
            <w:noWrap/>
            <w:hideMark/>
          </w:tcPr>
          <w:p w:rsidRPr="00080A36" w:rsidR="00AD1942" w:rsidP="00080A36" w:rsidRDefault="00AD1942" w14:paraId="695B09EA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€ 4.300.000</w:t>
            </w:r>
          </w:p>
        </w:tc>
        <w:tc>
          <w:tcPr>
            <w:tcW w:w="2835" w:type="dxa"/>
            <w:noWrap/>
            <w:hideMark/>
          </w:tcPr>
          <w:p w:rsidRPr="00080A36" w:rsidR="00AD1942" w:rsidP="00080A36" w:rsidRDefault="00AD1942" w14:paraId="649836E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Nog steeds gesanctioneerd</w:t>
            </w:r>
          </w:p>
        </w:tc>
      </w:tr>
      <w:tr w:rsidRPr="00080A36" w:rsidR="00AD1942" w:rsidTr="00AD1942" w14:paraId="1EEB92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AD1942" w:rsidP="00080A36" w:rsidRDefault="00AD1942" w14:paraId="1A6734FA" w14:textId="048E3E2B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 w:val="0"/>
                <w:bCs w:val="0"/>
                <w:i/>
                <w:iCs/>
                <w:color w:val="000000"/>
                <w:sz w:val="18"/>
                <w:szCs w:val="18"/>
                <w:lang w:eastAsia="nl-NL"/>
              </w:rPr>
              <w:t>Overige posten</w:t>
            </w:r>
          </w:p>
        </w:tc>
        <w:tc>
          <w:tcPr>
            <w:tcW w:w="1985" w:type="dxa"/>
            <w:noWrap/>
            <w:hideMark/>
          </w:tcPr>
          <w:p w:rsidRPr="00080A36" w:rsidR="00AD1942" w:rsidP="00080A36" w:rsidRDefault="00AD1942" w14:paraId="046825E7" w14:textId="2685937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i/>
                <w:iCs/>
                <w:color w:val="000000"/>
                <w:sz w:val="18"/>
                <w:szCs w:val="18"/>
                <w:lang w:eastAsia="nl-NL"/>
              </w:rPr>
              <w:t xml:space="preserve"> € 13.100.000 </w:t>
            </w:r>
          </w:p>
        </w:tc>
        <w:tc>
          <w:tcPr>
            <w:tcW w:w="1701" w:type="dxa"/>
            <w:noWrap/>
            <w:hideMark/>
          </w:tcPr>
          <w:p w:rsidRPr="00080A36" w:rsidR="00AD1942" w:rsidP="00080A36" w:rsidRDefault="00AD1942" w14:paraId="2A82C28C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i/>
                <w:iCs/>
                <w:color w:val="000000"/>
                <w:sz w:val="18"/>
                <w:szCs w:val="18"/>
                <w:lang w:eastAsia="nl-NL"/>
              </w:rPr>
              <w:t>€ 1.900.000</w:t>
            </w:r>
          </w:p>
        </w:tc>
        <w:tc>
          <w:tcPr>
            <w:tcW w:w="2835" w:type="dxa"/>
            <w:noWrap/>
            <w:hideMark/>
          </w:tcPr>
          <w:p w:rsidRPr="00080A36" w:rsidR="00AD1942" w:rsidP="00080A36" w:rsidRDefault="00AD1942" w14:paraId="756E2E1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Pr="00080A36" w:rsidR="00AD1942" w:rsidTr="00AD1942" w14:paraId="2CEA5BC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noWrap/>
            <w:hideMark/>
          </w:tcPr>
          <w:p w:rsidRPr="00080A36" w:rsidR="00AD1942" w:rsidP="00080A36" w:rsidRDefault="00AD1942" w14:paraId="4E71900D" w14:textId="77777777">
            <w:pPr>
              <w:spacing w:line="276" w:lineRule="auto"/>
              <w:rPr>
                <w:rFonts w:ascii="Verdana" w:hAnsi="Verdana" w:eastAsia="Times New Roman"/>
                <w:b w:val="0"/>
                <w:bCs w:val="0"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985" w:type="dxa"/>
            <w:noWrap/>
            <w:hideMark/>
          </w:tcPr>
          <w:p w:rsidRPr="00080A36" w:rsidR="00AD1942" w:rsidP="00080A36" w:rsidRDefault="00AD1942" w14:paraId="75B034C3" w14:textId="494C991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€ 663.700.000 </w:t>
            </w:r>
          </w:p>
        </w:tc>
        <w:tc>
          <w:tcPr>
            <w:tcW w:w="1701" w:type="dxa"/>
            <w:noWrap/>
            <w:hideMark/>
          </w:tcPr>
          <w:p w:rsidRPr="00080A36" w:rsidR="00AD1942" w:rsidP="00080A36" w:rsidRDefault="00AD1942" w14:paraId="03E50837" w14:textId="0D7951B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€ 97.200.000 </w:t>
            </w:r>
          </w:p>
        </w:tc>
        <w:tc>
          <w:tcPr>
            <w:tcW w:w="2835" w:type="dxa"/>
            <w:noWrap/>
            <w:hideMark/>
          </w:tcPr>
          <w:p w:rsidRPr="00080A36" w:rsidR="00AD1942" w:rsidP="00080A36" w:rsidRDefault="00AD1942" w14:paraId="0478E4B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80A36">
              <w:rPr>
                <w:rFonts w:ascii="Verdana" w:hAnsi="Verdana" w:eastAsia="Times New Roman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:rsidRPr="00080A36" w:rsidR="004D6FFF" w:rsidP="00080A36" w:rsidRDefault="004D6FFF" w14:paraId="28A6B2D7" w14:textId="77777777">
      <w:pPr>
        <w:spacing w:line="276" w:lineRule="auto"/>
        <w:rPr>
          <w:rFonts w:ascii="Verdana" w:hAnsi="Verdana"/>
          <w:sz w:val="18"/>
          <w:szCs w:val="18"/>
        </w:rPr>
      </w:pPr>
    </w:p>
    <w:sectPr w:rsidRPr="00080A36" w:rsidR="004D6FFF" w:rsidSect="001E6A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CFA8" w14:textId="77777777" w:rsidR="0082588D" w:rsidRDefault="0082588D" w:rsidP="00300816">
      <w:r>
        <w:separator/>
      </w:r>
    </w:p>
  </w:endnote>
  <w:endnote w:type="continuationSeparator" w:id="0">
    <w:p w14:paraId="097A2359" w14:textId="77777777" w:rsidR="0082588D" w:rsidRDefault="0082588D" w:rsidP="0030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18A" w14:textId="77777777" w:rsidR="0068771F" w:rsidRDefault="0068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96688"/>
      <w:docPartObj>
        <w:docPartGallery w:val="Page Numbers (Bottom of Page)"/>
        <w:docPartUnique/>
      </w:docPartObj>
    </w:sdtPr>
    <w:sdtEndPr/>
    <w:sdtContent>
      <w:p w14:paraId="748C93CC" w14:textId="533D2602" w:rsidR="0068771F" w:rsidRDefault="0068771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A3CA" w14:textId="77777777" w:rsidR="0068771F" w:rsidRDefault="0068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EE88" w14:textId="77777777" w:rsidR="0068771F" w:rsidRDefault="0068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A668" w14:textId="77777777" w:rsidR="0082588D" w:rsidRDefault="0082588D" w:rsidP="00300816">
      <w:r>
        <w:separator/>
      </w:r>
    </w:p>
  </w:footnote>
  <w:footnote w:type="continuationSeparator" w:id="0">
    <w:p w14:paraId="7AD8F66F" w14:textId="77777777" w:rsidR="0082588D" w:rsidRDefault="0082588D" w:rsidP="0030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57D7" w14:textId="77777777" w:rsidR="0068771F" w:rsidRDefault="0068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0CE0" w14:textId="77777777" w:rsidR="0068771F" w:rsidRDefault="0068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847B" w14:textId="77777777" w:rsidR="0068771F" w:rsidRDefault="0068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607"/>
    <w:multiLevelType w:val="hybridMultilevel"/>
    <w:tmpl w:val="F40CEFD4"/>
    <w:lvl w:ilvl="0" w:tplc="33581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60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16"/>
    <w:rsid w:val="000003DB"/>
    <w:rsid w:val="00001A61"/>
    <w:rsid w:val="00014045"/>
    <w:rsid w:val="00022BF4"/>
    <w:rsid w:val="00024C08"/>
    <w:rsid w:val="00080A36"/>
    <w:rsid w:val="0008172B"/>
    <w:rsid w:val="00085D7C"/>
    <w:rsid w:val="000A2208"/>
    <w:rsid w:val="000C6E21"/>
    <w:rsid w:val="000D687F"/>
    <w:rsid w:val="000E0C93"/>
    <w:rsid w:val="00146BCF"/>
    <w:rsid w:val="00183D3A"/>
    <w:rsid w:val="001A1323"/>
    <w:rsid w:val="001D0185"/>
    <w:rsid w:val="001D0ED3"/>
    <w:rsid w:val="001E6A24"/>
    <w:rsid w:val="00200162"/>
    <w:rsid w:val="00207273"/>
    <w:rsid w:val="0023676E"/>
    <w:rsid w:val="00255F11"/>
    <w:rsid w:val="0026120D"/>
    <w:rsid w:val="00261EC5"/>
    <w:rsid w:val="00285461"/>
    <w:rsid w:val="002A239C"/>
    <w:rsid w:val="002D2B49"/>
    <w:rsid w:val="002F18A7"/>
    <w:rsid w:val="00300816"/>
    <w:rsid w:val="00300EB2"/>
    <w:rsid w:val="0030343E"/>
    <w:rsid w:val="00346DA4"/>
    <w:rsid w:val="00397771"/>
    <w:rsid w:val="003F07DB"/>
    <w:rsid w:val="00421329"/>
    <w:rsid w:val="00454C06"/>
    <w:rsid w:val="00461C9F"/>
    <w:rsid w:val="004778EF"/>
    <w:rsid w:val="00485E90"/>
    <w:rsid w:val="004A53B7"/>
    <w:rsid w:val="004D4328"/>
    <w:rsid w:val="004D6FFF"/>
    <w:rsid w:val="004D7E3C"/>
    <w:rsid w:val="004F1C7E"/>
    <w:rsid w:val="00500CC0"/>
    <w:rsid w:val="005232B1"/>
    <w:rsid w:val="00532F87"/>
    <w:rsid w:val="00592DBD"/>
    <w:rsid w:val="005B1E83"/>
    <w:rsid w:val="005F1C87"/>
    <w:rsid w:val="0060075F"/>
    <w:rsid w:val="00606A86"/>
    <w:rsid w:val="006302FF"/>
    <w:rsid w:val="0063747B"/>
    <w:rsid w:val="00665CA3"/>
    <w:rsid w:val="00670095"/>
    <w:rsid w:val="0068502A"/>
    <w:rsid w:val="0068771F"/>
    <w:rsid w:val="006A3393"/>
    <w:rsid w:val="006A6B93"/>
    <w:rsid w:val="006D1D10"/>
    <w:rsid w:val="006F037E"/>
    <w:rsid w:val="006F08AB"/>
    <w:rsid w:val="00755E6E"/>
    <w:rsid w:val="007563E3"/>
    <w:rsid w:val="00757439"/>
    <w:rsid w:val="00760333"/>
    <w:rsid w:val="007805E3"/>
    <w:rsid w:val="007925B6"/>
    <w:rsid w:val="00792FA5"/>
    <w:rsid w:val="007A2F01"/>
    <w:rsid w:val="007A73E5"/>
    <w:rsid w:val="007B5753"/>
    <w:rsid w:val="007E0AC1"/>
    <w:rsid w:val="00802971"/>
    <w:rsid w:val="00804A3B"/>
    <w:rsid w:val="008166A2"/>
    <w:rsid w:val="0082588D"/>
    <w:rsid w:val="00842035"/>
    <w:rsid w:val="00844040"/>
    <w:rsid w:val="008635C0"/>
    <w:rsid w:val="00865705"/>
    <w:rsid w:val="00876697"/>
    <w:rsid w:val="00890E5F"/>
    <w:rsid w:val="008960DF"/>
    <w:rsid w:val="008B0175"/>
    <w:rsid w:val="008F4098"/>
    <w:rsid w:val="009424C1"/>
    <w:rsid w:val="00965D58"/>
    <w:rsid w:val="00976163"/>
    <w:rsid w:val="009D5CEB"/>
    <w:rsid w:val="009F0186"/>
    <w:rsid w:val="00A00313"/>
    <w:rsid w:val="00A44FA8"/>
    <w:rsid w:val="00A57602"/>
    <w:rsid w:val="00AA1EAC"/>
    <w:rsid w:val="00AC100B"/>
    <w:rsid w:val="00AD1942"/>
    <w:rsid w:val="00AE0C40"/>
    <w:rsid w:val="00B06701"/>
    <w:rsid w:val="00B50F2A"/>
    <w:rsid w:val="00B7050F"/>
    <w:rsid w:val="00B75EF9"/>
    <w:rsid w:val="00B86D1E"/>
    <w:rsid w:val="00B904FA"/>
    <w:rsid w:val="00BA3B8C"/>
    <w:rsid w:val="00BA6113"/>
    <w:rsid w:val="00BB4C20"/>
    <w:rsid w:val="00BE054A"/>
    <w:rsid w:val="00BE117F"/>
    <w:rsid w:val="00BE1ACE"/>
    <w:rsid w:val="00BE38D2"/>
    <w:rsid w:val="00C34DE3"/>
    <w:rsid w:val="00C47443"/>
    <w:rsid w:val="00C505BF"/>
    <w:rsid w:val="00C51A9D"/>
    <w:rsid w:val="00C7643B"/>
    <w:rsid w:val="00C91763"/>
    <w:rsid w:val="00C92D67"/>
    <w:rsid w:val="00CD2030"/>
    <w:rsid w:val="00D47C45"/>
    <w:rsid w:val="00D652FE"/>
    <w:rsid w:val="00D874B6"/>
    <w:rsid w:val="00DC22D2"/>
    <w:rsid w:val="00DD58DF"/>
    <w:rsid w:val="00DF4BD6"/>
    <w:rsid w:val="00E122D1"/>
    <w:rsid w:val="00E12584"/>
    <w:rsid w:val="00E134F2"/>
    <w:rsid w:val="00E46BCF"/>
    <w:rsid w:val="00E50D58"/>
    <w:rsid w:val="00E6581C"/>
    <w:rsid w:val="00E82885"/>
    <w:rsid w:val="00E90425"/>
    <w:rsid w:val="00EB1ADA"/>
    <w:rsid w:val="00EB727E"/>
    <w:rsid w:val="00EB7AE2"/>
    <w:rsid w:val="00EC4FC8"/>
    <w:rsid w:val="00F2321F"/>
    <w:rsid w:val="00F45559"/>
    <w:rsid w:val="00FA7965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040C0"/>
  <w15:chartTrackingRefBased/>
  <w15:docId w15:val="{6149870B-B238-4AF5-9039-F3F5977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16"/>
    <w:pPr>
      <w:spacing w:after="0" w:line="240" w:lineRule="auto"/>
    </w:pPr>
    <w:rPr>
      <w:rFonts w:ascii="Calibri" w:hAnsi="Calibri" w:cs="Calibri"/>
      <w:kern w:val="0"/>
      <w:sz w:val="22"/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816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816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816"/>
    <w:rPr>
      <w:rFonts w:ascii="Calibri" w:hAnsi="Calibri" w:cs="Calibri"/>
      <w:kern w:val="0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00816"/>
    <w:rPr>
      <w:vertAlign w:val="superscript"/>
    </w:rPr>
  </w:style>
  <w:style w:type="paragraph" w:styleId="Revision">
    <w:name w:val="Revision"/>
    <w:hidden/>
    <w:uiPriority w:val="99"/>
    <w:semiHidden/>
    <w:rsid w:val="00300816"/>
    <w:pPr>
      <w:spacing w:after="0" w:line="240" w:lineRule="auto"/>
    </w:pPr>
    <w:rPr>
      <w:rFonts w:ascii="Calibri" w:hAnsi="Calibri" w:cs="Calibri"/>
      <w:kern w:val="0"/>
      <w:sz w:val="22"/>
      <w:lang w:val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816"/>
    <w:rPr>
      <w:rFonts w:ascii="Calibri" w:hAnsi="Calibri" w:cs="Calibri"/>
      <w:kern w:val="0"/>
      <w:sz w:val="20"/>
      <w:szCs w:val="20"/>
      <w:lang w:val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16"/>
    <w:rPr>
      <w:rFonts w:ascii="Calibri" w:hAnsi="Calibri" w:cs="Calibri"/>
      <w:b/>
      <w:bCs/>
      <w:kern w:val="0"/>
      <w:sz w:val="20"/>
      <w:szCs w:val="20"/>
      <w:lang w:val="nl-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0816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bullets Char,Dot pt Char,List Paragraph1 Char,Colorful List - Accent 11 Char,No Spacing1 Char,List Paragraph Char Char Char Char,Indicator Text Char,Numbered Para 1 Char,Bullet 1 Char,Bullet Points Char,List Paragraph12 Char"/>
    <w:link w:val="ListParagraph"/>
    <w:uiPriority w:val="34"/>
    <w:qFormat/>
    <w:locked/>
    <w:rsid w:val="007925B6"/>
  </w:style>
  <w:style w:type="paragraph" w:styleId="ListParagraph">
    <w:name w:val="List Paragraph"/>
    <w:aliases w:val="List bullets,Dot pt,List Paragraph1,Colorful List - Accent 11,No Spacing1,List Paragraph Char Char Char,Indicator Text,Numbered Para 1,Bullet 1,Bullet Points,List Paragraph12,F5 List Paragraph,List Paragraph2,MAIN CONTENT,Normal numbered"/>
    <w:basedOn w:val="Normal"/>
    <w:link w:val="ListParagraphChar"/>
    <w:uiPriority w:val="34"/>
    <w:qFormat/>
    <w:rsid w:val="007925B6"/>
    <w:pPr>
      <w:spacing w:after="160" w:line="256" w:lineRule="auto"/>
      <w:ind w:left="720"/>
      <w:contextualSpacing/>
    </w:pPr>
    <w:rPr>
      <w:rFonts w:ascii="Verdana" w:hAnsi="Verdana" w:cstheme="minorBidi"/>
      <w:kern w:val="2"/>
      <w:sz w:val="18"/>
      <w:lang w:val="en-US"/>
      <w14:ligatures w14:val="standardContextual"/>
    </w:rPr>
  </w:style>
  <w:style w:type="table" w:styleId="TableGridLight">
    <w:name w:val="Grid Table Light"/>
    <w:basedOn w:val="TableNormal"/>
    <w:uiPriority w:val="40"/>
    <w:rsid w:val="00AD19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D19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87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71F"/>
    <w:rPr>
      <w:rFonts w:ascii="Calibri" w:hAnsi="Calibri" w:cs="Calibri"/>
      <w:kern w:val="0"/>
      <w:sz w:val="22"/>
      <w:lang w:val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7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71F"/>
    <w:rPr>
      <w:rFonts w:ascii="Calibri" w:hAnsi="Calibri" w:cs="Calibri"/>
      <w:kern w:val="0"/>
      <w:sz w:val="22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678</ap:Words>
  <ap:Characters>3730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2024-09-03T12:16:00.0000000Z</lastPrinted>
  <dcterms:created xsi:type="dcterms:W3CDTF">2024-10-04T15:08:00.0000000Z</dcterms:created>
  <dcterms:modified xsi:type="dcterms:W3CDTF">2024-10-04T15:08:00.0000000Z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13c72d-4ff4-4b4e-b1b7-a3b0df073745_Enabled">
    <vt:lpwstr>true</vt:lpwstr>
  </property>
  <property fmtid="{D5CDD505-2E9C-101B-9397-08002B2CF9AE}" pid="3" name="MSIP_Label_e913c72d-4ff4-4b4e-b1b7-a3b0df073745_SetDate">
    <vt:lpwstr>2024-09-12T11:55:48Z</vt:lpwstr>
  </property>
  <property fmtid="{D5CDD505-2E9C-101B-9397-08002B2CF9AE}" pid="4" name="MSIP_Label_e913c72d-4ff4-4b4e-b1b7-a3b0df073745_Method">
    <vt:lpwstr>Privileged</vt:lpwstr>
  </property>
  <property fmtid="{D5CDD505-2E9C-101B-9397-08002B2CF9AE}" pid="5" name="MSIP_Label_e913c72d-4ff4-4b4e-b1b7-a3b0df073745_Name">
    <vt:lpwstr>FIN-DGGT-Dep. V.</vt:lpwstr>
  </property>
  <property fmtid="{D5CDD505-2E9C-101B-9397-08002B2CF9AE}" pid="6" name="MSIP_Label_e913c72d-4ff4-4b4e-b1b7-a3b0df073745_SiteId">
    <vt:lpwstr>84712536-f524-40a0-913b-5d25ba502732</vt:lpwstr>
  </property>
  <property fmtid="{D5CDD505-2E9C-101B-9397-08002B2CF9AE}" pid="7" name="MSIP_Label_e913c72d-4ff4-4b4e-b1b7-a3b0df073745_ActionId">
    <vt:lpwstr>a8353078-df99-4929-b793-c0f747fb077f</vt:lpwstr>
  </property>
  <property fmtid="{D5CDD505-2E9C-101B-9397-08002B2CF9AE}" pid="8" name="MSIP_Label_e913c72d-4ff4-4b4e-b1b7-a3b0df073745_ContentBits">
    <vt:lpwstr>0</vt:lpwstr>
  </property>
  <property fmtid="{D5CDD505-2E9C-101B-9397-08002B2CF9AE}" pid="9" name="ContentTypeId">
    <vt:lpwstr>0x0101009C7CE436063D44E9BE7DC0259EF7C32F006EB9F9836A634AE58B6169785FD3936F006712C1AEAE031D4084A205B91261093E</vt:lpwstr>
  </property>
  <property fmtid="{D5CDD505-2E9C-101B-9397-08002B2CF9AE}" pid="10" name="_dlc_DocIdItemGuid">
    <vt:lpwstr>7bc4f8f0-b54d-455f-9c29-2ea0eebb513d</vt:lpwstr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_docset_NoMedatataSyncRequired">
    <vt:lpwstr>False</vt:lpwstr>
  </property>
</Properties>
</file>