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153" w:rsidP="00190838" w:rsidRDefault="00404141" w14:paraId="27B9642A" w14:textId="40BD1B44">
      <w:pPr>
        <w:spacing w:after="0" w:line="276" w:lineRule="auto"/>
        <w:rPr>
          <w:rFonts w:ascii="Verdana" w:hAnsi="Verdana"/>
          <w:b/>
          <w:bCs/>
          <w:sz w:val="18"/>
          <w:szCs w:val="18"/>
        </w:rPr>
      </w:pPr>
      <w:r>
        <w:rPr>
          <w:rFonts w:ascii="Verdana" w:hAnsi="Verdana"/>
          <w:b/>
          <w:bCs/>
          <w:sz w:val="18"/>
          <w:szCs w:val="18"/>
        </w:rPr>
        <w:t>Afgeronde</w:t>
      </w:r>
      <w:r w:rsidRPr="00190838" w:rsidR="00B61664">
        <w:rPr>
          <w:rFonts w:ascii="Verdana" w:hAnsi="Verdana"/>
          <w:b/>
          <w:bCs/>
          <w:sz w:val="18"/>
          <w:szCs w:val="18"/>
        </w:rPr>
        <w:t xml:space="preserve"> t</w:t>
      </w:r>
      <w:r w:rsidRPr="00190838" w:rsidR="00A47153">
        <w:rPr>
          <w:rFonts w:ascii="Verdana" w:hAnsi="Verdana"/>
          <w:b/>
          <w:bCs/>
          <w:sz w:val="18"/>
          <w:szCs w:val="18"/>
        </w:rPr>
        <w:t>oezeggingen</w:t>
      </w:r>
      <w:r w:rsidRPr="00190838" w:rsidR="00B61664">
        <w:rPr>
          <w:rFonts w:ascii="Verdana" w:hAnsi="Verdana"/>
          <w:b/>
          <w:bCs/>
          <w:sz w:val="18"/>
          <w:szCs w:val="18"/>
        </w:rPr>
        <w:t xml:space="preserve"> per 31 augustus 2024</w:t>
      </w:r>
    </w:p>
    <w:tbl>
      <w:tblPr>
        <w:tblW w:w="14879" w:type="dxa"/>
        <w:tblInd w:w="75" w:type="dxa"/>
        <w:tblCellMar>
          <w:left w:w="70" w:type="dxa"/>
          <w:right w:w="70" w:type="dxa"/>
        </w:tblCellMar>
        <w:tblLook w:val="04A0" w:firstRow="1" w:lastRow="0" w:firstColumn="1" w:lastColumn="0" w:noHBand="0" w:noVBand="1"/>
      </w:tblPr>
      <w:tblGrid>
        <w:gridCol w:w="960"/>
        <w:gridCol w:w="6700"/>
        <w:gridCol w:w="2800"/>
        <w:gridCol w:w="4419"/>
      </w:tblGrid>
      <w:tr w:rsidRPr="00404141" w:rsidR="00A47153" w:rsidTr="00A47153" w14:paraId="410C3D8B" w14:textId="77777777">
        <w:trPr>
          <w:trHeight w:val="360"/>
        </w:trPr>
        <w:tc>
          <w:tcPr>
            <w:tcW w:w="960" w:type="dxa"/>
            <w:tcBorders>
              <w:top w:val="single" w:color="auto" w:sz="4" w:space="0"/>
              <w:left w:val="single" w:color="auto" w:sz="4" w:space="0"/>
              <w:bottom w:val="single" w:color="auto" w:sz="4" w:space="0"/>
              <w:right w:val="single" w:color="auto" w:sz="4" w:space="0"/>
            </w:tcBorders>
            <w:shd w:val="clear" w:color="000000" w:fill="FFFFFF"/>
            <w:hideMark/>
          </w:tcPr>
          <w:p w:rsidRPr="00404141" w:rsidR="00A47153" w:rsidP="00190838" w:rsidRDefault="00A47153" w14:paraId="5B10D30D" w14:textId="77777777">
            <w:pPr>
              <w:spacing w:after="0" w:line="276" w:lineRule="auto"/>
              <w:rPr>
                <w:rFonts w:ascii="Verdana" w:hAnsi="Verdana" w:eastAsia="Times New Roman" w:cs="Calibri"/>
                <w:b/>
                <w:bCs/>
                <w:kern w:val="0"/>
                <w:sz w:val="14"/>
                <w:szCs w:val="14"/>
                <w:lang w:eastAsia="nl-NL"/>
                <w14:ligatures w14:val="none"/>
              </w:rPr>
            </w:pPr>
            <w:r w:rsidRPr="00404141">
              <w:rPr>
                <w:rFonts w:ascii="Verdana" w:hAnsi="Verdana" w:eastAsia="Times New Roman" w:cs="Calibri"/>
                <w:b/>
                <w:bCs/>
                <w:kern w:val="0"/>
                <w:sz w:val="14"/>
                <w:szCs w:val="14"/>
                <w:lang w:eastAsia="nl-NL"/>
                <w14:ligatures w14:val="none"/>
              </w:rPr>
              <w:t>Datum</w:t>
            </w:r>
          </w:p>
        </w:tc>
        <w:tc>
          <w:tcPr>
            <w:tcW w:w="6700" w:type="dxa"/>
            <w:tcBorders>
              <w:top w:val="single" w:color="auto" w:sz="4" w:space="0"/>
              <w:left w:val="nil"/>
              <w:bottom w:val="single" w:color="auto" w:sz="4" w:space="0"/>
              <w:right w:val="single" w:color="auto" w:sz="4" w:space="0"/>
            </w:tcBorders>
            <w:shd w:val="clear" w:color="000000" w:fill="FFFFFF"/>
            <w:hideMark/>
          </w:tcPr>
          <w:p w:rsidRPr="00404141" w:rsidR="00A47153" w:rsidP="00190838" w:rsidRDefault="00A47153" w14:paraId="2F7D6DA5" w14:textId="136389C9">
            <w:pPr>
              <w:spacing w:after="0" w:line="276" w:lineRule="auto"/>
              <w:rPr>
                <w:rFonts w:ascii="Verdana" w:hAnsi="Verdana" w:eastAsia="Times New Roman" w:cs="Calibri"/>
                <w:b/>
                <w:bCs/>
                <w:color w:val="000000"/>
                <w:kern w:val="0"/>
                <w:sz w:val="14"/>
                <w:szCs w:val="14"/>
                <w:lang w:eastAsia="nl-NL"/>
                <w14:ligatures w14:val="none"/>
              </w:rPr>
            </w:pPr>
            <w:r w:rsidRPr="00404141">
              <w:rPr>
                <w:rFonts w:ascii="Verdana" w:hAnsi="Verdana" w:eastAsia="Times New Roman" w:cs="Calibri"/>
                <w:b/>
                <w:bCs/>
                <w:color w:val="000000"/>
                <w:kern w:val="0"/>
                <w:sz w:val="14"/>
                <w:szCs w:val="14"/>
                <w:lang w:eastAsia="nl-NL"/>
                <w14:ligatures w14:val="none"/>
              </w:rPr>
              <w:t xml:space="preserve">Omschrijving van de toezegging </w:t>
            </w:r>
          </w:p>
        </w:tc>
        <w:tc>
          <w:tcPr>
            <w:tcW w:w="2800" w:type="dxa"/>
            <w:tcBorders>
              <w:top w:val="single" w:color="auto" w:sz="4" w:space="0"/>
              <w:left w:val="nil"/>
              <w:bottom w:val="single" w:color="auto" w:sz="4" w:space="0"/>
              <w:right w:val="single" w:color="auto" w:sz="4" w:space="0"/>
            </w:tcBorders>
            <w:shd w:val="clear" w:color="000000" w:fill="FFFFFF"/>
            <w:hideMark/>
          </w:tcPr>
          <w:p w:rsidRPr="00404141" w:rsidR="00A47153" w:rsidP="00190838" w:rsidRDefault="00A47153" w14:paraId="79E41733" w14:textId="77777777">
            <w:pPr>
              <w:spacing w:after="0" w:line="276" w:lineRule="auto"/>
              <w:rPr>
                <w:rFonts w:ascii="Verdana" w:hAnsi="Verdana" w:eastAsia="Times New Roman" w:cs="Calibri"/>
                <w:b/>
                <w:bCs/>
                <w:kern w:val="0"/>
                <w:sz w:val="14"/>
                <w:szCs w:val="14"/>
                <w:lang w:eastAsia="nl-NL"/>
                <w14:ligatures w14:val="none"/>
              </w:rPr>
            </w:pPr>
            <w:r w:rsidRPr="00404141">
              <w:rPr>
                <w:rFonts w:ascii="Verdana" w:hAnsi="Verdana" w:eastAsia="Times New Roman" w:cs="Calibri"/>
                <w:b/>
                <w:bCs/>
                <w:kern w:val="0"/>
                <w:sz w:val="14"/>
                <w:szCs w:val="14"/>
                <w:lang w:eastAsia="nl-NL"/>
                <w14:ligatures w14:val="none"/>
              </w:rPr>
              <w:t>Vindplaats toezegging</w:t>
            </w:r>
          </w:p>
        </w:tc>
        <w:tc>
          <w:tcPr>
            <w:tcW w:w="4419" w:type="dxa"/>
            <w:tcBorders>
              <w:top w:val="single" w:color="auto" w:sz="4" w:space="0"/>
              <w:left w:val="nil"/>
              <w:bottom w:val="single" w:color="auto" w:sz="4" w:space="0"/>
              <w:right w:val="single" w:color="auto" w:sz="4" w:space="0"/>
            </w:tcBorders>
            <w:shd w:val="clear" w:color="auto" w:fill="auto"/>
            <w:hideMark/>
          </w:tcPr>
          <w:p w:rsidRPr="00404141" w:rsidR="00A47153" w:rsidP="00190838" w:rsidRDefault="00A47153" w14:paraId="0EF82E2D" w14:textId="08CEA912">
            <w:pPr>
              <w:spacing w:after="0" w:line="276" w:lineRule="auto"/>
              <w:rPr>
                <w:rFonts w:ascii="Verdana" w:hAnsi="Verdana" w:eastAsia="Times New Roman" w:cs="Calibri"/>
                <w:b/>
                <w:bCs/>
                <w:color w:val="000000"/>
                <w:kern w:val="0"/>
                <w:sz w:val="14"/>
                <w:szCs w:val="14"/>
                <w:lang w:eastAsia="nl-NL"/>
                <w14:ligatures w14:val="none"/>
              </w:rPr>
            </w:pPr>
            <w:r w:rsidRPr="00404141">
              <w:rPr>
                <w:rFonts w:ascii="Verdana" w:hAnsi="Verdana" w:eastAsia="Times New Roman" w:cs="Calibri"/>
                <w:b/>
                <w:bCs/>
                <w:color w:val="000000"/>
                <w:kern w:val="0"/>
                <w:sz w:val="14"/>
                <w:szCs w:val="14"/>
                <w:lang w:eastAsia="nl-NL"/>
                <w14:ligatures w14:val="none"/>
              </w:rPr>
              <w:t xml:space="preserve">Stand van zaken </w:t>
            </w:r>
            <w:r w:rsidRPr="00404141" w:rsidR="00416875">
              <w:rPr>
                <w:rFonts w:ascii="Verdana" w:hAnsi="Verdana" w:eastAsia="Times New Roman" w:cs="Calibri"/>
                <w:b/>
                <w:bCs/>
                <w:color w:val="000000"/>
                <w:kern w:val="0"/>
                <w:sz w:val="14"/>
                <w:szCs w:val="14"/>
                <w:lang w:eastAsia="nl-NL"/>
                <w14:ligatures w14:val="none"/>
              </w:rPr>
              <w:t>per 31 augustus 2024</w:t>
            </w:r>
          </w:p>
          <w:p w:rsidRPr="00404141" w:rsidR="00B61664" w:rsidP="00190838" w:rsidRDefault="00B61664" w14:paraId="3E5AEB93" w14:textId="20F9A24B">
            <w:pPr>
              <w:spacing w:after="0" w:line="276" w:lineRule="auto"/>
              <w:rPr>
                <w:rFonts w:ascii="Verdana" w:hAnsi="Verdana" w:eastAsia="Times New Roman" w:cs="Calibri"/>
                <w:b/>
                <w:bCs/>
                <w:color w:val="000000"/>
                <w:kern w:val="0"/>
                <w:sz w:val="14"/>
                <w:szCs w:val="14"/>
                <w:lang w:eastAsia="nl-NL"/>
                <w14:ligatures w14:val="none"/>
              </w:rPr>
            </w:pPr>
          </w:p>
        </w:tc>
      </w:tr>
      <w:tr w:rsidRPr="00404141" w:rsidR="00A47153" w:rsidTr="00A47153" w14:paraId="335DEDDC" w14:textId="77777777">
        <w:trPr>
          <w:trHeight w:val="1050"/>
        </w:trPr>
        <w:tc>
          <w:tcPr>
            <w:tcW w:w="960" w:type="dxa"/>
            <w:tcBorders>
              <w:top w:val="nil"/>
              <w:left w:val="single" w:color="auto" w:sz="4" w:space="0"/>
              <w:bottom w:val="single" w:color="auto" w:sz="4" w:space="0"/>
              <w:right w:val="single" w:color="auto" w:sz="4" w:space="0"/>
            </w:tcBorders>
            <w:shd w:val="clear" w:color="000000" w:fill="FFFFFF"/>
            <w:hideMark/>
          </w:tcPr>
          <w:p w:rsidRPr="00404141" w:rsidR="00A47153" w:rsidP="00190838" w:rsidRDefault="00A47153" w14:paraId="493AD0EE"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19-sep-23</w:t>
            </w:r>
          </w:p>
        </w:tc>
        <w:tc>
          <w:tcPr>
            <w:tcW w:w="6700" w:type="dxa"/>
            <w:tcBorders>
              <w:top w:val="nil"/>
              <w:left w:val="nil"/>
              <w:bottom w:val="single" w:color="auto" w:sz="4" w:space="0"/>
              <w:right w:val="single" w:color="auto" w:sz="4" w:space="0"/>
            </w:tcBorders>
            <w:shd w:val="clear" w:color="000000" w:fill="FFFFFF"/>
            <w:hideMark/>
          </w:tcPr>
          <w:p w:rsidRPr="00404141" w:rsidR="00F63BF5" w:rsidP="00190838" w:rsidRDefault="00A47153" w14:paraId="5AFFDEAA" w14:textId="4BB9ED48">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 xml:space="preserve">Het kabinet streeft ernaar uiterlijk eind december 2023 een integraal wetsvoorstel bij uw Kamer te kunnen indienen over de invoering van de nabestaandenregeling. Hierbij zal </w:t>
            </w:r>
            <w:proofErr w:type="gramStart"/>
            <w:r w:rsidRPr="00404141">
              <w:rPr>
                <w:rFonts w:ascii="Verdana" w:hAnsi="Verdana" w:eastAsia="Times New Roman" w:cs="Calibri"/>
                <w:color w:val="000000"/>
                <w:kern w:val="0"/>
                <w:sz w:val="14"/>
                <w:szCs w:val="14"/>
                <w:lang w:eastAsia="nl-NL"/>
                <w14:ligatures w14:val="none"/>
              </w:rPr>
              <w:t>tevens</w:t>
            </w:r>
            <w:proofErr w:type="gramEnd"/>
            <w:r w:rsidRPr="00404141">
              <w:rPr>
                <w:rFonts w:ascii="Verdana" w:hAnsi="Verdana" w:eastAsia="Times New Roman" w:cs="Calibri"/>
                <w:color w:val="000000"/>
                <w:kern w:val="0"/>
                <w:sz w:val="14"/>
                <w:szCs w:val="14"/>
                <w:lang w:eastAsia="nl-NL"/>
                <w14:ligatures w14:val="none"/>
              </w:rPr>
              <w:t xml:space="preserve"> rekening worden gehouden met de aan UHT gevraagd aanvullende uitvoeringstoets waarin wordt gekeken op welke wijze en onder welke voorwaarden het gewijzigde voorstel uitvoerbaar kan zijn.</w:t>
            </w:r>
          </w:p>
          <w:p w:rsidRPr="00404141" w:rsidR="00190838" w:rsidP="00190838" w:rsidRDefault="00190838" w14:paraId="706E1C04"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4B35B253"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Brief Nabestaandenregeling hersteloperatie toeslagen (36352-28)</w:t>
            </w:r>
          </w:p>
        </w:tc>
        <w:tc>
          <w:tcPr>
            <w:tcW w:w="4419" w:type="dxa"/>
            <w:tcBorders>
              <w:top w:val="nil"/>
              <w:left w:val="nil"/>
              <w:bottom w:val="single" w:color="auto" w:sz="4" w:space="0"/>
              <w:right w:val="single" w:color="auto" w:sz="4" w:space="0"/>
            </w:tcBorders>
            <w:shd w:val="clear" w:color="auto" w:fill="auto"/>
            <w:hideMark/>
          </w:tcPr>
          <w:p w:rsidRPr="00404141" w:rsidR="00A47153" w:rsidP="00190838" w:rsidRDefault="00D41C3F" w14:paraId="6606F124" w14:textId="5CD79501">
            <w:pPr>
              <w:spacing w:after="0" w:line="276" w:lineRule="auto"/>
              <w:rPr>
                <w:rFonts w:ascii="Verdana" w:hAnsi="Verdana" w:eastAsia="Times New Roman" w:cs="Calibri"/>
                <w:i/>
                <w:iCs/>
                <w:color w:val="000000"/>
                <w:kern w:val="0"/>
                <w:sz w:val="14"/>
                <w:szCs w:val="14"/>
                <w:lang w:eastAsia="nl-NL"/>
                <w14:ligatures w14:val="none"/>
              </w:rPr>
            </w:pPr>
            <w:r w:rsidRPr="00404141">
              <w:rPr>
                <w:rFonts w:ascii="Verdana" w:hAnsi="Verdana" w:eastAsia="Times New Roman" w:cs="Calibri"/>
                <w:i/>
                <w:iCs/>
                <w:color w:val="000000"/>
                <w:kern w:val="0"/>
                <w:sz w:val="14"/>
                <w:szCs w:val="14"/>
                <w:lang w:eastAsia="nl-NL"/>
                <w14:ligatures w14:val="none"/>
              </w:rPr>
              <w:t>Het</w:t>
            </w:r>
            <w:r w:rsidRPr="00404141" w:rsidR="00A6750F">
              <w:rPr>
                <w:rFonts w:ascii="Verdana" w:hAnsi="Verdana" w:eastAsia="Times New Roman" w:cs="Calibri"/>
                <w:i/>
                <w:iCs/>
                <w:color w:val="000000"/>
                <w:kern w:val="0"/>
                <w:sz w:val="14"/>
                <w:szCs w:val="14"/>
                <w:lang w:eastAsia="nl-NL"/>
                <w14:ligatures w14:val="none"/>
              </w:rPr>
              <w:t xml:space="preserve"> wetsvoorstel is op 19 juni 2024 naar de Tweede Kamer gezonden (</w:t>
            </w:r>
            <w:r w:rsidRPr="00404141" w:rsidR="00A6750F">
              <w:rPr>
                <w:rFonts w:ascii="Verdana" w:hAnsi="Verdana"/>
                <w:i/>
                <w:iCs/>
                <w:sz w:val="14"/>
                <w:szCs w:val="14"/>
              </w:rPr>
              <w:t>TK, vergaderjaar 2023–2024, 36577, nr. 5)</w:t>
            </w:r>
          </w:p>
        </w:tc>
      </w:tr>
      <w:tr w:rsidRPr="00404141" w:rsidR="00A47153" w:rsidTr="00A47153" w14:paraId="496AE9E2" w14:textId="77777777">
        <w:trPr>
          <w:trHeight w:val="900"/>
        </w:trPr>
        <w:tc>
          <w:tcPr>
            <w:tcW w:w="960" w:type="dxa"/>
            <w:tcBorders>
              <w:top w:val="nil"/>
              <w:left w:val="single" w:color="auto" w:sz="4" w:space="0"/>
              <w:bottom w:val="single" w:color="auto" w:sz="4" w:space="0"/>
              <w:right w:val="single" w:color="auto" w:sz="4" w:space="0"/>
            </w:tcBorders>
            <w:shd w:val="clear" w:color="000000" w:fill="FFFFFF"/>
            <w:hideMark/>
          </w:tcPr>
          <w:p w:rsidRPr="00404141" w:rsidR="00A47153" w:rsidP="00190838" w:rsidRDefault="00A47153" w14:paraId="4E0A13B0"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31-mei-24</w:t>
            </w:r>
          </w:p>
        </w:tc>
        <w:tc>
          <w:tcPr>
            <w:tcW w:w="6700" w:type="dxa"/>
            <w:tcBorders>
              <w:top w:val="nil"/>
              <w:left w:val="nil"/>
              <w:bottom w:val="single" w:color="auto" w:sz="4" w:space="0"/>
              <w:right w:val="single" w:color="auto" w:sz="4" w:space="0"/>
            </w:tcBorders>
            <w:shd w:val="clear" w:color="000000" w:fill="FFFFFF"/>
            <w:hideMark/>
          </w:tcPr>
          <w:p w:rsidRPr="00404141" w:rsidR="00F63BF5" w:rsidP="00190838" w:rsidRDefault="00A47153" w14:paraId="29256028" w14:textId="36D0AFBC">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 xml:space="preserve">Het kabinet zal nadat de afspraken met SGH gemaakt zijn maar alvorens de DVO definitief wordt getekend, nog in de Ministerraad een besluit nemen over de </w:t>
            </w:r>
            <w:proofErr w:type="spellStart"/>
            <w:r w:rsidRPr="00404141">
              <w:rPr>
                <w:rFonts w:ascii="Verdana" w:hAnsi="Verdana" w:eastAsia="Times New Roman" w:cs="Calibri"/>
                <w:color w:val="000000"/>
                <w:kern w:val="0"/>
                <w:sz w:val="14"/>
                <w:szCs w:val="14"/>
                <w:lang w:eastAsia="nl-NL"/>
                <w14:ligatures w14:val="none"/>
              </w:rPr>
              <w:t>SGHroute</w:t>
            </w:r>
            <w:proofErr w:type="spellEnd"/>
            <w:r w:rsidRPr="00404141">
              <w:rPr>
                <w:rFonts w:ascii="Verdana" w:hAnsi="Verdana" w:eastAsia="Times New Roman" w:cs="Calibri"/>
                <w:color w:val="000000"/>
                <w:kern w:val="0"/>
                <w:sz w:val="14"/>
                <w:szCs w:val="14"/>
                <w:lang w:eastAsia="nl-NL"/>
                <w14:ligatures w14:val="none"/>
              </w:rPr>
              <w:t>. Na het definitief tekenen van deze DVO wordt de route een structureel onderdeel van het schadestelsel. Over de uitkomst van deze overeenkomst en de bijgestelde budgettaire verwachtingen zal uw Kamer te zijner tijd nader worden geïnformeerd.</w:t>
            </w:r>
          </w:p>
          <w:p w:rsidRPr="00404141" w:rsidR="00190838" w:rsidP="00190838" w:rsidRDefault="00190838" w14:paraId="73A227AB"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2ED8B811"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Brief Update routes aanvullende schade (31066-1391)</w:t>
            </w:r>
          </w:p>
        </w:tc>
        <w:tc>
          <w:tcPr>
            <w:tcW w:w="4419" w:type="dxa"/>
            <w:tcBorders>
              <w:top w:val="nil"/>
              <w:left w:val="nil"/>
              <w:bottom w:val="single" w:color="auto" w:sz="4" w:space="0"/>
              <w:right w:val="single" w:color="auto" w:sz="4" w:space="0"/>
            </w:tcBorders>
            <w:shd w:val="clear" w:color="000000" w:fill="FFFFFF"/>
            <w:hideMark/>
          </w:tcPr>
          <w:p w:rsidRPr="00404141" w:rsidR="00A47153" w:rsidP="00190838" w:rsidRDefault="006807D2" w14:paraId="4B1A4236" w14:textId="77E99CA0">
            <w:pPr>
              <w:spacing w:after="0" w:line="276" w:lineRule="auto"/>
              <w:rPr>
                <w:rFonts w:ascii="Verdana" w:hAnsi="Verdana" w:eastAsia="Times New Roman" w:cs="Calibri"/>
                <w:i/>
                <w:iCs/>
                <w:kern w:val="0"/>
                <w:sz w:val="14"/>
                <w:szCs w:val="14"/>
                <w:lang w:eastAsia="nl-NL"/>
                <w14:ligatures w14:val="none"/>
              </w:rPr>
            </w:pPr>
            <w:r w:rsidRPr="00404141">
              <w:rPr>
                <w:rFonts w:ascii="Verdana" w:hAnsi="Verdana" w:eastAsia="Times New Roman" w:cs="Calibri"/>
                <w:i/>
                <w:iCs/>
                <w:kern w:val="0"/>
                <w:sz w:val="14"/>
                <w:szCs w:val="14"/>
                <w:lang w:eastAsia="nl-NL"/>
                <w14:ligatures w14:val="none"/>
              </w:rPr>
              <w:t xml:space="preserve">Deze toezegging is </w:t>
            </w:r>
            <w:proofErr w:type="gramStart"/>
            <w:r w:rsidRPr="00404141">
              <w:rPr>
                <w:rFonts w:ascii="Verdana" w:hAnsi="Verdana" w:eastAsia="Times New Roman" w:cs="Calibri"/>
                <w:i/>
                <w:iCs/>
                <w:kern w:val="0"/>
                <w:sz w:val="14"/>
                <w:szCs w:val="14"/>
                <w:lang w:eastAsia="nl-NL"/>
                <w14:ligatures w14:val="none"/>
              </w:rPr>
              <w:t>reeds</w:t>
            </w:r>
            <w:proofErr w:type="gramEnd"/>
            <w:r w:rsidRPr="00404141">
              <w:rPr>
                <w:rFonts w:ascii="Verdana" w:hAnsi="Verdana" w:eastAsia="Times New Roman" w:cs="Calibri"/>
                <w:i/>
                <w:iCs/>
                <w:kern w:val="0"/>
                <w:sz w:val="14"/>
                <w:szCs w:val="14"/>
                <w:lang w:eastAsia="nl-NL"/>
                <w14:ligatures w14:val="none"/>
              </w:rPr>
              <w:t xml:space="preserve"> afgedaan</w:t>
            </w:r>
            <w:r w:rsidRPr="00404141" w:rsidR="00A6750F">
              <w:rPr>
                <w:rFonts w:ascii="Verdana" w:hAnsi="Verdana" w:eastAsia="Times New Roman" w:cs="Calibri"/>
                <w:i/>
                <w:iCs/>
                <w:kern w:val="0"/>
                <w:sz w:val="14"/>
                <w:szCs w:val="14"/>
                <w:lang w:eastAsia="nl-NL"/>
                <w14:ligatures w14:val="none"/>
              </w:rPr>
              <w:t>. (</w:t>
            </w:r>
            <w:r w:rsidRPr="00404141" w:rsidR="00A6750F">
              <w:rPr>
                <w:rFonts w:ascii="Verdana" w:hAnsi="Verdana"/>
                <w:i/>
                <w:iCs/>
                <w:sz w:val="14"/>
                <w:szCs w:val="14"/>
              </w:rPr>
              <w:t>TK, vergaderjaar 2023–2024, 31066, nr. 1420)</w:t>
            </w:r>
          </w:p>
        </w:tc>
      </w:tr>
      <w:tr w:rsidRPr="00404141" w:rsidR="00A47153" w:rsidTr="00A47153" w14:paraId="303F9FB2" w14:textId="77777777">
        <w:trPr>
          <w:trHeight w:val="1305"/>
        </w:trPr>
        <w:tc>
          <w:tcPr>
            <w:tcW w:w="960" w:type="dxa"/>
            <w:tcBorders>
              <w:top w:val="nil"/>
              <w:left w:val="single" w:color="auto" w:sz="4" w:space="0"/>
              <w:bottom w:val="single" w:color="auto" w:sz="4" w:space="0"/>
              <w:right w:val="single" w:color="auto" w:sz="4" w:space="0"/>
            </w:tcBorders>
            <w:shd w:val="clear" w:color="000000" w:fill="FFFFFF"/>
            <w:hideMark/>
          </w:tcPr>
          <w:p w:rsidRPr="00404141" w:rsidR="00A47153" w:rsidP="00190838" w:rsidRDefault="00A47153" w14:paraId="2DA8536E"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31-mei-24</w:t>
            </w:r>
          </w:p>
        </w:tc>
        <w:tc>
          <w:tcPr>
            <w:tcW w:w="6700" w:type="dxa"/>
            <w:tcBorders>
              <w:top w:val="nil"/>
              <w:left w:val="nil"/>
              <w:bottom w:val="single" w:color="auto" w:sz="4" w:space="0"/>
              <w:right w:val="single" w:color="auto" w:sz="4" w:space="0"/>
            </w:tcBorders>
            <w:shd w:val="clear" w:color="000000" w:fill="FFFFFF"/>
            <w:hideMark/>
          </w:tcPr>
          <w:p w:rsidRPr="00404141" w:rsidR="00F63BF5" w:rsidP="00190838" w:rsidRDefault="00A47153" w14:paraId="1C93C7BE" w14:textId="7EF28B32">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 xml:space="preserve">De gesprekken die gevoerd worden met de SGH leiden op zo kort mogelijke termijn tot een nieuwe DVO, zodat de tijd tussen het einde van de pilot en de start van de definitieve SGH-route zo kort mogelijk blijft. Het kabinet streeft er daarom naar de tijd tussen de afronding van de pilot en een nieuwe DVO zo kort mogelijk te houden. </w:t>
            </w:r>
            <w:proofErr w:type="gramStart"/>
            <w:r w:rsidRPr="00404141">
              <w:rPr>
                <w:rFonts w:ascii="Verdana" w:hAnsi="Verdana" w:eastAsia="Times New Roman" w:cs="Calibri"/>
                <w:color w:val="000000"/>
                <w:kern w:val="0"/>
                <w:sz w:val="14"/>
                <w:szCs w:val="14"/>
                <w:lang w:eastAsia="nl-NL"/>
                <w14:ligatures w14:val="none"/>
              </w:rPr>
              <w:t>Indien</w:t>
            </w:r>
            <w:proofErr w:type="gramEnd"/>
            <w:r w:rsidRPr="00404141">
              <w:rPr>
                <w:rFonts w:ascii="Verdana" w:hAnsi="Verdana" w:eastAsia="Times New Roman" w:cs="Calibri"/>
                <w:color w:val="000000"/>
                <w:kern w:val="0"/>
                <w:sz w:val="14"/>
                <w:szCs w:val="14"/>
                <w:lang w:eastAsia="nl-NL"/>
                <w14:ligatures w14:val="none"/>
              </w:rPr>
              <w:t xml:space="preserve"> de Ministerraad het opschalingsbesluit accordeert, wordt vervolgens het budget ter goedkeuring aan uw Kamer voorgelegd. Wanneer deze afspraken gemaakt zijn, wordt uw Kamer daarover geïnformeerd.</w:t>
            </w:r>
          </w:p>
          <w:p w:rsidRPr="00404141" w:rsidR="00190838" w:rsidP="00190838" w:rsidRDefault="00190838" w14:paraId="2D95699F"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5801B740"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Brief Update routes aanvullende schade (31066-1391)</w:t>
            </w:r>
          </w:p>
        </w:tc>
        <w:tc>
          <w:tcPr>
            <w:tcW w:w="4419" w:type="dxa"/>
            <w:tcBorders>
              <w:top w:val="nil"/>
              <w:left w:val="nil"/>
              <w:bottom w:val="single" w:color="auto" w:sz="4" w:space="0"/>
              <w:right w:val="single" w:color="auto" w:sz="4" w:space="0"/>
            </w:tcBorders>
            <w:shd w:val="clear" w:color="000000" w:fill="FFFFFF"/>
            <w:hideMark/>
          </w:tcPr>
          <w:p w:rsidRPr="00404141" w:rsidR="00A47153" w:rsidP="00190838" w:rsidRDefault="006807D2" w14:paraId="54DFFED2" w14:textId="17E33F08">
            <w:pPr>
              <w:spacing w:after="0" w:line="276" w:lineRule="auto"/>
              <w:rPr>
                <w:rFonts w:ascii="Verdana" w:hAnsi="Verdana" w:eastAsia="Times New Roman" w:cs="Calibri"/>
                <w:i/>
                <w:iCs/>
                <w:kern w:val="0"/>
                <w:sz w:val="14"/>
                <w:szCs w:val="14"/>
                <w:lang w:eastAsia="nl-NL"/>
                <w14:ligatures w14:val="none"/>
              </w:rPr>
            </w:pPr>
            <w:r w:rsidRPr="00404141">
              <w:rPr>
                <w:rFonts w:ascii="Verdana" w:hAnsi="Verdana" w:eastAsia="Times New Roman" w:cs="Calibri"/>
                <w:i/>
                <w:iCs/>
                <w:kern w:val="0"/>
                <w:sz w:val="14"/>
                <w:szCs w:val="14"/>
                <w:lang w:eastAsia="nl-NL"/>
                <w14:ligatures w14:val="none"/>
              </w:rPr>
              <w:t xml:space="preserve">Deze toezegging is </w:t>
            </w:r>
            <w:proofErr w:type="gramStart"/>
            <w:r w:rsidRPr="00404141">
              <w:rPr>
                <w:rFonts w:ascii="Verdana" w:hAnsi="Verdana" w:eastAsia="Times New Roman" w:cs="Calibri"/>
                <w:i/>
                <w:iCs/>
                <w:kern w:val="0"/>
                <w:sz w:val="14"/>
                <w:szCs w:val="14"/>
                <w:lang w:eastAsia="nl-NL"/>
                <w14:ligatures w14:val="none"/>
              </w:rPr>
              <w:t>reeds</w:t>
            </w:r>
            <w:proofErr w:type="gramEnd"/>
            <w:r w:rsidRPr="00404141">
              <w:rPr>
                <w:rFonts w:ascii="Verdana" w:hAnsi="Verdana" w:eastAsia="Times New Roman" w:cs="Calibri"/>
                <w:i/>
                <w:iCs/>
                <w:kern w:val="0"/>
                <w:sz w:val="14"/>
                <w:szCs w:val="14"/>
                <w:lang w:eastAsia="nl-NL"/>
                <w14:ligatures w14:val="none"/>
              </w:rPr>
              <w:t xml:space="preserve"> afgedaa</w:t>
            </w:r>
            <w:r w:rsidRPr="00404141" w:rsidR="00C84F2D">
              <w:rPr>
                <w:rFonts w:ascii="Verdana" w:hAnsi="Verdana" w:eastAsia="Times New Roman" w:cs="Calibri"/>
                <w:i/>
                <w:iCs/>
                <w:kern w:val="0"/>
                <w:sz w:val="14"/>
                <w:szCs w:val="14"/>
                <w:lang w:eastAsia="nl-NL"/>
                <w14:ligatures w14:val="none"/>
              </w:rPr>
              <w:t>n (TK</w:t>
            </w:r>
            <w:r w:rsidRPr="00404141" w:rsidR="00C84F2D">
              <w:rPr>
                <w:rFonts w:ascii="Verdana" w:hAnsi="Verdana"/>
                <w:i/>
                <w:iCs/>
                <w:color w:val="211D1F"/>
                <w:sz w:val="14"/>
                <w:szCs w:val="14"/>
              </w:rPr>
              <w:t>, vergaderjaar 2023–2024, 31 066, nr. 1420)</w:t>
            </w:r>
          </w:p>
        </w:tc>
      </w:tr>
      <w:tr w:rsidRPr="00404141" w:rsidR="00A47153" w:rsidTr="00A47153" w14:paraId="13BA6D1C" w14:textId="77777777">
        <w:trPr>
          <w:trHeight w:val="705"/>
        </w:trPr>
        <w:tc>
          <w:tcPr>
            <w:tcW w:w="960" w:type="dxa"/>
            <w:tcBorders>
              <w:top w:val="nil"/>
              <w:left w:val="single" w:color="auto" w:sz="4" w:space="0"/>
              <w:bottom w:val="single" w:color="auto" w:sz="4" w:space="0"/>
              <w:right w:val="single" w:color="auto" w:sz="4" w:space="0"/>
            </w:tcBorders>
            <w:shd w:val="clear" w:color="000000" w:fill="FFFFFF"/>
            <w:hideMark/>
          </w:tcPr>
          <w:p w:rsidRPr="00404141" w:rsidR="00A47153" w:rsidP="00190838" w:rsidRDefault="00A47153" w14:paraId="13DE4E9A"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31-mei-24</w:t>
            </w:r>
          </w:p>
        </w:tc>
        <w:tc>
          <w:tcPr>
            <w:tcW w:w="6700" w:type="dxa"/>
            <w:tcBorders>
              <w:top w:val="nil"/>
              <w:left w:val="nil"/>
              <w:bottom w:val="single" w:color="auto" w:sz="4" w:space="0"/>
              <w:right w:val="single" w:color="auto" w:sz="4" w:space="0"/>
            </w:tcBorders>
            <w:shd w:val="clear" w:color="000000" w:fill="FFFFFF"/>
            <w:hideMark/>
          </w:tcPr>
          <w:p w:rsidRPr="00404141" w:rsidR="00F63BF5" w:rsidP="00190838" w:rsidRDefault="00A47153" w14:paraId="1C9FCC5C" w14:textId="39D2FD71">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 xml:space="preserve">Om de capaciteit verder te vergroten wordt gewerkt aan het inhuren van complete bezwarenteams (hybride </w:t>
            </w:r>
            <w:proofErr w:type="spellStart"/>
            <w:r w:rsidRPr="00404141">
              <w:rPr>
                <w:rFonts w:ascii="Verdana" w:hAnsi="Verdana" w:eastAsia="Times New Roman" w:cs="Calibri"/>
                <w:color w:val="000000"/>
                <w:kern w:val="0"/>
                <w:sz w:val="14"/>
                <w:szCs w:val="14"/>
                <w:lang w:eastAsia="nl-NL"/>
                <w14:ligatures w14:val="none"/>
              </w:rPr>
              <w:t>insourcing</w:t>
            </w:r>
            <w:proofErr w:type="spellEnd"/>
            <w:r w:rsidRPr="00404141">
              <w:rPr>
                <w:rFonts w:ascii="Verdana" w:hAnsi="Verdana" w:eastAsia="Times New Roman" w:cs="Calibri"/>
                <w:color w:val="000000"/>
                <w:kern w:val="0"/>
                <w:sz w:val="14"/>
                <w:szCs w:val="14"/>
                <w:lang w:eastAsia="nl-NL"/>
                <w14:ligatures w14:val="none"/>
              </w:rPr>
              <w:t>). Over de uitwerking en invoering van deze maatregelen zal uw Kamer in de volgende voortgangsrapportage worden geïnformeerd.</w:t>
            </w:r>
          </w:p>
          <w:p w:rsidRPr="00404141" w:rsidR="00190838" w:rsidP="00190838" w:rsidRDefault="00190838" w14:paraId="527A22BD" w14:textId="77777777">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3293A0BA"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Brief Update routes aanvullende schade (31066-1391)</w:t>
            </w:r>
          </w:p>
        </w:tc>
        <w:tc>
          <w:tcPr>
            <w:tcW w:w="4419" w:type="dxa"/>
            <w:tcBorders>
              <w:top w:val="nil"/>
              <w:left w:val="nil"/>
              <w:bottom w:val="single" w:color="auto" w:sz="4" w:space="0"/>
              <w:right w:val="single" w:color="auto" w:sz="4" w:space="0"/>
            </w:tcBorders>
            <w:shd w:val="clear" w:color="000000" w:fill="FFFFFF"/>
            <w:hideMark/>
          </w:tcPr>
          <w:p w:rsidRPr="00404141" w:rsidR="00A47153" w:rsidP="00190838" w:rsidRDefault="00AD1CDC" w14:paraId="6489C0E8" w14:textId="13652995">
            <w:pPr>
              <w:spacing w:after="0" w:line="276" w:lineRule="auto"/>
              <w:rPr>
                <w:rFonts w:ascii="Verdana" w:hAnsi="Verdana" w:eastAsia="Times New Roman" w:cs="Calibri"/>
                <w:i/>
                <w:iCs/>
                <w:kern w:val="0"/>
                <w:sz w:val="14"/>
                <w:szCs w:val="14"/>
                <w:lang w:eastAsia="nl-NL"/>
                <w14:ligatures w14:val="none"/>
              </w:rPr>
            </w:pPr>
            <w:r w:rsidRPr="00404141">
              <w:rPr>
                <w:rFonts w:ascii="Verdana" w:hAnsi="Verdana" w:eastAsia="Times New Roman" w:cs="Calibri"/>
                <w:i/>
                <w:iCs/>
                <w:kern w:val="0"/>
                <w:sz w:val="14"/>
                <w:szCs w:val="14"/>
                <w:lang w:eastAsia="nl-NL"/>
                <w14:ligatures w14:val="none"/>
              </w:rPr>
              <w:t>D</w:t>
            </w:r>
            <w:r w:rsidRPr="00404141" w:rsidR="006807D2">
              <w:rPr>
                <w:rFonts w:ascii="Verdana" w:hAnsi="Verdana" w:eastAsia="Times New Roman" w:cs="Calibri"/>
                <w:i/>
                <w:iCs/>
                <w:kern w:val="0"/>
                <w:sz w:val="14"/>
                <w:szCs w:val="14"/>
                <w:lang w:eastAsia="nl-NL"/>
                <w14:ligatures w14:val="none"/>
              </w:rPr>
              <w:t xml:space="preserve">e voortgang </w:t>
            </w:r>
            <w:r w:rsidRPr="00404141" w:rsidR="00404141">
              <w:rPr>
                <w:rFonts w:ascii="Verdana" w:hAnsi="Verdana" w:eastAsia="Times New Roman" w:cs="Calibri"/>
                <w:i/>
                <w:iCs/>
                <w:kern w:val="0"/>
                <w:sz w:val="14"/>
                <w:szCs w:val="14"/>
                <w:lang w:eastAsia="nl-NL"/>
                <w14:ligatures w14:val="none"/>
              </w:rPr>
              <w:t>is</w:t>
            </w:r>
            <w:r w:rsidRPr="00404141" w:rsidR="006807D2">
              <w:rPr>
                <w:rFonts w:ascii="Verdana" w:hAnsi="Verdana" w:eastAsia="Times New Roman" w:cs="Calibri"/>
                <w:i/>
                <w:iCs/>
                <w:kern w:val="0"/>
                <w:sz w:val="14"/>
                <w:szCs w:val="14"/>
                <w:lang w:eastAsia="nl-NL"/>
                <w14:ligatures w14:val="none"/>
              </w:rPr>
              <w:t xml:space="preserve"> opgenomen in </w:t>
            </w:r>
            <w:r w:rsidRPr="00404141">
              <w:rPr>
                <w:rFonts w:ascii="Verdana" w:hAnsi="Verdana" w:eastAsia="Times New Roman" w:cs="Calibri"/>
                <w:i/>
                <w:iCs/>
                <w:kern w:val="0"/>
                <w:sz w:val="14"/>
                <w:szCs w:val="14"/>
                <w:lang w:eastAsia="nl-NL"/>
                <w14:ligatures w14:val="none"/>
              </w:rPr>
              <w:t>H</w:t>
            </w:r>
            <w:r w:rsidRPr="00404141" w:rsidR="00A44F61">
              <w:rPr>
                <w:rFonts w:ascii="Verdana" w:hAnsi="Verdana" w:eastAsia="Times New Roman" w:cs="Calibri"/>
                <w:i/>
                <w:iCs/>
                <w:kern w:val="0"/>
                <w:sz w:val="14"/>
                <w:szCs w:val="14"/>
                <w:lang w:eastAsia="nl-NL"/>
                <w14:ligatures w14:val="none"/>
              </w:rPr>
              <w:t>1</w:t>
            </w:r>
            <w:r w:rsidRPr="00404141" w:rsidR="006807D2">
              <w:rPr>
                <w:rFonts w:ascii="Verdana" w:hAnsi="Verdana" w:eastAsia="Times New Roman" w:cs="Calibri"/>
                <w:i/>
                <w:iCs/>
                <w:kern w:val="0"/>
                <w:sz w:val="14"/>
                <w:szCs w:val="14"/>
                <w:lang w:eastAsia="nl-NL"/>
                <w14:ligatures w14:val="none"/>
              </w:rPr>
              <w:t xml:space="preserve"> van de</w:t>
            </w:r>
            <w:r w:rsidRPr="00404141" w:rsidR="00C33BB1">
              <w:rPr>
                <w:rFonts w:ascii="Verdana" w:hAnsi="Verdana" w:eastAsia="Times New Roman" w:cs="Calibri"/>
                <w:i/>
                <w:iCs/>
                <w:kern w:val="0"/>
                <w:sz w:val="14"/>
                <w:szCs w:val="14"/>
                <w:lang w:eastAsia="nl-NL"/>
                <w14:ligatures w14:val="none"/>
              </w:rPr>
              <w:t xml:space="preserve"> 18</w:t>
            </w:r>
            <w:r w:rsidRPr="00404141" w:rsidR="00C33BB1">
              <w:rPr>
                <w:rFonts w:ascii="Verdana" w:hAnsi="Verdana" w:eastAsia="Times New Roman" w:cs="Calibri"/>
                <w:i/>
                <w:iCs/>
                <w:kern w:val="0"/>
                <w:sz w:val="14"/>
                <w:szCs w:val="14"/>
                <w:vertAlign w:val="superscript"/>
                <w:lang w:eastAsia="nl-NL"/>
                <w14:ligatures w14:val="none"/>
              </w:rPr>
              <w:t>e</w:t>
            </w:r>
            <w:r w:rsidRPr="00404141" w:rsidR="00C33BB1">
              <w:rPr>
                <w:rFonts w:ascii="Verdana" w:hAnsi="Verdana" w:eastAsia="Times New Roman" w:cs="Calibri"/>
                <w:i/>
                <w:iCs/>
                <w:kern w:val="0"/>
                <w:sz w:val="14"/>
                <w:szCs w:val="14"/>
                <w:lang w:eastAsia="nl-NL"/>
                <w14:ligatures w14:val="none"/>
              </w:rPr>
              <w:t xml:space="preserve"> VGR over de periode mei-aug 2024.</w:t>
            </w:r>
          </w:p>
        </w:tc>
      </w:tr>
      <w:tr w:rsidRPr="00404141" w:rsidR="00A47153" w:rsidTr="00A47153" w14:paraId="169FA91F" w14:textId="77777777">
        <w:trPr>
          <w:trHeight w:val="720"/>
        </w:trPr>
        <w:tc>
          <w:tcPr>
            <w:tcW w:w="960" w:type="dxa"/>
            <w:tcBorders>
              <w:top w:val="nil"/>
              <w:left w:val="single" w:color="auto" w:sz="4" w:space="0"/>
              <w:bottom w:val="single" w:color="auto" w:sz="4" w:space="0"/>
              <w:right w:val="single" w:color="auto" w:sz="4" w:space="0"/>
            </w:tcBorders>
            <w:shd w:val="clear" w:color="000000" w:fill="FFFFFF"/>
            <w:hideMark/>
          </w:tcPr>
          <w:p w:rsidRPr="00404141" w:rsidR="00A47153" w:rsidP="00190838" w:rsidRDefault="00A47153" w14:paraId="317CD2A8"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13-jun-24</w:t>
            </w:r>
          </w:p>
        </w:tc>
        <w:tc>
          <w:tcPr>
            <w:tcW w:w="67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1CAA3F90" w14:textId="0D03EECB">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 xml:space="preserve">Toezegging om nogmaals in gesprek te gaan met werkgroep toeslagadvocaten over volledigheid van ouderdossiers, </w:t>
            </w:r>
            <w:proofErr w:type="gramStart"/>
            <w:r w:rsidRPr="00404141">
              <w:rPr>
                <w:rFonts w:ascii="Verdana" w:hAnsi="Verdana" w:eastAsia="Times New Roman" w:cs="Calibri"/>
                <w:color w:val="000000"/>
                <w:kern w:val="0"/>
                <w:sz w:val="14"/>
                <w:szCs w:val="14"/>
                <w:lang w:eastAsia="nl-NL"/>
                <w14:ligatures w14:val="none"/>
              </w:rPr>
              <w:t>indien</w:t>
            </w:r>
            <w:proofErr w:type="gramEnd"/>
            <w:r w:rsidRPr="00404141">
              <w:rPr>
                <w:rFonts w:ascii="Verdana" w:hAnsi="Verdana" w:eastAsia="Times New Roman" w:cs="Calibri"/>
                <w:color w:val="000000"/>
                <w:kern w:val="0"/>
                <w:sz w:val="14"/>
                <w:szCs w:val="14"/>
                <w:lang w:eastAsia="nl-NL"/>
                <w14:ligatures w14:val="none"/>
              </w:rPr>
              <w:t xml:space="preserve"> gemaakte afspraken niet worden nagekomen en/of te hor</w:t>
            </w:r>
            <w:r w:rsidR="00863755">
              <w:rPr>
                <w:rFonts w:ascii="Verdana" w:hAnsi="Verdana" w:eastAsia="Times New Roman" w:cs="Calibri"/>
                <w:color w:val="000000"/>
                <w:kern w:val="0"/>
                <w:sz w:val="14"/>
                <w:szCs w:val="14"/>
                <w:lang w:eastAsia="nl-NL"/>
                <w14:ligatures w14:val="none"/>
              </w:rPr>
              <w:t>e</w:t>
            </w:r>
            <w:r w:rsidRPr="00404141">
              <w:rPr>
                <w:rFonts w:ascii="Verdana" w:hAnsi="Verdana" w:eastAsia="Times New Roman" w:cs="Calibri"/>
                <w:color w:val="000000"/>
                <w:kern w:val="0"/>
                <w:sz w:val="14"/>
                <w:szCs w:val="14"/>
                <w:lang w:eastAsia="nl-NL"/>
                <w14:ligatures w14:val="none"/>
              </w:rPr>
              <w:t>n welke knelpunten er zijn.</w:t>
            </w:r>
          </w:p>
        </w:tc>
        <w:tc>
          <w:tcPr>
            <w:tcW w:w="28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4A554A8F"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9" w:type="dxa"/>
            <w:tcBorders>
              <w:top w:val="nil"/>
              <w:left w:val="nil"/>
              <w:bottom w:val="single" w:color="auto" w:sz="4" w:space="0"/>
              <w:right w:val="single" w:color="auto" w:sz="4" w:space="0"/>
            </w:tcBorders>
            <w:shd w:val="clear" w:color="000000" w:fill="FFFFFF"/>
            <w:hideMark/>
          </w:tcPr>
          <w:p w:rsidRPr="00404141" w:rsidR="00A47153" w:rsidP="00190838" w:rsidRDefault="006807D2" w14:paraId="451A2238" w14:textId="6D00C4ED">
            <w:pPr>
              <w:spacing w:after="0" w:line="276" w:lineRule="auto"/>
              <w:rPr>
                <w:rFonts w:ascii="Verdana" w:hAnsi="Verdana" w:eastAsia="Times New Roman" w:cs="Calibri"/>
                <w:i/>
                <w:iCs/>
                <w:kern w:val="0"/>
                <w:sz w:val="14"/>
                <w:szCs w:val="14"/>
                <w:lang w:eastAsia="nl-NL"/>
                <w14:ligatures w14:val="none"/>
              </w:rPr>
            </w:pPr>
            <w:r w:rsidRPr="00404141">
              <w:rPr>
                <w:rFonts w:ascii="Verdana" w:hAnsi="Verdana" w:eastAsia="Times New Roman" w:cs="Calibri"/>
                <w:i/>
                <w:iCs/>
                <w:kern w:val="0"/>
                <w:sz w:val="14"/>
                <w:szCs w:val="14"/>
                <w:lang w:eastAsia="nl-NL"/>
                <w14:ligatures w14:val="none"/>
              </w:rPr>
              <w:t>De</w:t>
            </w:r>
            <w:r w:rsidRPr="00404141" w:rsidR="00404141">
              <w:rPr>
                <w:rFonts w:ascii="Verdana" w:hAnsi="Verdana" w:eastAsia="Times New Roman" w:cs="Calibri"/>
                <w:i/>
                <w:iCs/>
                <w:kern w:val="0"/>
                <w:sz w:val="14"/>
                <w:szCs w:val="14"/>
                <w:lang w:eastAsia="nl-NL"/>
                <w14:ligatures w14:val="none"/>
              </w:rPr>
              <w:t>ze toezegging is afgedaan</w:t>
            </w:r>
            <w:r w:rsidRPr="00404141">
              <w:rPr>
                <w:rFonts w:ascii="Verdana" w:hAnsi="Verdana" w:eastAsia="Times New Roman" w:cs="Calibri"/>
                <w:i/>
                <w:iCs/>
                <w:kern w:val="0"/>
                <w:sz w:val="14"/>
                <w:szCs w:val="14"/>
                <w:lang w:eastAsia="nl-NL"/>
                <w14:ligatures w14:val="none"/>
              </w:rPr>
              <w:t xml:space="preserve"> in </w:t>
            </w:r>
            <w:r w:rsidRPr="00404141" w:rsidR="00A44F61">
              <w:rPr>
                <w:rFonts w:ascii="Verdana" w:hAnsi="Verdana" w:eastAsia="Times New Roman" w:cs="Calibri"/>
                <w:i/>
                <w:iCs/>
                <w:kern w:val="0"/>
                <w:sz w:val="14"/>
                <w:szCs w:val="14"/>
                <w:lang w:eastAsia="nl-NL"/>
                <w14:ligatures w14:val="none"/>
              </w:rPr>
              <w:t>H</w:t>
            </w:r>
            <w:r w:rsidRPr="00404141">
              <w:rPr>
                <w:rFonts w:ascii="Verdana" w:hAnsi="Verdana" w:eastAsia="Times New Roman" w:cs="Calibri"/>
                <w:i/>
                <w:iCs/>
                <w:kern w:val="0"/>
                <w:sz w:val="14"/>
                <w:szCs w:val="14"/>
                <w:lang w:eastAsia="nl-NL"/>
                <w14:ligatures w14:val="none"/>
              </w:rPr>
              <w:t xml:space="preserve">1 van de </w:t>
            </w:r>
            <w:r w:rsidRPr="00404141" w:rsidR="00C33BB1">
              <w:rPr>
                <w:rFonts w:ascii="Verdana" w:hAnsi="Verdana" w:eastAsia="Times New Roman" w:cs="Calibri"/>
                <w:i/>
                <w:iCs/>
                <w:kern w:val="0"/>
                <w:sz w:val="14"/>
                <w:szCs w:val="14"/>
                <w:lang w:eastAsia="nl-NL"/>
                <w14:ligatures w14:val="none"/>
              </w:rPr>
              <w:t>18</w:t>
            </w:r>
            <w:r w:rsidRPr="00404141" w:rsidR="00C33BB1">
              <w:rPr>
                <w:rFonts w:ascii="Verdana" w:hAnsi="Verdana" w:eastAsia="Times New Roman" w:cs="Calibri"/>
                <w:i/>
                <w:iCs/>
                <w:kern w:val="0"/>
                <w:sz w:val="14"/>
                <w:szCs w:val="14"/>
                <w:vertAlign w:val="superscript"/>
                <w:lang w:eastAsia="nl-NL"/>
                <w14:ligatures w14:val="none"/>
              </w:rPr>
              <w:t>e</w:t>
            </w:r>
            <w:r w:rsidRPr="00404141" w:rsidR="00DC1258">
              <w:rPr>
                <w:rFonts w:ascii="Verdana" w:hAnsi="Verdana" w:eastAsia="Times New Roman" w:cs="Calibri"/>
                <w:i/>
                <w:iCs/>
                <w:kern w:val="0"/>
                <w:sz w:val="14"/>
                <w:szCs w:val="14"/>
                <w:lang w:eastAsia="nl-NL"/>
                <w14:ligatures w14:val="none"/>
              </w:rPr>
              <w:t xml:space="preserve"> VGR</w:t>
            </w:r>
            <w:r w:rsidRPr="00404141" w:rsidR="00C33BB1">
              <w:rPr>
                <w:rFonts w:ascii="Verdana" w:hAnsi="Verdana" w:eastAsia="Times New Roman" w:cs="Calibri"/>
                <w:i/>
                <w:iCs/>
                <w:kern w:val="0"/>
                <w:sz w:val="14"/>
                <w:szCs w:val="14"/>
                <w:lang w:eastAsia="nl-NL"/>
                <w14:ligatures w14:val="none"/>
              </w:rPr>
              <w:t xml:space="preserve"> over de periode mei-aug 2024.</w:t>
            </w:r>
          </w:p>
        </w:tc>
      </w:tr>
      <w:tr w:rsidRPr="00404141" w:rsidR="00A47153" w:rsidTr="00A47153" w14:paraId="24AC2CC9" w14:textId="77777777">
        <w:trPr>
          <w:trHeight w:val="720"/>
        </w:trPr>
        <w:tc>
          <w:tcPr>
            <w:tcW w:w="960" w:type="dxa"/>
            <w:tcBorders>
              <w:top w:val="nil"/>
              <w:left w:val="single" w:color="auto" w:sz="4" w:space="0"/>
              <w:bottom w:val="single" w:color="auto" w:sz="4" w:space="0"/>
              <w:right w:val="single" w:color="auto" w:sz="4" w:space="0"/>
            </w:tcBorders>
            <w:shd w:val="clear" w:color="000000" w:fill="FFFFFF"/>
            <w:hideMark/>
          </w:tcPr>
          <w:p w:rsidRPr="00404141" w:rsidR="00A47153" w:rsidP="00190838" w:rsidRDefault="00A47153" w14:paraId="39CBCEBF"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13-jun-24</w:t>
            </w:r>
          </w:p>
        </w:tc>
        <w:tc>
          <w:tcPr>
            <w:tcW w:w="67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5AC74B2E" w14:textId="77777777">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Toezegging: in volgende VGR terugkomen op aantal gegrond/deels gegronde bezwaren bij verschillende stappen in hersteloperatie</w:t>
            </w:r>
          </w:p>
        </w:tc>
        <w:tc>
          <w:tcPr>
            <w:tcW w:w="2800" w:type="dxa"/>
            <w:tcBorders>
              <w:top w:val="nil"/>
              <w:left w:val="nil"/>
              <w:bottom w:val="single" w:color="auto" w:sz="4" w:space="0"/>
              <w:right w:val="single" w:color="auto" w:sz="4" w:space="0"/>
            </w:tcBorders>
            <w:shd w:val="clear" w:color="000000" w:fill="FFFFFF"/>
            <w:hideMark/>
          </w:tcPr>
          <w:p w:rsidRPr="00404141" w:rsidR="00A47153" w:rsidP="00190838" w:rsidRDefault="00A47153" w14:paraId="2A9BFCBA"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Plenair debat over het proces van afhandeling van compensatie van aanvullende werkelijke schade in de toeslagenaffaire</w:t>
            </w:r>
          </w:p>
        </w:tc>
        <w:tc>
          <w:tcPr>
            <w:tcW w:w="4419" w:type="dxa"/>
            <w:tcBorders>
              <w:top w:val="nil"/>
              <w:left w:val="nil"/>
              <w:bottom w:val="single" w:color="auto" w:sz="4" w:space="0"/>
              <w:right w:val="single" w:color="auto" w:sz="4" w:space="0"/>
            </w:tcBorders>
            <w:shd w:val="clear" w:color="000000" w:fill="FFFFFF"/>
            <w:hideMark/>
          </w:tcPr>
          <w:p w:rsidRPr="00404141" w:rsidR="00A47153" w:rsidP="00190838" w:rsidRDefault="00404141" w14:paraId="3D3B3D51" w14:textId="7346D513">
            <w:pPr>
              <w:spacing w:after="0" w:line="276" w:lineRule="auto"/>
              <w:rPr>
                <w:rFonts w:ascii="Verdana" w:hAnsi="Verdana" w:eastAsia="Times New Roman" w:cs="Calibri"/>
                <w:i/>
                <w:iCs/>
                <w:kern w:val="0"/>
                <w:sz w:val="14"/>
                <w:szCs w:val="14"/>
                <w:lang w:eastAsia="nl-NL"/>
                <w14:ligatures w14:val="none"/>
              </w:rPr>
            </w:pPr>
            <w:r w:rsidRPr="00404141">
              <w:rPr>
                <w:rFonts w:ascii="Verdana" w:hAnsi="Verdana" w:eastAsia="Times New Roman" w:cs="Calibri"/>
                <w:i/>
                <w:iCs/>
                <w:kern w:val="0"/>
                <w:sz w:val="14"/>
                <w:szCs w:val="14"/>
                <w:lang w:eastAsia="nl-NL"/>
                <w14:ligatures w14:val="none"/>
              </w:rPr>
              <w:t>Deze toezegging is afgedaan in H1 van de 18</w:t>
            </w:r>
            <w:r w:rsidRPr="00404141">
              <w:rPr>
                <w:rFonts w:ascii="Verdana" w:hAnsi="Verdana" w:eastAsia="Times New Roman" w:cs="Calibri"/>
                <w:i/>
                <w:iCs/>
                <w:kern w:val="0"/>
                <w:sz w:val="14"/>
                <w:szCs w:val="14"/>
                <w:vertAlign w:val="superscript"/>
                <w:lang w:eastAsia="nl-NL"/>
                <w14:ligatures w14:val="none"/>
              </w:rPr>
              <w:t>e</w:t>
            </w:r>
            <w:r w:rsidRPr="00404141">
              <w:rPr>
                <w:rFonts w:ascii="Verdana" w:hAnsi="Verdana" w:eastAsia="Times New Roman" w:cs="Calibri"/>
                <w:i/>
                <w:iCs/>
                <w:kern w:val="0"/>
                <w:sz w:val="14"/>
                <w:szCs w:val="14"/>
                <w:lang w:eastAsia="nl-NL"/>
                <w14:ligatures w14:val="none"/>
              </w:rPr>
              <w:t xml:space="preserve"> VGR over de periode mei-aug 2024.</w:t>
            </w:r>
          </w:p>
        </w:tc>
      </w:tr>
      <w:tr w:rsidRPr="00404141" w:rsidR="00A47153" w:rsidTr="00404141" w14:paraId="1DCE0ED2" w14:textId="77777777">
        <w:trPr>
          <w:trHeight w:val="540"/>
        </w:trPr>
        <w:tc>
          <w:tcPr>
            <w:tcW w:w="960" w:type="dxa"/>
            <w:tcBorders>
              <w:top w:val="nil"/>
              <w:left w:val="single" w:color="auto" w:sz="4" w:space="0"/>
              <w:bottom w:val="nil"/>
              <w:right w:val="single" w:color="auto" w:sz="4" w:space="0"/>
            </w:tcBorders>
            <w:shd w:val="clear" w:color="000000" w:fill="FFFFFF"/>
            <w:hideMark/>
          </w:tcPr>
          <w:p w:rsidRPr="00404141" w:rsidR="00A47153" w:rsidP="00190838" w:rsidRDefault="00A47153" w14:paraId="7C3EE51F" w14:textId="77777777">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26-jun-24</w:t>
            </w:r>
          </w:p>
        </w:tc>
        <w:tc>
          <w:tcPr>
            <w:tcW w:w="6700" w:type="dxa"/>
            <w:tcBorders>
              <w:top w:val="nil"/>
              <w:left w:val="nil"/>
              <w:bottom w:val="nil"/>
              <w:right w:val="single" w:color="auto" w:sz="4" w:space="0"/>
            </w:tcBorders>
            <w:shd w:val="clear" w:color="000000" w:fill="FFFFFF"/>
            <w:hideMark/>
          </w:tcPr>
          <w:p w:rsidRPr="00404141" w:rsidR="00A47153" w:rsidP="00190838" w:rsidRDefault="00A47153" w14:paraId="2BA8DEBD" w14:textId="27594FE4">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De staatssecretaris zegt toe de kamer te informeren als er een diensterleningsovereenkomst wordt gesloten (Aan TK en E</w:t>
            </w:r>
            <w:r w:rsidRPr="00404141" w:rsidR="00F63BF5">
              <w:rPr>
                <w:rFonts w:ascii="Verdana" w:hAnsi="Verdana" w:eastAsia="Times New Roman" w:cs="Calibri"/>
                <w:color w:val="000000"/>
                <w:kern w:val="0"/>
                <w:sz w:val="14"/>
                <w:szCs w:val="14"/>
                <w:lang w:eastAsia="nl-NL"/>
                <w14:ligatures w14:val="none"/>
              </w:rPr>
              <w:t xml:space="preserve">K, </w:t>
            </w:r>
            <w:r w:rsidRPr="00404141">
              <w:rPr>
                <w:rFonts w:ascii="Verdana" w:hAnsi="Verdana" w:eastAsia="Times New Roman" w:cs="Calibri"/>
                <w:color w:val="000000"/>
                <w:kern w:val="0"/>
                <w:sz w:val="14"/>
                <w:szCs w:val="14"/>
                <w:lang w:eastAsia="nl-NL"/>
                <w14:ligatures w14:val="none"/>
              </w:rPr>
              <w:t>P-T006348)</w:t>
            </w:r>
          </w:p>
          <w:p w:rsidRPr="00404141" w:rsidR="00F63BF5" w:rsidP="00190838" w:rsidRDefault="00F63BF5" w14:paraId="13E8C8C1" w14:textId="63606BA8">
            <w:pPr>
              <w:spacing w:after="0" w:line="276" w:lineRule="auto"/>
              <w:rPr>
                <w:rFonts w:ascii="Verdana" w:hAnsi="Verdana" w:eastAsia="Times New Roman" w:cs="Calibri"/>
                <w:color w:val="000000"/>
                <w:kern w:val="0"/>
                <w:sz w:val="14"/>
                <w:szCs w:val="14"/>
                <w:lang w:eastAsia="nl-NL"/>
                <w14:ligatures w14:val="none"/>
              </w:rPr>
            </w:pPr>
          </w:p>
        </w:tc>
        <w:tc>
          <w:tcPr>
            <w:tcW w:w="2800" w:type="dxa"/>
            <w:tcBorders>
              <w:top w:val="nil"/>
              <w:left w:val="nil"/>
              <w:bottom w:val="nil"/>
              <w:right w:val="single" w:color="auto" w:sz="4" w:space="0"/>
            </w:tcBorders>
            <w:shd w:val="clear" w:color="000000" w:fill="FFFFFF"/>
            <w:hideMark/>
          </w:tcPr>
          <w:p w:rsidRPr="00404141" w:rsidR="00A47153" w:rsidP="00190838" w:rsidRDefault="00A47153" w14:paraId="646A5C91" w14:textId="7EDC915E">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Brief Toelichting op Nota van Wijziging hersteloperatie toeslagen (TK en EK)</w:t>
            </w:r>
          </w:p>
        </w:tc>
        <w:tc>
          <w:tcPr>
            <w:tcW w:w="4419" w:type="dxa"/>
            <w:tcBorders>
              <w:top w:val="nil"/>
              <w:left w:val="nil"/>
              <w:bottom w:val="nil"/>
              <w:right w:val="single" w:color="auto" w:sz="4" w:space="0"/>
            </w:tcBorders>
            <w:shd w:val="clear" w:color="000000" w:fill="FFFFFF"/>
            <w:hideMark/>
          </w:tcPr>
          <w:p w:rsidRPr="00404141" w:rsidR="00A47153" w:rsidP="00190838" w:rsidRDefault="006807D2" w14:paraId="5F6E1951" w14:textId="10032BBB">
            <w:pPr>
              <w:spacing w:after="0" w:line="276" w:lineRule="auto"/>
              <w:rPr>
                <w:rFonts w:ascii="Verdana" w:hAnsi="Verdana" w:eastAsia="Times New Roman" w:cs="Calibri"/>
                <w:i/>
                <w:iCs/>
                <w:kern w:val="0"/>
                <w:sz w:val="14"/>
                <w:szCs w:val="14"/>
                <w:lang w:eastAsia="nl-NL"/>
                <w14:ligatures w14:val="none"/>
              </w:rPr>
            </w:pPr>
            <w:r w:rsidRPr="00404141">
              <w:rPr>
                <w:rFonts w:ascii="Verdana" w:hAnsi="Verdana" w:eastAsia="Times New Roman" w:cs="Calibri"/>
                <w:i/>
                <w:iCs/>
                <w:kern w:val="0"/>
                <w:sz w:val="14"/>
                <w:szCs w:val="14"/>
                <w:lang w:eastAsia="nl-NL"/>
                <w14:ligatures w14:val="none"/>
              </w:rPr>
              <w:t xml:space="preserve">Deze toezegging is </w:t>
            </w:r>
            <w:proofErr w:type="gramStart"/>
            <w:r w:rsidRPr="00404141">
              <w:rPr>
                <w:rFonts w:ascii="Verdana" w:hAnsi="Verdana" w:eastAsia="Times New Roman" w:cs="Calibri"/>
                <w:i/>
                <w:iCs/>
                <w:kern w:val="0"/>
                <w:sz w:val="14"/>
                <w:szCs w:val="14"/>
                <w:lang w:eastAsia="nl-NL"/>
                <w14:ligatures w14:val="none"/>
              </w:rPr>
              <w:t>reeds</w:t>
            </w:r>
            <w:proofErr w:type="gramEnd"/>
            <w:r w:rsidRPr="00404141">
              <w:rPr>
                <w:rFonts w:ascii="Verdana" w:hAnsi="Verdana" w:eastAsia="Times New Roman" w:cs="Calibri"/>
                <w:i/>
                <w:iCs/>
                <w:kern w:val="0"/>
                <w:sz w:val="14"/>
                <w:szCs w:val="14"/>
                <w:lang w:eastAsia="nl-NL"/>
                <w14:ligatures w14:val="none"/>
              </w:rPr>
              <w:t xml:space="preserve"> afgedaa</w:t>
            </w:r>
            <w:r w:rsidRPr="00404141" w:rsidR="00A6750F">
              <w:rPr>
                <w:rFonts w:ascii="Verdana" w:hAnsi="Verdana" w:eastAsia="Times New Roman" w:cs="Calibri"/>
                <w:i/>
                <w:iCs/>
                <w:kern w:val="0"/>
                <w:sz w:val="14"/>
                <w:szCs w:val="14"/>
                <w:lang w:eastAsia="nl-NL"/>
                <w14:ligatures w14:val="none"/>
              </w:rPr>
              <w:t>n (</w:t>
            </w:r>
            <w:r w:rsidRPr="00404141" w:rsidR="00A6750F">
              <w:rPr>
                <w:rFonts w:ascii="Verdana" w:hAnsi="Verdana"/>
                <w:i/>
                <w:iCs/>
                <w:sz w:val="14"/>
                <w:szCs w:val="14"/>
              </w:rPr>
              <w:t>TK, vergaderjaar 2023–2024, 31 066, nr. 1420)</w:t>
            </w:r>
          </w:p>
        </w:tc>
      </w:tr>
      <w:tr w:rsidRPr="00404141" w:rsidR="00404141" w:rsidTr="00863755" w14:paraId="0B22DDC0" w14:textId="77777777">
        <w:trPr>
          <w:trHeight w:val="401"/>
        </w:trPr>
        <w:tc>
          <w:tcPr>
            <w:tcW w:w="960" w:type="dxa"/>
            <w:tcBorders>
              <w:top w:val="nil"/>
              <w:left w:val="single" w:color="auto" w:sz="4" w:space="0"/>
              <w:bottom w:val="nil"/>
              <w:right w:val="single" w:color="auto" w:sz="4" w:space="0"/>
            </w:tcBorders>
            <w:shd w:val="clear" w:color="000000" w:fill="FFFFFF"/>
          </w:tcPr>
          <w:p w:rsidRPr="00404141" w:rsidR="00404141" w:rsidP="00190838" w:rsidRDefault="00404141" w14:paraId="08C42CB7" w14:textId="46525E56">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16-jul-24</w:t>
            </w:r>
          </w:p>
        </w:tc>
        <w:tc>
          <w:tcPr>
            <w:tcW w:w="6700" w:type="dxa"/>
            <w:tcBorders>
              <w:top w:val="nil"/>
              <w:left w:val="nil"/>
              <w:bottom w:val="nil"/>
              <w:right w:val="single" w:color="auto" w:sz="4" w:space="0"/>
            </w:tcBorders>
            <w:shd w:val="clear" w:color="000000" w:fill="FFFFFF"/>
          </w:tcPr>
          <w:p w:rsidRPr="00404141" w:rsidR="00863755" w:rsidP="00190838" w:rsidRDefault="00404141" w14:paraId="68F4271E" w14:textId="60A1420B">
            <w:pPr>
              <w:spacing w:after="0" w:line="276" w:lineRule="auto"/>
              <w:rPr>
                <w:rFonts w:ascii="Verdana" w:hAnsi="Verdana" w:eastAsia="Times New Roman" w:cs="Calibri"/>
                <w:color w:val="000000"/>
                <w:kern w:val="0"/>
                <w:sz w:val="14"/>
                <w:szCs w:val="14"/>
                <w:lang w:eastAsia="nl-NL"/>
                <w14:ligatures w14:val="none"/>
              </w:rPr>
            </w:pPr>
            <w:r w:rsidRPr="00404141">
              <w:rPr>
                <w:rFonts w:ascii="Verdana" w:hAnsi="Verdana" w:eastAsia="Times New Roman" w:cs="Calibri"/>
                <w:color w:val="000000"/>
                <w:kern w:val="0"/>
                <w:sz w:val="14"/>
                <w:szCs w:val="14"/>
                <w:lang w:eastAsia="nl-NL"/>
                <w14:ligatures w14:val="none"/>
              </w:rPr>
              <w:t>Over de afspraken die nog worden gemaakt met SGH, zal de Kamer gelijktijdig met de volgende voortgangsrapportage (VGR) worden geïnformeerd.</w:t>
            </w:r>
          </w:p>
        </w:tc>
        <w:tc>
          <w:tcPr>
            <w:tcW w:w="2800" w:type="dxa"/>
            <w:tcBorders>
              <w:top w:val="nil"/>
              <w:left w:val="nil"/>
              <w:bottom w:val="nil"/>
              <w:right w:val="single" w:color="auto" w:sz="4" w:space="0"/>
            </w:tcBorders>
            <w:shd w:val="clear" w:color="000000" w:fill="FFFFFF"/>
          </w:tcPr>
          <w:p w:rsidRPr="00404141" w:rsidR="00404141" w:rsidP="00190838" w:rsidRDefault="00404141" w14:paraId="798DA467" w14:textId="2FCC1FD9">
            <w:pPr>
              <w:spacing w:after="0" w:line="276" w:lineRule="auto"/>
              <w:rPr>
                <w:rFonts w:ascii="Verdana" w:hAnsi="Verdana" w:eastAsia="Times New Roman" w:cs="Calibri"/>
                <w:kern w:val="0"/>
                <w:sz w:val="14"/>
                <w:szCs w:val="14"/>
                <w:lang w:eastAsia="nl-NL"/>
                <w14:ligatures w14:val="none"/>
              </w:rPr>
            </w:pPr>
            <w:r w:rsidRPr="00404141">
              <w:rPr>
                <w:rFonts w:ascii="Verdana" w:hAnsi="Verdana" w:eastAsia="Times New Roman" w:cs="Calibri"/>
                <w:kern w:val="0"/>
                <w:sz w:val="14"/>
                <w:szCs w:val="14"/>
                <w:lang w:eastAsia="nl-NL"/>
                <w14:ligatures w14:val="none"/>
              </w:rPr>
              <w:t>Brief Dienstverleningsovereenkomst met SGH</w:t>
            </w:r>
          </w:p>
        </w:tc>
        <w:tc>
          <w:tcPr>
            <w:tcW w:w="4419" w:type="dxa"/>
            <w:tcBorders>
              <w:top w:val="nil"/>
              <w:left w:val="nil"/>
              <w:bottom w:val="nil"/>
              <w:right w:val="single" w:color="auto" w:sz="4" w:space="0"/>
            </w:tcBorders>
            <w:shd w:val="clear" w:color="000000" w:fill="FFFFFF"/>
          </w:tcPr>
          <w:p w:rsidRPr="00404141" w:rsidR="00404141" w:rsidP="00190838" w:rsidRDefault="00404141" w14:paraId="49E902F2" w14:textId="1244E706">
            <w:pPr>
              <w:spacing w:after="0" w:line="276" w:lineRule="auto"/>
              <w:rPr>
                <w:rFonts w:ascii="Verdana" w:hAnsi="Verdana" w:eastAsia="Times New Roman" w:cs="Calibri"/>
                <w:i/>
                <w:iCs/>
                <w:kern w:val="0"/>
                <w:sz w:val="14"/>
                <w:szCs w:val="14"/>
                <w:lang w:eastAsia="nl-NL"/>
                <w14:ligatures w14:val="none"/>
              </w:rPr>
            </w:pPr>
            <w:r w:rsidRPr="00404141">
              <w:rPr>
                <w:rFonts w:ascii="Verdana" w:hAnsi="Verdana" w:eastAsia="Times New Roman" w:cs="Calibri"/>
                <w:i/>
                <w:iCs/>
                <w:kern w:val="0"/>
                <w:sz w:val="14"/>
                <w:szCs w:val="14"/>
                <w:lang w:eastAsia="nl-NL"/>
                <w14:ligatures w14:val="none"/>
              </w:rPr>
              <w:t>Deze toezegging is afgedaan in H1 van de 18</w:t>
            </w:r>
            <w:r w:rsidRPr="00404141">
              <w:rPr>
                <w:rFonts w:ascii="Verdana" w:hAnsi="Verdana" w:eastAsia="Times New Roman" w:cs="Calibri"/>
                <w:i/>
                <w:iCs/>
                <w:kern w:val="0"/>
                <w:sz w:val="14"/>
                <w:szCs w:val="14"/>
                <w:vertAlign w:val="superscript"/>
                <w:lang w:eastAsia="nl-NL"/>
                <w14:ligatures w14:val="none"/>
              </w:rPr>
              <w:t>e</w:t>
            </w:r>
            <w:r w:rsidRPr="00404141">
              <w:rPr>
                <w:rFonts w:ascii="Verdana" w:hAnsi="Verdana" w:eastAsia="Times New Roman" w:cs="Calibri"/>
                <w:i/>
                <w:iCs/>
                <w:kern w:val="0"/>
                <w:sz w:val="14"/>
                <w:szCs w:val="14"/>
                <w:lang w:eastAsia="nl-NL"/>
                <w14:ligatures w14:val="none"/>
              </w:rPr>
              <w:t xml:space="preserve"> VGR over de periode mei-aug 2024.</w:t>
            </w:r>
          </w:p>
        </w:tc>
      </w:tr>
    </w:tbl>
    <w:p w:rsidRPr="00190838" w:rsidR="00404141" w:rsidP="00863755" w:rsidRDefault="00404141" w14:paraId="239301FB" w14:textId="77777777">
      <w:pPr>
        <w:spacing w:after="0" w:line="276" w:lineRule="auto"/>
        <w:rPr>
          <w:rFonts w:ascii="Verdana" w:hAnsi="Verdana"/>
          <w:sz w:val="18"/>
          <w:szCs w:val="18"/>
        </w:rPr>
      </w:pPr>
    </w:p>
    <w:sectPr w:rsidRPr="00190838" w:rsidR="00404141" w:rsidSect="00A47153">
      <w:footerReference w:type="default" r:id="rId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1684" w14:textId="77777777" w:rsidR="00D3283B" w:rsidRDefault="00D3283B" w:rsidP="000D0E64">
      <w:pPr>
        <w:spacing w:after="0" w:line="240" w:lineRule="auto"/>
      </w:pPr>
      <w:r>
        <w:separator/>
      </w:r>
    </w:p>
  </w:endnote>
  <w:endnote w:type="continuationSeparator" w:id="0">
    <w:p w14:paraId="6B5B8301" w14:textId="77777777" w:rsidR="00D3283B" w:rsidRDefault="00D3283B" w:rsidP="000D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4417" w14:textId="23E2B4C6" w:rsidR="00863755" w:rsidRDefault="00863755">
    <w:pPr>
      <w:pStyle w:val="Voettekst"/>
    </w:pPr>
  </w:p>
  <w:p w14:paraId="0A55463A" w14:textId="77777777" w:rsidR="000D0E64" w:rsidRDefault="000D0E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F1AC" w14:textId="77777777" w:rsidR="00D3283B" w:rsidRDefault="00D3283B" w:rsidP="000D0E64">
      <w:pPr>
        <w:spacing w:after="0" w:line="240" w:lineRule="auto"/>
      </w:pPr>
      <w:r>
        <w:separator/>
      </w:r>
    </w:p>
  </w:footnote>
  <w:footnote w:type="continuationSeparator" w:id="0">
    <w:p w14:paraId="22D8D7DE" w14:textId="77777777" w:rsidR="00D3283B" w:rsidRDefault="00D3283B" w:rsidP="000D0E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53"/>
    <w:rsid w:val="000D0E64"/>
    <w:rsid w:val="00134100"/>
    <w:rsid w:val="00190838"/>
    <w:rsid w:val="00247310"/>
    <w:rsid w:val="002C1723"/>
    <w:rsid w:val="002E0B2E"/>
    <w:rsid w:val="003071FC"/>
    <w:rsid w:val="0036163C"/>
    <w:rsid w:val="003E7D92"/>
    <w:rsid w:val="00404141"/>
    <w:rsid w:val="00416875"/>
    <w:rsid w:val="005152DB"/>
    <w:rsid w:val="00557D6E"/>
    <w:rsid w:val="005B6A2C"/>
    <w:rsid w:val="005E332C"/>
    <w:rsid w:val="00614E72"/>
    <w:rsid w:val="00616ADA"/>
    <w:rsid w:val="006807D2"/>
    <w:rsid w:val="00856CC6"/>
    <w:rsid w:val="00863755"/>
    <w:rsid w:val="00937804"/>
    <w:rsid w:val="00A44F61"/>
    <w:rsid w:val="00A47153"/>
    <w:rsid w:val="00A6750F"/>
    <w:rsid w:val="00AD1CDC"/>
    <w:rsid w:val="00B50182"/>
    <w:rsid w:val="00B61664"/>
    <w:rsid w:val="00C24A97"/>
    <w:rsid w:val="00C33BB1"/>
    <w:rsid w:val="00C84F2D"/>
    <w:rsid w:val="00CA3A4A"/>
    <w:rsid w:val="00D06AC8"/>
    <w:rsid w:val="00D23ACF"/>
    <w:rsid w:val="00D3283B"/>
    <w:rsid w:val="00D41C3F"/>
    <w:rsid w:val="00DC1258"/>
    <w:rsid w:val="00EA5824"/>
    <w:rsid w:val="00F63BF5"/>
    <w:rsid w:val="00FF5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EFAF"/>
  <w15:chartTrackingRefBased/>
  <w15:docId w15:val="{875B4381-AAD7-49E3-915F-D91B27AC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0E64"/>
  </w:style>
  <w:style w:type="paragraph" w:styleId="Voettekst">
    <w:name w:val="footer"/>
    <w:basedOn w:val="Standaard"/>
    <w:link w:val="VoettekstChar"/>
    <w:uiPriority w:val="99"/>
    <w:unhideWhenUsed/>
    <w:rsid w:val="000D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425">
      <w:bodyDiv w:val="1"/>
      <w:marLeft w:val="0"/>
      <w:marRight w:val="0"/>
      <w:marTop w:val="0"/>
      <w:marBottom w:val="0"/>
      <w:divBdr>
        <w:top w:val="none" w:sz="0" w:space="0" w:color="auto"/>
        <w:left w:val="none" w:sz="0" w:space="0" w:color="auto"/>
        <w:bottom w:val="none" w:sz="0" w:space="0" w:color="auto"/>
        <w:right w:val="none" w:sz="0" w:space="0" w:color="auto"/>
      </w:divBdr>
    </w:div>
    <w:div w:id="10605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557</ap:Words>
  <ap:Characters>3066</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2024-10-04T14:44:00.0000000Z</dcterms:created>
  <dcterms:modified xsi:type="dcterms:W3CDTF">2024-10-04T14:44:00.0000000Z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2024-08-20T12:54:42Z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c198d498-fa23-4e1a-9c3b-93289b3e5272</vt:lpwstr>
  </property>
  <property fmtid="{D5CDD505-2E9C-101B-9397-08002B2CF9AE}" pid="8" name="MSIP_Label_e00462cb-1b47-485e-830d-87ca0cc9766d_ContentBits">
    <vt:lpwstr>0</vt:lpwstr>
  </property>
  <property fmtid="{D5CDD505-2E9C-101B-9397-08002B2CF9AE}" pid="9" name="ContentTypeId">
    <vt:lpwstr>0x0101009DC3BE9669D610438C4BC39D05015A21</vt:lpwstr>
  </property>
</Properties>
</file>