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9F8" w:rsidRDefault="007339F8" w14:paraId="0447FCBE" w14:textId="77777777">
      <w:bookmarkStart w:name="_GoBack" w:id="0"/>
      <w:bookmarkEnd w:id="0"/>
    </w:p>
    <w:p w:rsidRPr="004E1E3E" w:rsidR="00AA18E4" w:rsidP="00AA18E4" w:rsidRDefault="00AA18E4" w14:paraId="5C29975F" w14:textId="77777777">
      <w:pPr>
        <w:pStyle w:val="Geenafstand"/>
        <w:rPr>
          <w:b/>
          <w:bCs/>
          <w:lang w:val="nl-NL"/>
        </w:rPr>
      </w:pPr>
      <w:r w:rsidRPr="004E1E3E">
        <w:rPr>
          <w:b/>
          <w:bCs/>
          <w:szCs w:val="18"/>
          <w:lang w:val="nl-NL"/>
        </w:rPr>
        <w:t>Achtergrond</w:t>
      </w:r>
    </w:p>
    <w:p w:rsidRPr="004E1E3E" w:rsidR="00AA18E4" w:rsidP="00AA18E4" w:rsidRDefault="00AA18E4" w14:paraId="42A101AF" w14:textId="77777777">
      <w:pPr>
        <w:pStyle w:val="broodtekst"/>
      </w:pPr>
      <w:r w:rsidRPr="004E1E3E">
        <w:t>Tijdens de plenaire wetsbehandeling (Wijziging van de Vreemdelingenwet 2000 in verband met de verlenging van de beslistermijnen in asiel- en nareiszaken) (kamerstuk 36349) van 17 april jl. hebben de Kamerleden Vondeling en Brekelmans vragen gesteld over hoe vaak in de praktijk dwangsommen voor te laat beslissen worden teruggevorderd ten behoeve van opvang. In deze brief geef ik antwoord op de gestelde vragen.</w:t>
      </w:r>
    </w:p>
    <w:p w:rsidRPr="004E1E3E" w:rsidR="00AA18E4" w:rsidP="00AA18E4" w:rsidRDefault="00AA18E4" w14:paraId="35CA7F2D" w14:textId="77777777">
      <w:pPr>
        <w:pStyle w:val="broodtekst"/>
      </w:pPr>
    </w:p>
    <w:p w:rsidRPr="004E1E3E" w:rsidR="00AA18E4" w:rsidP="00AA18E4" w:rsidRDefault="00AA18E4" w14:paraId="347DAAB4" w14:textId="77777777">
      <w:pPr>
        <w:pStyle w:val="broodtekst"/>
        <w:rPr>
          <w:b/>
          <w:bCs/>
        </w:rPr>
      </w:pPr>
      <w:r w:rsidRPr="004E1E3E">
        <w:rPr>
          <w:b/>
          <w:bCs/>
        </w:rPr>
        <w:t>Reba</w:t>
      </w:r>
    </w:p>
    <w:p w:rsidRPr="004E1E3E" w:rsidR="00AA18E4" w:rsidP="00AA18E4" w:rsidRDefault="00AA18E4" w14:paraId="540A8E8F" w14:textId="753C8BCC">
      <w:pPr>
        <w:pStyle w:val="broodtekst"/>
      </w:pPr>
      <w:r w:rsidRPr="004E1E3E">
        <w:t>De regeling eigen bijdrage asielzoekers met inkomen en vermogen (</w:t>
      </w:r>
      <w:r w:rsidRPr="004E1E3E" w:rsidR="007C337E">
        <w:t>R</w:t>
      </w:r>
      <w:r w:rsidRPr="004E1E3E">
        <w:t>eba-regeling) geeft in het kort aan dat, indien asielzoekers inkomen of vermogen hebben, ze dienen bij te dragen aan de kosten voor opvang. Of een eigen bijdrage gevraagd kan worden en hoe hoog die bijdrage is, is afhankelijk van de hoogte van het inkomen of vermogen, de op dat moment geldende vermogensgrens</w:t>
      </w:r>
      <w:r w:rsidRPr="004E1E3E">
        <w:rPr>
          <w:rStyle w:val="Voetnootmarkering"/>
        </w:rPr>
        <w:footnoteReference w:id="1"/>
      </w:r>
      <w:r w:rsidRPr="004E1E3E">
        <w:t xml:space="preserve"> en de samenstelling van het huishouden. Een uitgekeerde IND-dwangsom wordt gezien als vermogen. Het COA vordert, mits wordt voldaan aan de criteria, een deel van dit vermogen terug als tegemoetkoming in de gemaakte opvangkosten.</w:t>
      </w:r>
    </w:p>
    <w:p w:rsidRPr="004E1E3E" w:rsidR="00AA18E4" w:rsidP="00AA18E4" w:rsidRDefault="00AA18E4" w14:paraId="5D115BB4" w14:textId="77777777">
      <w:pPr>
        <w:pStyle w:val="broodtekst"/>
        <w:rPr>
          <w:b/>
          <w:bCs/>
        </w:rPr>
      </w:pPr>
    </w:p>
    <w:p w:rsidRPr="004E1E3E" w:rsidR="00AA18E4" w:rsidP="00AA18E4" w:rsidRDefault="00AA18E4" w14:paraId="7DF80106" w14:textId="77777777">
      <w:pPr>
        <w:pStyle w:val="broodtekst"/>
      </w:pPr>
      <w:r w:rsidRPr="004E1E3E">
        <w:rPr>
          <w:b/>
          <w:bCs/>
        </w:rPr>
        <w:t>Terugvordering bij dwangsomuitbetaling</w:t>
      </w:r>
    </w:p>
    <w:p w:rsidRPr="004E1E3E" w:rsidR="00AA18E4" w:rsidP="00AA18E4" w:rsidRDefault="00AA18E4" w14:paraId="2E4C2DF4" w14:textId="77777777">
      <w:pPr>
        <w:pStyle w:val="broodtekst"/>
      </w:pPr>
      <w:r w:rsidRPr="004E1E3E">
        <w:t>Zowel voor het COA als de IND geldt dat maar beperkt zicht is op het bestaande vermogen van asielzoekers. Een uitgekeerde dwangsom is een belangrijke</w:t>
      </w:r>
    </w:p>
    <w:p w:rsidRPr="004E1E3E" w:rsidR="00AA18E4" w:rsidP="00AA18E4" w:rsidRDefault="00AA18E4" w14:paraId="3B8BBD56" w14:textId="7D5DBE4E">
      <w:pPr>
        <w:pStyle w:val="broodtekst"/>
      </w:pPr>
      <w:r w:rsidRPr="004E1E3E">
        <w:lastRenderedPageBreak/>
        <w:t>indicator dat de vermogensgrens mogelijk wordt overschreden. De IND stelt het COA daarom op de hoogte van alle uitgekeerde dwangsommen boven de éénpersoonsvermogensgrens</w:t>
      </w:r>
      <w:r w:rsidRPr="004E1E3E">
        <w:rPr>
          <w:rStyle w:val="Voetnootmarkering"/>
        </w:rPr>
        <w:footnoteReference w:id="2"/>
      </w:r>
      <w:r w:rsidRPr="004E1E3E">
        <w:t xml:space="preserve">. Op basis van de door de IND aangeleverde gegevens, onderzoekt het COA of de asielzoeker een eigen bijdrage moet betalen conform de beschreven voorwaarden in de </w:t>
      </w:r>
      <w:r w:rsidRPr="004E1E3E" w:rsidR="007C337E">
        <w:t>R</w:t>
      </w:r>
      <w:r w:rsidRPr="004E1E3E">
        <w:t>eba</w:t>
      </w:r>
      <w:r w:rsidRPr="004E1E3E" w:rsidR="00A77CB3">
        <w:t xml:space="preserve"> en het door JenV opgestelde handelingsperspectief</w:t>
      </w:r>
      <w:r w:rsidRPr="004E1E3E" w:rsidR="00A77CB3">
        <w:rPr>
          <w:rStyle w:val="Voetnootmarkering"/>
        </w:rPr>
        <w:footnoteReference w:id="3"/>
      </w:r>
      <w:r w:rsidRPr="004E1E3E">
        <w:t>.</w:t>
      </w:r>
      <w:r w:rsidRPr="004E1E3E">
        <w:br/>
      </w:r>
      <w:r w:rsidRPr="004E1E3E">
        <w:br/>
        <w:t xml:space="preserve">Tussen januari 2022 en juni 2024 heeft de IND ruim 12.000 dwangsommen uitbetaald. Daarvan </w:t>
      </w:r>
      <w:r w:rsidRPr="004E1E3E" w:rsidR="00695C12">
        <w:t xml:space="preserve">kwamen </w:t>
      </w:r>
      <w:r w:rsidRPr="004E1E3E">
        <w:t xml:space="preserve">894 </w:t>
      </w:r>
      <w:r w:rsidRPr="004E1E3E" w:rsidR="00695C12">
        <w:t xml:space="preserve">zaken uit boven de éénpersoonsvermogensgrens. Om die reden zijn alleen deze </w:t>
      </w:r>
      <w:r w:rsidRPr="004E1E3E">
        <w:t>dossiers overgedragen aan het COA</w:t>
      </w:r>
      <w:r w:rsidRPr="004E1E3E">
        <w:rPr>
          <w:rStyle w:val="Voetnootmarkering"/>
        </w:rPr>
        <w:footnoteReference w:id="4"/>
      </w:r>
      <w:r w:rsidRPr="004E1E3E">
        <w:t>. Na ontdubbeling bleven bij het COA 852 dossiers over ter beoordeling</w:t>
      </w:r>
      <w:r w:rsidRPr="004E1E3E">
        <w:rPr>
          <w:rStyle w:val="Voetnootmarkering"/>
        </w:rPr>
        <w:footnoteReference w:id="5"/>
      </w:r>
      <w:r w:rsidRPr="004E1E3E">
        <w:t xml:space="preserve">. Daaruit is in 50 dossiers beschikt in het kader van de </w:t>
      </w:r>
      <w:r w:rsidRPr="004E1E3E" w:rsidR="007C337E">
        <w:t>R</w:t>
      </w:r>
      <w:r w:rsidRPr="004E1E3E">
        <w:t>eba</w:t>
      </w:r>
      <w:r w:rsidRPr="004E1E3E" w:rsidR="007659E0">
        <w:rPr>
          <w:rStyle w:val="Voetnootmarkering"/>
        </w:rPr>
        <w:footnoteReference w:id="6"/>
      </w:r>
      <w:r w:rsidRPr="004E1E3E" w:rsidR="007659E0">
        <w:t>.</w:t>
      </w:r>
      <w:r w:rsidRPr="004E1E3E">
        <w:br/>
      </w:r>
      <w:r w:rsidRPr="004E1E3E" w:rsidR="0063362E">
        <w:br/>
        <w:t xml:space="preserve">In onderstaande situaties wordt niet beschikt: </w:t>
      </w:r>
      <w:r w:rsidRPr="004E1E3E">
        <w:br/>
      </w:r>
    </w:p>
    <w:p w:rsidRPr="004E1E3E" w:rsidR="00AA18E4" w:rsidP="00AA18E4" w:rsidRDefault="00AA18E4" w14:paraId="7AEB61F5" w14:textId="3B9E76CC">
      <w:pPr>
        <w:pStyle w:val="broodtekst"/>
        <w:numPr>
          <w:ilvl w:val="0"/>
          <w:numId w:val="7"/>
        </w:numPr>
        <w:ind w:left="803" w:hanging="349"/>
      </w:pPr>
      <w:r w:rsidRPr="004E1E3E">
        <w:t xml:space="preserve">  Het uitgekeerde dwangsombedrag ligt onder de vermogens</w:t>
      </w:r>
      <w:r w:rsidRPr="004E1E3E" w:rsidR="0063362E">
        <w:t>grens</w:t>
      </w:r>
      <w:r w:rsidRPr="004E1E3E">
        <w:t>. Alle dwangsomdossiers boven de éénpersoonsvermogen</w:t>
      </w:r>
      <w:r w:rsidRPr="004E1E3E" w:rsidR="0063362E">
        <w:t xml:space="preserve">sgrens </w:t>
      </w:r>
      <w:r w:rsidRPr="004E1E3E">
        <w:t>worden</w:t>
      </w:r>
      <w:r w:rsidRPr="004E1E3E" w:rsidR="0063362E">
        <w:t xml:space="preserve"> aan het COA </w:t>
      </w:r>
      <w:r w:rsidRPr="004E1E3E">
        <w:t xml:space="preserve">overgedragen. Echter bij toepassing van de </w:t>
      </w:r>
      <w:r w:rsidRPr="004E1E3E" w:rsidR="0063362E">
        <w:t>R</w:t>
      </w:r>
      <w:r w:rsidRPr="004E1E3E">
        <w:t>eba geldt voor meerpersoonshuishoudens een hogere vermogens</w:t>
      </w:r>
      <w:r w:rsidRPr="004E1E3E" w:rsidR="0063362E">
        <w:t>grens</w:t>
      </w:r>
      <w:r w:rsidRPr="004E1E3E">
        <w:t xml:space="preserve">. </w:t>
      </w:r>
    </w:p>
    <w:p w:rsidRPr="004E1E3E" w:rsidR="00AA18E4" w:rsidP="00AA18E4" w:rsidRDefault="00AA18E4" w14:paraId="3319EC6A" w14:textId="77777777">
      <w:pPr>
        <w:pStyle w:val="broodtekst"/>
        <w:numPr>
          <w:ilvl w:val="0"/>
          <w:numId w:val="7"/>
        </w:numPr>
        <w:ind w:left="803" w:hanging="349"/>
      </w:pPr>
      <w:r w:rsidRPr="004E1E3E">
        <w:t xml:space="preserve">  Onbekend bij COA. Niet alle uitgekeerde IND-dwangsommen zijn </w:t>
      </w:r>
      <w:r w:rsidRPr="004E1E3E">
        <w:br/>
        <w:t>asiel gerelateerd. Bij dwangsommen in het kader van reguliere mig-</w:t>
      </w:r>
      <w:r w:rsidRPr="004E1E3E">
        <w:br/>
        <w:t>ratie is de ontvanger doorgaans niet opgevangen door het COA.</w:t>
      </w:r>
    </w:p>
    <w:p w:rsidRPr="004E1E3E" w:rsidR="00AA18E4" w:rsidP="00AA18E4" w:rsidRDefault="00AA18E4" w14:paraId="048F7474" w14:textId="53850978">
      <w:pPr>
        <w:pStyle w:val="broodtekst"/>
        <w:numPr>
          <w:ilvl w:val="0"/>
          <w:numId w:val="7"/>
        </w:numPr>
        <w:ind w:left="803" w:hanging="349"/>
      </w:pPr>
      <w:r w:rsidRPr="004E1E3E">
        <w:t xml:space="preserve">  De dwangsomontvanger betaalt al een eigen bijdrage</w:t>
      </w:r>
      <w:r w:rsidRPr="004E1E3E" w:rsidR="0063362E">
        <w:t xml:space="preserve"> in het kader van de Reba</w:t>
      </w:r>
      <w:r w:rsidRPr="004E1E3E">
        <w:t>. Dit kan voorkomen in situaties waarin de ontvanger voor de dwangsom</w:t>
      </w:r>
      <w:r w:rsidRPr="004E1E3E" w:rsidR="0063362E">
        <w:t xml:space="preserve">uitbetaling al </w:t>
      </w:r>
      <w:r w:rsidRPr="004E1E3E">
        <w:t xml:space="preserve">boven de vermogensgrens kwam of inkomen uit werk genoot. </w:t>
      </w:r>
    </w:p>
    <w:p w:rsidRPr="004E1E3E" w:rsidR="00AA18E4" w:rsidP="00AA18E4" w:rsidRDefault="00AA18E4" w14:paraId="0E7346BB" w14:textId="77777777">
      <w:pPr>
        <w:pStyle w:val="broodtekst"/>
        <w:numPr>
          <w:ilvl w:val="0"/>
          <w:numId w:val="7"/>
        </w:numPr>
        <w:ind w:left="803" w:hanging="349"/>
      </w:pPr>
      <w:r w:rsidRPr="004E1E3E">
        <w:t xml:space="preserve">  Met onbekende bestemming (MOB). Ontvangers van dwangsommen </w:t>
      </w:r>
      <w:r w:rsidRPr="004E1E3E">
        <w:br/>
        <w:t>zijn met onbekende bestemming uit de opvang vertrokken. Indien zij</w:t>
      </w:r>
    </w:p>
    <w:p w:rsidRPr="004E1E3E" w:rsidR="00AA18E4" w:rsidP="00AA18E4" w:rsidRDefault="00AA18E4" w14:paraId="776D3D6F" w14:textId="6B85DF0B">
      <w:pPr>
        <w:pStyle w:val="broodtekst"/>
        <w:ind w:left="803"/>
      </w:pPr>
      <w:r w:rsidRPr="004E1E3E">
        <w:t>zich wederom melden bij een COA-opvang zullen zij alsnog</w:t>
      </w:r>
      <w:r w:rsidRPr="004E1E3E">
        <w:br/>
        <w:t>aangeslagen worden voor een eigen bijdrage</w:t>
      </w:r>
      <w:r w:rsidRPr="004E1E3E" w:rsidR="0063362E">
        <w:t xml:space="preserve"> in het kader van de Reba</w:t>
      </w:r>
      <w:r w:rsidRPr="004E1E3E">
        <w:t xml:space="preserve">. </w:t>
      </w:r>
    </w:p>
    <w:p w:rsidRPr="004E1E3E" w:rsidR="0063362E" w:rsidP="0063362E" w:rsidRDefault="00AA18E4" w14:paraId="4BEBD6FD" w14:textId="22ED012E">
      <w:pPr>
        <w:pStyle w:val="broodtekst"/>
        <w:numPr>
          <w:ilvl w:val="0"/>
          <w:numId w:val="7"/>
        </w:numPr>
        <w:ind w:left="803" w:hanging="349"/>
      </w:pPr>
      <w:r w:rsidRPr="004E1E3E">
        <w:t xml:space="preserve">  </w:t>
      </w:r>
      <w:r w:rsidRPr="004E1E3E" w:rsidR="0063362E">
        <w:t xml:space="preserve">Vergunninghouders zijn uitgestroomd tussen dwangsomontvangst en het moment dat het COA de gegevens over uitgekeerde dwangsommen </w:t>
      </w:r>
      <w:r w:rsidRPr="004E1E3E" w:rsidR="00A77CB3">
        <w:t>verwerkt</w:t>
      </w:r>
      <w:r w:rsidRPr="004E1E3E" w:rsidR="0063362E">
        <w:t xml:space="preserve">. Op basis van de  participatiewet neemt de gemeente het vermogen van de uitstromer mee in het vaststellen van een eventuele uitkering. </w:t>
      </w:r>
    </w:p>
    <w:p w:rsidRPr="004E1E3E" w:rsidR="00AA18E4" w:rsidP="0063362E" w:rsidRDefault="0063362E" w14:paraId="23482444" w14:textId="332D0EAB">
      <w:pPr>
        <w:pStyle w:val="broodtekst"/>
        <w:numPr>
          <w:ilvl w:val="0"/>
          <w:numId w:val="7"/>
        </w:numPr>
        <w:ind w:left="803" w:hanging="349"/>
      </w:pPr>
      <w:r w:rsidRPr="004E1E3E">
        <w:t xml:space="preserve">  Overig: een meerderheid binnen deze categorie was op het moment van de dwangsomontvangst al uitgestroomd naar een gemeente. Ook dan geldt dat de gemeente het vermogen meeneemt in bepaling van een eventuele uitkering. </w:t>
      </w:r>
      <w:r w:rsidRPr="004E1E3E" w:rsidR="00AA18E4">
        <w:t xml:space="preserve">   </w:t>
      </w:r>
    </w:p>
    <w:p w:rsidRPr="004E1E3E" w:rsidR="00AA18E4" w:rsidP="00AA18E4" w:rsidRDefault="00CE4B20" w14:paraId="76504729" w14:textId="65AE2912">
      <w:pPr>
        <w:pStyle w:val="broodtekst"/>
      </w:pPr>
      <w:r>
        <w:br/>
      </w:r>
      <w:r w:rsidRPr="004E1E3E" w:rsidR="00AA18E4">
        <w:br/>
        <w:t xml:space="preserve">Sinds 2022 is door het COA een totaal van ca. €580.000 aan </w:t>
      </w:r>
      <w:r w:rsidRPr="004E1E3E" w:rsidR="007C337E">
        <w:t>R</w:t>
      </w:r>
      <w:r w:rsidRPr="004E1E3E" w:rsidR="00AA18E4">
        <w:t xml:space="preserve">eba-beschikkingen opgelegd. Daarmee is ca. €380.000 aan </w:t>
      </w:r>
      <w:r w:rsidRPr="004E1E3E" w:rsidR="007C337E">
        <w:t>R</w:t>
      </w:r>
      <w:r w:rsidRPr="004E1E3E" w:rsidR="00AA18E4">
        <w:t>eba-inkomsten geïnd</w:t>
      </w:r>
      <w:r w:rsidRPr="004E1E3E" w:rsidR="00AA18E4">
        <w:rPr>
          <w:rStyle w:val="Voetnootmarkering"/>
        </w:rPr>
        <w:footnoteReference w:id="7"/>
      </w:r>
      <w:r w:rsidRPr="004E1E3E" w:rsidR="00AA18E4">
        <w:t>. De voornaamste reden dat een opgelegde beschikking niet kan worden geïnd is dat de gelden al zijn uitgegeven</w:t>
      </w:r>
      <w:r w:rsidRPr="004E1E3E" w:rsidR="0063362E">
        <w:t xml:space="preserve"> door de dwangsomontvanger</w:t>
      </w:r>
      <w:r w:rsidRPr="004E1E3E" w:rsidR="00AA18E4">
        <w:t>. Voor het delen van dwangsomdossiers met het COA hanteer</w:t>
      </w:r>
      <w:r w:rsidRPr="004E1E3E" w:rsidR="00A77CB3">
        <w:t>t</w:t>
      </w:r>
      <w:r w:rsidRPr="004E1E3E" w:rsidR="00AA18E4">
        <w:t xml:space="preserve"> de IND een wachttijd van 6 tot 8 weken in het kader van de wettelijke beroepstermijn. Dit omdat ontvangers in beroep kunnen gaan wanneer zij het oneens zijn met de hoogte van de uitgekeerde dwangsom. </w:t>
      </w:r>
    </w:p>
    <w:p w:rsidRPr="004E1E3E" w:rsidR="00AA18E4" w:rsidP="00AA18E4" w:rsidRDefault="00AA18E4" w14:paraId="00C6E337" w14:textId="77777777">
      <w:pPr>
        <w:pStyle w:val="broodtekst"/>
      </w:pPr>
    </w:p>
    <w:p w:rsidRPr="004E1E3E" w:rsidR="00AA18E4" w:rsidP="00AA18E4" w:rsidRDefault="00AA18E4" w14:paraId="69075712" w14:textId="3EAC9718">
      <w:pPr>
        <w:pStyle w:val="broodtekst"/>
      </w:pPr>
      <w:r w:rsidRPr="004E1E3E">
        <w:t xml:space="preserve">Het COA en de IND zullen, in samenwerking met het departement, onderzoeken of het mogelijk is om </w:t>
      </w:r>
      <w:r w:rsidRPr="004E1E3E" w:rsidR="0063362E">
        <w:t>het</w:t>
      </w:r>
      <w:r w:rsidRPr="004E1E3E">
        <w:t xml:space="preserve"> </w:t>
      </w:r>
      <w:r w:rsidRPr="004E1E3E" w:rsidR="0063362E">
        <w:t>R</w:t>
      </w:r>
      <w:r w:rsidRPr="004E1E3E">
        <w:t>eba</w:t>
      </w:r>
      <w:r w:rsidRPr="004E1E3E" w:rsidR="0063362E">
        <w:t xml:space="preserve">-proces verder te stroomlijnen met verbeterde informatie-uitwisseling. </w:t>
      </w:r>
      <w:r w:rsidRPr="004E1E3E">
        <w:t>Over de resultaten hiervan zal ik uw Kamer op termijn informeren.</w:t>
      </w:r>
    </w:p>
    <w:p w:rsidRPr="004E1E3E" w:rsidR="00AA18E4" w:rsidP="00AA18E4" w:rsidRDefault="00AA18E4" w14:paraId="59A4402E" w14:textId="77777777">
      <w:pPr>
        <w:pStyle w:val="broodtekst"/>
      </w:pPr>
    </w:p>
    <w:p w:rsidRPr="004E1E3E" w:rsidR="00AA18E4" w:rsidP="00AA18E4" w:rsidRDefault="00AA18E4" w14:paraId="0D3F0692" w14:textId="77777777">
      <w:pPr>
        <w:pStyle w:val="broodtekst"/>
      </w:pPr>
    </w:p>
    <w:p w:rsidRPr="004E1E3E" w:rsidR="00AA18E4" w:rsidP="00AA18E4" w:rsidRDefault="00AA18E4" w14:paraId="45EBCB0E" w14:textId="77777777">
      <w:pPr>
        <w:pStyle w:val="broodtekst"/>
      </w:pPr>
      <w:r w:rsidRPr="004E1E3E">
        <w:t xml:space="preserve">De Minister van Asiel en Migratie, </w:t>
      </w:r>
    </w:p>
    <w:p w:rsidRPr="004E1E3E" w:rsidR="00AA18E4" w:rsidP="00AA18E4" w:rsidRDefault="00AA18E4" w14:paraId="01D9C4E3" w14:textId="77777777">
      <w:pPr>
        <w:pStyle w:val="broodtekst"/>
      </w:pPr>
    </w:p>
    <w:p w:rsidRPr="004E1E3E" w:rsidR="00AA18E4" w:rsidP="00AA18E4" w:rsidRDefault="00AA18E4" w14:paraId="1A62E20D" w14:textId="77777777">
      <w:pPr>
        <w:pStyle w:val="broodtekst"/>
      </w:pPr>
    </w:p>
    <w:p w:rsidRPr="004E1E3E" w:rsidR="00AA18E4" w:rsidP="00AA18E4" w:rsidRDefault="00AA18E4" w14:paraId="5E86DF4B" w14:textId="77777777">
      <w:pPr>
        <w:pStyle w:val="broodtekst"/>
      </w:pPr>
    </w:p>
    <w:p w:rsidRPr="004E1E3E" w:rsidR="007339F8" w:rsidRDefault="007339F8" w14:paraId="03D413AC" w14:textId="77777777"/>
    <w:p w:rsidR="007339F8" w:rsidRDefault="00AA18E4" w14:paraId="7A0356C4" w14:textId="23EC162D">
      <w:r w:rsidRPr="004E1E3E">
        <w:t>M.H.M. Faber – Van de Klashorst</w:t>
      </w:r>
      <w:r>
        <w:t xml:space="preserve"> </w:t>
      </w:r>
    </w:p>
    <w:p w:rsidR="007339F8" w:rsidRDefault="007339F8" w14:paraId="6D24A0A0" w14:textId="77777777"/>
    <w:p w:rsidR="007339F8" w:rsidRDefault="007339F8" w14:paraId="31330B0B" w14:textId="77777777"/>
    <w:sectPr w:rsidR="007339F8">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21D75" w14:textId="77777777" w:rsidR="00FC2238" w:rsidRDefault="00FC2238">
      <w:pPr>
        <w:spacing w:line="240" w:lineRule="auto"/>
      </w:pPr>
      <w:r>
        <w:separator/>
      </w:r>
    </w:p>
  </w:endnote>
  <w:endnote w:type="continuationSeparator" w:id="0">
    <w:p w14:paraId="3FCB28D9" w14:textId="77777777" w:rsidR="00FC2238" w:rsidRDefault="00FC22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6AC4D" w14:textId="77777777" w:rsidR="007339F8" w:rsidRDefault="007339F8">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601D3" w14:textId="77777777" w:rsidR="00FC2238" w:rsidRDefault="00FC2238">
      <w:pPr>
        <w:spacing w:line="240" w:lineRule="auto"/>
      </w:pPr>
      <w:r>
        <w:separator/>
      </w:r>
    </w:p>
  </w:footnote>
  <w:footnote w:type="continuationSeparator" w:id="0">
    <w:p w14:paraId="46A2F59D" w14:textId="77777777" w:rsidR="00FC2238" w:rsidRDefault="00FC2238">
      <w:pPr>
        <w:spacing w:line="240" w:lineRule="auto"/>
      </w:pPr>
      <w:r>
        <w:continuationSeparator/>
      </w:r>
    </w:p>
  </w:footnote>
  <w:footnote w:id="1">
    <w:p w14:paraId="5A26D540" w14:textId="72A86480" w:rsidR="00AA18E4" w:rsidRDefault="00AA18E4" w:rsidP="00AA18E4">
      <w:pPr>
        <w:pStyle w:val="Voetnoottekst"/>
        <w:spacing w:line="240" w:lineRule="auto"/>
        <w:rPr>
          <w:szCs w:val="16"/>
        </w:rPr>
      </w:pPr>
      <w:r>
        <w:rPr>
          <w:rStyle w:val="Voetnootmarkering"/>
          <w:szCs w:val="16"/>
        </w:rPr>
        <w:footnoteRef/>
      </w:r>
      <w:r>
        <w:rPr>
          <w:szCs w:val="16"/>
        </w:rPr>
        <w:t xml:space="preserve"> De vermogensgrens die van toepassing is in de </w:t>
      </w:r>
      <w:r w:rsidR="007C337E">
        <w:rPr>
          <w:szCs w:val="16"/>
        </w:rPr>
        <w:t>R</w:t>
      </w:r>
      <w:r>
        <w:rPr>
          <w:szCs w:val="16"/>
        </w:rPr>
        <w:t xml:space="preserve">eba is vastgelegd in artikel 34, derde lid, van de Participatiewet. Wanneer het vermogen door inkomsten uit werk of door een uitbetaalde dwangsom niet boven de vermogensgrens komt, wordt conform de </w:t>
      </w:r>
      <w:r w:rsidR="007C337E">
        <w:rPr>
          <w:szCs w:val="16"/>
        </w:rPr>
        <w:t>R</w:t>
      </w:r>
      <w:r>
        <w:rPr>
          <w:szCs w:val="16"/>
        </w:rPr>
        <w:t>eba-regeling geen eigen bijdrage gevraagd. Indexering van de bedragen vindt plaats in januari en in juli van elk jaar. De vermogensvrijlating is gekoppeld aan de inflatie (consumentenprijsindex). In 2022 was de inflatie uitzonderlijk hoog en in 2023 weer lager. Vandaar dat de vermogensgrenzen in 2024 lager zijn uitgevallen t.o.v. 2023. De vermogensgrens vanaf 2021 was:</w:t>
      </w:r>
    </w:p>
    <w:p w14:paraId="1ECFED97" w14:textId="77777777" w:rsidR="00AA18E4" w:rsidRDefault="00AA18E4" w:rsidP="00AA18E4">
      <w:pPr>
        <w:pStyle w:val="Voetnoottekst"/>
        <w:spacing w:line="240" w:lineRule="auto"/>
        <w:rPr>
          <w:szCs w:val="16"/>
        </w:rPr>
      </w:pPr>
    </w:p>
    <w:tbl>
      <w:tblPr>
        <w:tblStyle w:val="Lijsttabel2"/>
        <w:tblW w:w="0" w:type="auto"/>
        <w:tblLook w:val="04A0" w:firstRow="1" w:lastRow="0" w:firstColumn="1" w:lastColumn="0" w:noHBand="0" w:noVBand="1"/>
      </w:tblPr>
      <w:tblGrid>
        <w:gridCol w:w="1788"/>
        <w:gridCol w:w="2019"/>
        <w:gridCol w:w="1710"/>
        <w:gridCol w:w="1983"/>
      </w:tblGrid>
      <w:tr w:rsidR="00AA18E4" w14:paraId="6F4642F5" w14:textId="77777777" w:rsidTr="0003178D">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788" w:type="dxa"/>
          </w:tcPr>
          <w:p w14:paraId="29DA7E91" w14:textId="77777777" w:rsidR="00AA18E4" w:rsidRDefault="00AA18E4">
            <w:pPr>
              <w:pStyle w:val="broodtekst"/>
              <w:rPr>
                <w:sz w:val="16"/>
                <w:szCs w:val="16"/>
              </w:rPr>
            </w:pPr>
          </w:p>
        </w:tc>
        <w:tc>
          <w:tcPr>
            <w:tcW w:w="2019" w:type="dxa"/>
          </w:tcPr>
          <w:p w14:paraId="3E3649CE" w14:textId="77777777" w:rsidR="00AA18E4" w:rsidRDefault="00AA18E4">
            <w:pPr>
              <w:pStyle w:val="broodtekst"/>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Alleenstaande ouder/gehuwden (€)</w:t>
            </w:r>
          </w:p>
        </w:tc>
        <w:tc>
          <w:tcPr>
            <w:tcW w:w="1710" w:type="dxa"/>
          </w:tcPr>
          <w:p w14:paraId="43BA4877" w14:textId="77777777" w:rsidR="00AA18E4" w:rsidRDefault="00AA18E4">
            <w:pPr>
              <w:pStyle w:val="broodtekst"/>
              <w:cnfStyle w:val="100000000000" w:firstRow="1" w:lastRow="0" w:firstColumn="0" w:lastColumn="0" w:oddVBand="0" w:evenVBand="0" w:oddHBand="0" w:evenHBand="0" w:firstRowFirstColumn="0" w:firstRowLastColumn="0" w:lastRowFirstColumn="0" w:lastRowLastColumn="0"/>
              <w:rPr>
                <w:sz w:val="16"/>
                <w:szCs w:val="16"/>
              </w:rPr>
            </w:pPr>
          </w:p>
        </w:tc>
        <w:tc>
          <w:tcPr>
            <w:tcW w:w="1983" w:type="dxa"/>
          </w:tcPr>
          <w:p w14:paraId="5C7AD4E5" w14:textId="77777777" w:rsidR="00AA18E4" w:rsidRDefault="00AA18E4">
            <w:pPr>
              <w:pStyle w:val="broodtekst"/>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Alleenstaanden (€)</w:t>
            </w:r>
          </w:p>
        </w:tc>
      </w:tr>
      <w:tr w:rsidR="00AA18E4" w14:paraId="13D74E6B" w14:textId="77777777" w:rsidTr="0003178D">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88" w:type="dxa"/>
          </w:tcPr>
          <w:p w14:paraId="7583B52D" w14:textId="77777777" w:rsidR="00AA18E4" w:rsidRDefault="00AA18E4">
            <w:pPr>
              <w:pStyle w:val="broodtekst"/>
              <w:rPr>
                <w:b w:val="0"/>
                <w:bCs w:val="0"/>
                <w:sz w:val="16"/>
                <w:szCs w:val="16"/>
              </w:rPr>
            </w:pPr>
            <w:r>
              <w:rPr>
                <w:b w:val="0"/>
                <w:bCs w:val="0"/>
                <w:sz w:val="16"/>
                <w:szCs w:val="16"/>
              </w:rPr>
              <w:t>2021</w:t>
            </w:r>
          </w:p>
        </w:tc>
        <w:tc>
          <w:tcPr>
            <w:tcW w:w="2019" w:type="dxa"/>
          </w:tcPr>
          <w:p w14:paraId="58CA6912" w14:textId="77777777" w:rsidR="00AA18E4" w:rsidRDefault="00AA18E4">
            <w:pPr>
              <w:pStyle w:val="broodteks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12.590</w:t>
            </w:r>
          </w:p>
        </w:tc>
        <w:tc>
          <w:tcPr>
            <w:tcW w:w="1710" w:type="dxa"/>
          </w:tcPr>
          <w:p w14:paraId="682DBCC4" w14:textId="77777777" w:rsidR="00AA18E4" w:rsidRDefault="00AA18E4">
            <w:pPr>
              <w:pStyle w:val="broodtekst"/>
              <w:cnfStyle w:val="000000100000" w:firstRow="0" w:lastRow="0" w:firstColumn="0" w:lastColumn="0" w:oddVBand="0" w:evenVBand="0" w:oddHBand="1" w:evenHBand="0" w:firstRowFirstColumn="0" w:firstRowLastColumn="0" w:lastRowFirstColumn="0" w:lastRowLastColumn="0"/>
              <w:rPr>
                <w:sz w:val="16"/>
                <w:szCs w:val="16"/>
              </w:rPr>
            </w:pPr>
          </w:p>
        </w:tc>
        <w:tc>
          <w:tcPr>
            <w:tcW w:w="1983" w:type="dxa"/>
          </w:tcPr>
          <w:p w14:paraId="3DAF9441" w14:textId="77777777" w:rsidR="00AA18E4" w:rsidRDefault="00AA18E4">
            <w:pPr>
              <w:pStyle w:val="broodteks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6.295</w:t>
            </w:r>
          </w:p>
        </w:tc>
      </w:tr>
      <w:tr w:rsidR="00AA18E4" w14:paraId="4A41156A" w14:textId="77777777" w:rsidTr="0003178D">
        <w:trPr>
          <w:trHeight w:val="212"/>
        </w:trPr>
        <w:tc>
          <w:tcPr>
            <w:cnfStyle w:val="001000000000" w:firstRow="0" w:lastRow="0" w:firstColumn="1" w:lastColumn="0" w:oddVBand="0" w:evenVBand="0" w:oddHBand="0" w:evenHBand="0" w:firstRowFirstColumn="0" w:firstRowLastColumn="0" w:lastRowFirstColumn="0" w:lastRowLastColumn="0"/>
            <w:tcW w:w="1788" w:type="dxa"/>
          </w:tcPr>
          <w:p w14:paraId="45E81951" w14:textId="77777777" w:rsidR="00AA18E4" w:rsidRDefault="00AA18E4">
            <w:pPr>
              <w:pStyle w:val="broodtekst"/>
              <w:rPr>
                <w:b w:val="0"/>
                <w:bCs w:val="0"/>
                <w:sz w:val="16"/>
                <w:szCs w:val="16"/>
              </w:rPr>
            </w:pPr>
            <w:r>
              <w:rPr>
                <w:b w:val="0"/>
                <w:bCs w:val="0"/>
                <w:sz w:val="16"/>
                <w:szCs w:val="16"/>
              </w:rPr>
              <w:t>2022</w:t>
            </w:r>
          </w:p>
        </w:tc>
        <w:tc>
          <w:tcPr>
            <w:tcW w:w="2019" w:type="dxa"/>
          </w:tcPr>
          <w:p w14:paraId="742005F9" w14:textId="77777777" w:rsidR="00AA18E4" w:rsidRDefault="00AA18E4">
            <w:pPr>
              <w:pStyle w:val="broodteks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13.010</w:t>
            </w:r>
          </w:p>
        </w:tc>
        <w:tc>
          <w:tcPr>
            <w:tcW w:w="1710" w:type="dxa"/>
          </w:tcPr>
          <w:p w14:paraId="0B922197" w14:textId="77777777" w:rsidR="00AA18E4" w:rsidRDefault="00AA18E4">
            <w:pPr>
              <w:pStyle w:val="broodtekst"/>
              <w:cnfStyle w:val="000000000000" w:firstRow="0" w:lastRow="0" w:firstColumn="0" w:lastColumn="0" w:oddVBand="0" w:evenVBand="0" w:oddHBand="0" w:evenHBand="0" w:firstRowFirstColumn="0" w:firstRowLastColumn="0" w:lastRowFirstColumn="0" w:lastRowLastColumn="0"/>
              <w:rPr>
                <w:sz w:val="16"/>
                <w:szCs w:val="16"/>
              </w:rPr>
            </w:pPr>
          </w:p>
        </w:tc>
        <w:tc>
          <w:tcPr>
            <w:tcW w:w="1983" w:type="dxa"/>
          </w:tcPr>
          <w:p w14:paraId="001F425A" w14:textId="77777777" w:rsidR="00AA18E4" w:rsidRDefault="00AA18E4">
            <w:pPr>
              <w:pStyle w:val="broodteks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6.505</w:t>
            </w:r>
          </w:p>
        </w:tc>
      </w:tr>
      <w:tr w:rsidR="00AA18E4" w14:paraId="6F2611BC" w14:textId="77777777" w:rsidTr="0003178D">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88" w:type="dxa"/>
          </w:tcPr>
          <w:p w14:paraId="3DDF6F7B" w14:textId="77777777" w:rsidR="00AA18E4" w:rsidRDefault="00AA18E4">
            <w:pPr>
              <w:pStyle w:val="broodtekst"/>
              <w:rPr>
                <w:b w:val="0"/>
                <w:bCs w:val="0"/>
                <w:sz w:val="16"/>
                <w:szCs w:val="16"/>
              </w:rPr>
            </w:pPr>
            <w:r>
              <w:rPr>
                <w:b w:val="0"/>
                <w:bCs w:val="0"/>
                <w:sz w:val="16"/>
                <w:szCs w:val="16"/>
              </w:rPr>
              <w:t>2023</w:t>
            </w:r>
          </w:p>
        </w:tc>
        <w:tc>
          <w:tcPr>
            <w:tcW w:w="2019" w:type="dxa"/>
          </w:tcPr>
          <w:p w14:paraId="3FC4A018" w14:textId="77777777" w:rsidR="00AA18E4" w:rsidRDefault="00AA18E4">
            <w:pPr>
              <w:pStyle w:val="broodteks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15.210</w:t>
            </w:r>
          </w:p>
        </w:tc>
        <w:tc>
          <w:tcPr>
            <w:tcW w:w="1710" w:type="dxa"/>
          </w:tcPr>
          <w:p w14:paraId="753E8D76" w14:textId="77777777" w:rsidR="00AA18E4" w:rsidRDefault="00AA18E4">
            <w:pPr>
              <w:pStyle w:val="broodtekst"/>
              <w:cnfStyle w:val="000000100000" w:firstRow="0" w:lastRow="0" w:firstColumn="0" w:lastColumn="0" w:oddVBand="0" w:evenVBand="0" w:oddHBand="1" w:evenHBand="0" w:firstRowFirstColumn="0" w:firstRowLastColumn="0" w:lastRowFirstColumn="0" w:lastRowLastColumn="0"/>
              <w:rPr>
                <w:sz w:val="16"/>
                <w:szCs w:val="16"/>
              </w:rPr>
            </w:pPr>
          </w:p>
        </w:tc>
        <w:tc>
          <w:tcPr>
            <w:tcW w:w="1983" w:type="dxa"/>
          </w:tcPr>
          <w:p w14:paraId="7BC5D269" w14:textId="77777777" w:rsidR="00AA18E4" w:rsidRDefault="00AA18E4">
            <w:pPr>
              <w:pStyle w:val="broodteks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7.605</w:t>
            </w:r>
          </w:p>
        </w:tc>
      </w:tr>
      <w:tr w:rsidR="00AA18E4" w14:paraId="205C12C1" w14:textId="77777777" w:rsidTr="0003178D">
        <w:trPr>
          <w:trHeight w:val="212"/>
        </w:trPr>
        <w:tc>
          <w:tcPr>
            <w:cnfStyle w:val="001000000000" w:firstRow="0" w:lastRow="0" w:firstColumn="1" w:lastColumn="0" w:oddVBand="0" w:evenVBand="0" w:oddHBand="0" w:evenHBand="0" w:firstRowFirstColumn="0" w:firstRowLastColumn="0" w:lastRowFirstColumn="0" w:lastRowLastColumn="0"/>
            <w:tcW w:w="1788" w:type="dxa"/>
          </w:tcPr>
          <w:p w14:paraId="2283426C" w14:textId="77777777" w:rsidR="00AA18E4" w:rsidRDefault="00AA18E4">
            <w:pPr>
              <w:pStyle w:val="broodtekst"/>
              <w:rPr>
                <w:b w:val="0"/>
                <w:bCs w:val="0"/>
                <w:sz w:val="16"/>
                <w:szCs w:val="16"/>
              </w:rPr>
            </w:pPr>
            <w:r>
              <w:rPr>
                <w:b w:val="0"/>
                <w:bCs w:val="0"/>
                <w:sz w:val="16"/>
                <w:szCs w:val="16"/>
              </w:rPr>
              <w:t>2024</w:t>
            </w:r>
          </w:p>
        </w:tc>
        <w:tc>
          <w:tcPr>
            <w:tcW w:w="2019" w:type="dxa"/>
          </w:tcPr>
          <w:p w14:paraId="2097FD15" w14:textId="77777777" w:rsidR="00AA18E4" w:rsidRDefault="00AA18E4">
            <w:pPr>
              <w:pStyle w:val="broodteks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15.150</w:t>
            </w:r>
          </w:p>
        </w:tc>
        <w:tc>
          <w:tcPr>
            <w:tcW w:w="1710" w:type="dxa"/>
          </w:tcPr>
          <w:p w14:paraId="01D4CBED" w14:textId="77777777" w:rsidR="00AA18E4" w:rsidRDefault="00AA18E4">
            <w:pPr>
              <w:pStyle w:val="broodtekst"/>
              <w:cnfStyle w:val="000000000000" w:firstRow="0" w:lastRow="0" w:firstColumn="0" w:lastColumn="0" w:oddVBand="0" w:evenVBand="0" w:oddHBand="0" w:evenHBand="0" w:firstRowFirstColumn="0" w:firstRowLastColumn="0" w:lastRowFirstColumn="0" w:lastRowLastColumn="0"/>
              <w:rPr>
                <w:sz w:val="16"/>
                <w:szCs w:val="16"/>
              </w:rPr>
            </w:pPr>
          </w:p>
        </w:tc>
        <w:tc>
          <w:tcPr>
            <w:tcW w:w="1983" w:type="dxa"/>
          </w:tcPr>
          <w:p w14:paraId="5B9FE68A" w14:textId="77777777" w:rsidR="00AA18E4" w:rsidRDefault="00AA18E4">
            <w:pPr>
              <w:pStyle w:val="broodteks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7.575</w:t>
            </w:r>
          </w:p>
        </w:tc>
      </w:tr>
    </w:tbl>
    <w:p w14:paraId="07483FB2" w14:textId="77777777" w:rsidR="00AA18E4" w:rsidRDefault="00AA18E4" w:rsidP="00AA18E4">
      <w:pPr>
        <w:pStyle w:val="Voetnoottekst"/>
      </w:pPr>
      <w:r>
        <w:rPr>
          <w:szCs w:val="16"/>
        </w:rPr>
        <w:t xml:space="preserve">           </w:t>
      </w:r>
    </w:p>
  </w:footnote>
  <w:footnote w:id="2">
    <w:p w14:paraId="79C0515F" w14:textId="77777777" w:rsidR="00AA18E4" w:rsidRDefault="00AA18E4" w:rsidP="00AA18E4">
      <w:pPr>
        <w:pStyle w:val="Voetnoottekst"/>
      </w:pPr>
      <w:r>
        <w:rPr>
          <w:rStyle w:val="Voetnootmarkering"/>
          <w:szCs w:val="16"/>
        </w:rPr>
        <w:footnoteRef/>
      </w:r>
      <w:r>
        <w:rPr>
          <w:szCs w:val="16"/>
        </w:rPr>
        <w:t xml:space="preserve"> Dit geldt ook voor zaken waarbij een rechterlijke en bestuurlijke dwangsom uitgekeerd in dezelfde maand gecombineerd hoger zijn dan de vermogensgrens. De IND geeft geen cumulatieve dwangsommen over meerdere maanden door. </w:t>
      </w:r>
    </w:p>
  </w:footnote>
  <w:footnote w:id="3">
    <w:p w14:paraId="4310915D" w14:textId="3B0C55EB" w:rsidR="00A77CB3" w:rsidRDefault="00A77CB3">
      <w:pPr>
        <w:pStyle w:val="Voetnoottekst"/>
      </w:pPr>
      <w:r>
        <w:rPr>
          <w:rStyle w:val="Voetnootmarkering"/>
        </w:rPr>
        <w:footnoteRef/>
      </w:r>
      <w:r>
        <w:t xml:space="preserve"> Nota Toepassing Reba 2008 in dwangsomzaken (29-06-2021)</w:t>
      </w:r>
    </w:p>
  </w:footnote>
  <w:footnote w:id="4">
    <w:p w14:paraId="61FEB52D" w14:textId="77777777" w:rsidR="00AA18E4" w:rsidRDefault="00AA18E4" w:rsidP="00AA18E4">
      <w:pPr>
        <w:pStyle w:val="Voetnoottekst"/>
      </w:pPr>
      <w:r>
        <w:rPr>
          <w:rStyle w:val="Voetnootmarkering"/>
        </w:rPr>
        <w:footnoteRef/>
      </w:r>
      <w:r>
        <w:t xml:space="preserve"> </w:t>
      </w:r>
      <w:r>
        <w:rPr>
          <w:szCs w:val="16"/>
        </w:rPr>
        <w:t>Cijfers over gegevensdeling voor 2022 zijn niet te achterhalen.</w:t>
      </w:r>
    </w:p>
  </w:footnote>
  <w:footnote w:id="5">
    <w:p w14:paraId="03796F5F" w14:textId="77777777" w:rsidR="00AA18E4" w:rsidRDefault="00AA18E4" w:rsidP="00AA18E4">
      <w:pPr>
        <w:pStyle w:val="Voetnoottekst"/>
      </w:pPr>
      <w:r>
        <w:rPr>
          <w:rStyle w:val="Voetnootmarkering"/>
        </w:rPr>
        <w:footnoteRef/>
      </w:r>
      <w:r>
        <w:t xml:space="preserve"> </w:t>
      </w:r>
      <w:r>
        <w:rPr>
          <w:szCs w:val="16"/>
        </w:rPr>
        <w:t>Het aantal ontvangen dossiers is in 2024 hoger dan in de jaren 2022 en 2023. Aan te wijzen redenen zijn het opschorten van de tijdelijke wet opschorting dwangsommen IND, tijdelijke verlichting door verlenging van de beslistermijn, en de groeiende werkvoorraad van de IND.</w:t>
      </w:r>
    </w:p>
  </w:footnote>
  <w:footnote w:id="6">
    <w:p w14:paraId="1327448E" w14:textId="6AFCB91C" w:rsidR="007659E0" w:rsidRDefault="007659E0">
      <w:pPr>
        <w:pStyle w:val="Voetnoottekst"/>
      </w:pPr>
      <w:r>
        <w:rPr>
          <w:rStyle w:val="Voetnootmarkering"/>
        </w:rPr>
        <w:footnoteRef/>
      </w:r>
      <w:r>
        <w:t xml:space="preserve"> Een 26-tal dossiers </w:t>
      </w:r>
      <w:r w:rsidR="00A77CB3">
        <w:t>is nog in behandeling bij het COA. Waaronder een aantal beroepszaken.</w:t>
      </w:r>
    </w:p>
  </w:footnote>
  <w:footnote w:id="7">
    <w:p w14:paraId="232E7333" w14:textId="41D86FD6" w:rsidR="00AA18E4" w:rsidRDefault="00AA18E4" w:rsidP="00AA18E4">
      <w:pPr>
        <w:pStyle w:val="Voetnoottekst"/>
      </w:pPr>
      <w:r>
        <w:rPr>
          <w:rStyle w:val="Voetnootmarkering"/>
        </w:rPr>
        <w:footnoteRef/>
      </w:r>
      <w:r>
        <w:t xml:space="preserve"> </w:t>
      </w:r>
      <w:r w:rsidR="00424B4C">
        <w:t>Beschikte en o</w:t>
      </w:r>
      <w:r>
        <w:t xml:space="preserve">ntvangen gelden kunnen ook uit </w:t>
      </w:r>
      <w:r w:rsidR="00424B4C">
        <w:t>dwangsommen van</w:t>
      </w:r>
      <w:r>
        <w:t xml:space="preserve"> voor 2022 voortkomen.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2D871" w14:textId="77777777" w:rsidR="007339F8" w:rsidRDefault="00AA18E4">
    <w:r>
      <w:rPr>
        <w:noProof/>
      </w:rPr>
      <mc:AlternateContent>
        <mc:Choice Requires="wps">
          <w:drawing>
            <wp:anchor distT="0" distB="0" distL="0" distR="0" simplePos="0" relativeHeight="251652608" behindDoc="0" locked="1" layoutInCell="1" allowOverlap="1" wp14:anchorId="7B3F1894" wp14:editId="3E9EE1C6">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4A7250D" w14:textId="77777777" w:rsidR="007339F8" w:rsidRDefault="00AA18E4">
                          <w:pPr>
                            <w:pStyle w:val="Referentiegegevensbold"/>
                          </w:pPr>
                          <w:r>
                            <w:t>Directoraat-Generaal Migratie</w:t>
                          </w:r>
                        </w:p>
                        <w:p w14:paraId="2B454A87" w14:textId="77777777" w:rsidR="007339F8" w:rsidRDefault="007339F8">
                          <w:pPr>
                            <w:pStyle w:val="WitregelW2"/>
                          </w:pPr>
                        </w:p>
                        <w:p w14:paraId="1C48D89D" w14:textId="77777777" w:rsidR="007339F8" w:rsidRDefault="00AA18E4">
                          <w:pPr>
                            <w:pStyle w:val="Referentiegegevensbold"/>
                          </w:pPr>
                          <w:r>
                            <w:t>Datum</w:t>
                          </w:r>
                        </w:p>
                        <w:p w14:paraId="31AAC206" w14:textId="78801B8F" w:rsidR="007339F8" w:rsidRDefault="00876CCB">
                          <w:pPr>
                            <w:pStyle w:val="Referentiegegevens"/>
                          </w:pPr>
                          <w:sdt>
                            <w:sdtPr>
                              <w:id w:val="355849588"/>
                              <w:date w:fullDate="2024-10-04T00:00:00Z">
                                <w:dateFormat w:val="d MMMM yyyy"/>
                                <w:lid w:val="nl"/>
                                <w:storeMappedDataAs w:val="dateTime"/>
                                <w:calendar w:val="gregorian"/>
                              </w:date>
                            </w:sdtPr>
                            <w:sdtEndPr/>
                            <w:sdtContent>
                              <w:r w:rsidR="00CE4B20">
                                <w:t>4 oktober 2024</w:t>
                              </w:r>
                            </w:sdtContent>
                          </w:sdt>
                        </w:p>
                        <w:p w14:paraId="7EE2227D" w14:textId="77777777" w:rsidR="007339F8" w:rsidRDefault="007339F8">
                          <w:pPr>
                            <w:pStyle w:val="WitregelW1"/>
                          </w:pPr>
                        </w:p>
                        <w:p w14:paraId="44520C19" w14:textId="77777777" w:rsidR="007339F8" w:rsidRDefault="00AA18E4">
                          <w:pPr>
                            <w:pStyle w:val="Referentiegegevensbold"/>
                          </w:pPr>
                          <w:r>
                            <w:t>Onze referentie</w:t>
                          </w:r>
                        </w:p>
                        <w:p w14:paraId="1AA6EA22" w14:textId="77777777" w:rsidR="007339F8" w:rsidRDefault="00AA18E4">
                          <w:pPr>
                            <w:pStyle w:val="Referentiegegevens"/>
                          </w:pPr>
                          <w:r>
                            <w:t>5450359</w:t>
                          </w:r>
                        </w:p>
                      </w:txbxContent>
                    </wps:txbx>
                    <wps:bodyPr vert="horz" wrap="square" lIns="0" tIns="0" rIns="0" bIns="0" anchor="t" anchorCtr="0"/>
                  </wps:wsp>
                </a:graphicData>
              </a:graphic>
            </wp:anchor>
          </w:drawing>
        </mc:Choice>
        <mc:Fallback>
          <w:pict>
            <v:shapetype w14:anchorId="7B3F1894"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54A7250D" w14:textId="77777777" w:rsidR="007339F8" w:rsidRDefault="00AA18E4">
                    <w:pPr>
                      <w:pStyle w:val="Referentiegegevensbold"/>
                    </w:pPr>
                    <w:r>
                      <w:t>Directoraat-Generaal Migratie</w:t>
                    </w:r>
                  </w:p>
                  <w:p w14:paraId="2B454A87" w14:textId="77777777" w:rsidR="007339F8" w:rsidRDefault="007339F8">
                    <w:pPr>
                      <w:pStyle w:val="WitregelW2"/>
                    </w:pPr>
                  </w:p>
                  <w:p w14:paraId="1C48D89D" w14:textId="77777777" w:rsidR="007339F8" w:rsidRDefault="00AA18E4">
                    <w:pPr>
                      <w:pStyle w:val="Referentiegegevensbold"/>
                    </w:pPr>
                    <w:r>
                      <w:t>Datum</w:t>
                    </w:r>
                  </w:p>
                  <w:p w14:paraId="31AAC206" w14:textId="78801B8F" w:rsidR="007339F8" w:rsidRDefault="00876CCB">
                    <w:pPr>
                      <w:pStyle w:val="Referentiegegevens"/>
                    </w:pPr>
                    <w:sdt>
                      <w:sdtPr>
                        <w:id w:val="355849588"/>
                        <w:date w:fullDate="2024-10-04T00:00:00Z">
                          <w:dateFormat w:val="d MMMM yyyy"/>
                          <w:lid w:val="nl"/>
                          <w:storeMappedDataAs w:val="dateTime"/>
                          <w:calendar w:val="gregorian"/>
                        </w:date>
                      </w:sdtPr>
                      <w:sdtEndPr/>
                      <w:sdtContent>
                        <w:r w:rsidR="00CE4B20">
                          <w:t>4 oktober 2024</w:t>
                        </w:r>
                      </w:sdtContent>
                    </w:sdt>
                  </w:p>
                  <w:p w14:paraId="7EE2227D" w14:textId="77777777" w:rsidR="007339F8" w:rsidRDefault="007339F8">
                    <w:pPr>
                      <w:pStyle w:val="WitregelW1"/>
                    </w:pPr>
                  </w:p>
                  <w:p w14:paraId="44520C19" w14:textId="77777777" w:rsidR="007339F8" w:rsidRDefault="00AA18E4">
                    <w:pPr>
                      <w:pStyle w:val="Referentiegegevensbold"/>
                    </w:pPr>
                    <w:r>
                      <w:t>Onze referentie</w:t>
                    </w:r>
                  </w:p>
                  <w:p w14:paraId="1AA6EA22" w14:textId="77777777" w:rsidR="007339F8" w:rsidRDefault="00AA18E4">
                    <w:pPr>
                      <w:pStyle w:val="Referentiegegevens"/>
                    </w:pPr>
                    <w:r>
                      <w:t>5450359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0483415" wp14:editId="1D02EA97">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63585EA" w14:textId="77777777" w:rsidR="00AA18E4" w:rsidRDefault="00AA18E4"/>
                      </w:txbxContent>
                    </wps:txbx>
                    <wps:bodyPr vert="horz" wrap="square" lIns="0" tIns="0" rIns="0" bIns="0" anchor="t" anchorCtr="0"/>
                  </wps:wsp>
                </a:graphicData>
              </a:graphic>
            </wp:anchor>
          </w:drawing>
        </mc:Choice>
        <mc:Fallback>
          <w:pict>
            <v:shape w14:anchorId="70483415"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563585EA" w14:textId="77777777" w:rsidR="00AA18E4" w:rsidRDefault="00AA18E4"/>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3EE5822" wp14:editId="39B7C973">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834123D" w14:textId="0C803169" w:rsidR="007339F8" w:rsidRDefault="00AA18E4">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13EE5822"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0834123D" w14:textId="0C803169" w:rsidR="007339F8" w:rsidRDefault="00AA18E4">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FCB3E" w14:textId="77777777" w:rsidR="007339F8" w:rsidRDefault="00AA18E4">
    <w:pPr>
      <w:spacing w:after="6377" w:line="14" w:lineRule="exact"/>
    </w:pPr>
    <w:r>
      <w:rPr>
        <w:noProof/>
      </w:rPr>
      <mc:AlternateContent>
        <mc:Choice Requires="wps">
          <w:drawing>
            <wp:anchor distT="0" distB="0" distL="0" distR="0" simplePos="0" relativeHeight="251655680" behindDoc="0" locked="1" layoutInCell="1" allowOverlap="1" wp14:anchorId="5AB803FD" wp14:editId="607DD820">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848568E" w14:textId="77777777" w:rsidR="00AA18E4" w:rsidRDefault="00AA18E4">
                          <w:r>
                            <w:t xml:space="preserve">Aan de Voorzitter van de Tweede Kamer </w:t>
                          </w:r>
                        </w:p>
                        <w:p w14:paraId="00109D0E" w14:textId="704954D5" w:rsidR="007339F8" w:rsidRDefault="00AA18E4">
                          <w:r>
                            <w:t>der Staten-Generaal</w:t>
                          </w:r>
                        </w:p>
                        <w:p w14:paraId="1865D3D7" w14:textId="77777777" w:rsidR="007339F8" w:rsidRDefault="00AA18E4">
                          <w:r>
                            <w:t xml:space="preserve">Postbus 20018 </w:t>
                          </w:r>
                        </w:p>
                        <w:p w14:paraId="157CA9F7" w14:textId="77777777" w:rsidR="007339F8" w:rsidRDefault="00AA18E4">
                          <w:r>
                            <w:t>2500 EA  DEN HAAG</w:t>
                          </w:r>
                        </w:p>
                      </w:txbxContent>
                    </wps:txbx>
                    <wps:bodyPr vert="horz" wrap="square" lIns="0" tIns="0" rIns="0" bIns="0" anchor="t" anchorCtr="0"/>
                  </wps:wsp>
                </a:graphicData>
              </a:graphic>
            </wp:anchor>
          </w:drawing>
        </mc:Choice>
        <mc:Fallback>
          <w:pict>
            <v:shapetype w14:anchorId="5AB803FD"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4848568E" w14:textId="77777777" w:rsidR="00AA18E4" w:rsidRDefault="00AA18E4">
                    <w:r>
                      <w:t xml:space="preserve">Aan de Voorzitter van de Tweede Kamer </w:t>
                    </w:r>
                  </w:p>
                  <w:p w14:paraId="00109D0E" w14:textId="704954D5" w:rsidR="007339F8" w:rsidRDefault="00AA18E4">
                    <w:r>
                      <w:t>der Staten-Generaal</w:t>
                    </w:r>
                  </w:p>
                  <w:p w14:paraId="1865D3D7" w14:textId="77777777" w:rsidR="007339F8" w:rsidRDefault="00AA18E4">
                    <w:r>
                      <w:t xml:space="preserve">Postbus 20018 </w:t>
                    </w:r>
                  </w:p>
                  <w:p w14:paraId="157CA9F7" w14:textId="77777777" w:rsidR="007339F8" w:rsidRDefault="00AA18E4">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6D92DF2" wp14:editId="64C49373">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339F8" w14:paraId="6C3BC974" w14:textId="77777777">
                            <w:trPr>
                              <w:trHeight w:val="240"/>
                            </w:trPr>
                            <w:tc>
                              <w:tcPr>
                                <w:tcW w:w="1140" w:type="dxa"/>
                              </w:tcPr>
                              <w:p w14:paraId="5AE3932E" w14:textId="77777777" w:rsidR="007339F8" w:rsidRDefault="00AA18E4">
                                <w:r>
                                  <w:t>Datum</w:t>
                                </w:r>
                              </w:p>
                            </w:tc>
                            <w:tc>
                              <w:tcPr>
                                <w:tcW w:w="5918" w:type="dxa"/>
                              </w:tcPr>
                              <w:p w14:paraId="67922253" w14:textId="02C8027A" w:rsidR="007339F8" w:rsidRDefault="00876CCB">
                                <w:sdt>
                                  <w:sdtPr>
                                    <w:id w:val="-1438900784"/>
                                    <w:date w:fullDate="2024-10-04T00:00:00Z">
                                      <w:dateFormat w:val="d MMMM yyyy"/>
                                      <w:lid w:val="nl"/>
                                      <w:storeMappedDataAs w:val="dateTime"/>
                                      <w:calendar w:val="gregorian"/>
                                    </w:date>
                                  </w:sdtPr>
                                  <w:sdtEndPr/>
                                  <w:sdtContent>
                                    <w:r w:rsidR="00CE4B20">
                                      <w:t xml:space="preserve">4 oktober </w:t>
                                    </w:r>
                                    <w:r w:rsidR="00AA18E4">
                                      <w:t>2024</w:t>
                                    </w:r>
                                  </w:sdtContent>
                                </w:sdt>
                              </w:p>
                            </w:tc>
                          </w:tr>
                          <w:tr w:rsidR="00AA18E4" w14:paraId="0EE244B0" w14:textId="77777777">
                            <w:trPr>
                              <w:trHeight w:val="240"/>
                            </w:trPr>
                            <w:tc>
                              <w:tcPr>
                                <w:tcW w:w="1140" w:type="dxa"/>
                              </w:tcPr>
                              <w:p w14:paraId="4CAC5848" w14:textId="77777777" w:rsidR="00AA18E4" w:rsidRDefault="00AA18E4" w:rsidP="00AA18E4">
                                <w:r>
                                  <w:t>Betreft</w:t>
                                </w:r>
                              </w:p>
                            </w:tc>
                            <w:tc>
                              <w:tcPr>
                                <w:tcW w:w="5918" w:type="dxa"/>
                              </w:tcPr>
                              <w:p w14:paraId="0AC3A6CA" w14:textId="24E9619A" w:rsidR="00AA18E4" w:rsidRDefault="00AA18E4" w:rsidP="00AA18E4">
                                <w:r>
                                  <w:t xml:space="preserve">Reba-beschikking bij dwangsomuitbetaling </w:t>
                                </w:r>
                              </w:p>
                            </w:tc>
                          </w:tr>
                        </w:tbl>
                        <w:p w14:paraId="1971DB59" w14:textId="77777777" w:rsidR="00AA18E4" w:rsidRDefault="00AA18E4"/>
                      </w:txbxContent>
                    </wps:txbx>
                    <wps:bodyPr vert="horz" wrap="square" lIns="0" tIns="0" rIns="0" bIns="0" anchor="t" anchorCtr="0"/>
                  </wps:wsp>
                </a:graphicData>
              </a:graphic>
            </wp:anchor>
          </w:drawing>
        </mc:Choice>
        <mc:Fallback>
          <w:pict>
            <v:shape w14:anchorId="56D92DF2"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339F8" w14:paraId="6C3BC974" w14:textId="77777777">
                      <w:trPr>
                        <w:trHeight w:val="240"/>
                      </w:trPr>
                      <w:tc>
                        <w:tcPr>
                          <w:tcW w:w="1140" w:type="dxa"/>
                        </w:tcPr>
                        <w:p w14:paraId="5AE3932E" w14:textId="77777777" w:rsidR="007339F8" w:rsidRDefault="00AA18E4">
                          <w:r>
                            <w:t>Datum</w:t>
                          </w:r>
                        </w:p>
                      </w:tc>
                      <w:tc>
                        <w:tcPr>
                          <w:tcW w:w="5918" w:type="dxa"/>
                        </w:tcPr>
                        <w:p w14:paraId="67922253" w14:textId="02C8027A" w:rsidR="007339F8" w:rsidRDefault="00876CCB">
                          <w:sdt>
                            <w:sdtPr>
                              <w:id w:val="-1438900784"/>
                              <w:date w:fullDate="2024-10-04T00:00:00Z">
                                <w:dateFormat w:val="d MMMM yyyy"/>
                                <w:lid w:val="nl"/>
                                <w:storeMappedDataAs w:val="dateTime"/>
                                <w:calendar w:val="gregorian"/>
                              </w:date>
                            </w:sdtPr>
                            <w:sdtEndPr/>
                            <w:sdtContent>
                              <w:r w:rsidR="00CE4B20">
                                <w:t xml:space="preserve">4 oktober </w:t>
                              </w:r>
                              <w:r w:rsidR="00AA18E4">
                                <w:t>2024</w:t>
                              </w:r>
                            </w:sdtContent>
                          </w:sdt>
                        </w:p>
                      </w:tc>
                    </w:tr>
                    <w:tr w:rsidR="00AA18E4" w14:paraId="0EE244B0" w14:textId="77777777">
                      <w:trPr>
                        <w:trHeight w:val="240"/>
                      </w:trPr>
                      <w:tc>
                        <w:tcPr>
                          <w:tcW w:w="1140" w:type="dxa"/>
                        </w:tcPr>
                        <w:p w14:paraId="4CAC5848" w14:textId="77777777" w:rsidR="00AA18E4" w:rsidRDefault="00AA18E4" w:rsidP="00AA18E4">
                          <w:r>
                            <w:t>Betreft</w:t>
                          </w:r>
                        </w:p>
                      </w:tc>
                      <w:tc>
                        <w:tcPr>
                          <w:tcW w:w="5918" w:type="dxa"/>
                        </w:tcPr>
                        <w:p w14:paraId="0AC3A6CA" w14:textId="24E9619A" w:rsidR="00AA18E4" w:rsidRDefault="00AA18E4" w:rsidP="00AA18E4">
                          <w:r>
                            <w:t xml:space="preserve">Reba-beschikking bij dwangsomuitbetaling </w:t>
                          </w:r>
                        </w:p>
                      </w:tc>
                    </w:tr>
                  </w:tbl>
                  <w:p w14:paraId="1971DB59" w14:textId="77777777" w:rsidR="00AA18E4" w:rsidRDefault="00AA18E4"/>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4598A40" wp14:editId="5A19B388">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FA36804" w14:textId="77777777" w:rsidR="007339F8" w:rsidRDefault="00AA18E4">
                          <w:pPr>
                            <w:pStyle w:val="Referentiegegevensbold"/>
                          </w:pPr>
                          <w:r>
                            <w:t>Directoraat-Generaal Migratie</w:t>
                          </w:r>
                        </w:p>
                        <w:p w14:paraId="7ADA469A" w14:textId="77777777" w:rsidR="007339F8" w:rsidRDefault="007339F8">
                          <w:pPr>
                            <w:pStyle w:val="WitregelW1"/>
                          </w:pPr>
                        </w:p>
                        <w:p w14:paraId="22D38A64" w14:textId="77777777" w:rsidR="007339F8" w:rsidRDefault="00AA18E4">
                          <w:pPr>
                            <w:pStyle w:val="Referentiegegevens"/>
                          </w:pPr>
                          <w:r>
                            <w:t>Turfmarkt 147</w:t>
                          </w:r>
                        </w:p>
                        <w:p w14:paraId="2870EF54" w14:textId="77777777" w:rsidR="007339F8" w:rsidRDefault="00AA18E4">
                          <w:pPr>
                            <w:pStyle w:val="Referentiegegevens"/>
                          </w:pPr>
                          <w:r>
                            <w:t>2511 DP   Den Haag</w:t>
                          </w:r>
                        </w:p>
                        <w:p w14:paraId="0F9A2A8F" w14:textId="77777777" w:rsidR="007339F8" w:rsidRPr="00424B4C" w:rsidRDefault="00AA18E4">
                          <w:pPr>
                            <w:pStyle w:val="Referentiegegevens"/>
                            <w:rPr>
                              <w:lang w:val="de-DE"/>
                            </w:rPr>
                          </w:pPr>
                          <w:r w:rsidRPr="00424B4C">
                            <w:rPr>
                              <w:lang w:val="de-DE"/>
                            </w:rPr>
                            <w:t>Postbus 20011</w:t>
                          </w:r>
                        </w:p>
                        <w:p w14:paraId="285F568A" w14:textId="77777777" w:rsidR="007339F8" w:rsidRPr="00424B4C" w:rsidRDefault="00AA18E4">
                          <w:pPr>
                            <w:pStyle w:val="Referentiegegevens"/>
                            <w:rPr>
                              <w:lang w:val="de-DE"/>
                            </w:rPr>
                          </w:pPr>
                          <w:r w:rsidRPr="00424B4C">
                            <w:rPr>
                              <w:lang w:val="de-DE"/>
                            </w:rPr>
                            <w:t>2500 EH   Den Haag</w:t>
                          </w:r>
                        </w:p>
                        <w:p w14:paraId="6C87B483" w14:textId="77777777" w:rsidR="007339F8" w:rsidRPr="00424B4C" w:rsidRDefault="00AA18E4">
                          <w:pPr>
                            <w:pStyle w:val="Referentiegegevens"/>
                            <w:rPr>
                              <w:lang w:val="de-DE"/>
                            </w:rPr>
                          </w:pPr>
                          <w:r w:rsidRPr="00424B4C">
                            <w:rPr>
                              <w:lang w:val="de-DE"/>
                            </w:rPr>
                            <w:t>www.rijksoverheid.nl/jenv</w:t>
                          </w:r>
                        </w:p>
                        <w:p w14:paraId="2D24F143" w14:textId="77777777" w:rsidR="007339F8" w:rsidRPr="00424B4C" w:rsidRDefault="007339F8">
                          <w:pPr>
                            <w:pStyle w:val="WitregelW2"/>
                            <w:rPr>
                              <w:lang w:val="de-DE"/>
                            </w:rPr>
                          </w:pPr>
                        </w:p>
                        <w:p w14:paraId="7D4871ED" w14:textId="77777777" w:rsidR="007339F8" w:rsidRDefault="00AA18E4">
                          <w:pPr>
                            <w:pStyle w:val="Referentiegegevensbold"/>
                          </w:pPr>
                          <w:r>
                            <w:t>Onze referentie</w:t>
                          </w:r>
                        </w:p>
                        <w:p w14:paraId="5F478217" w14:textId="77777777" w:rsidR="007339F8" w:rsidRDefault="00AA18E4">
                          <w:pPr>
                            <w:pStyle w:val="Referentiegegevens"/>
                          </w:pPr>
                          <w:r>
                            <w:t>5450359</w:t>
                          </w:r>
                        </w:p>
                      </w:txbxContent>
                    </wps:txbx>
                    <wps:bodyPr vert="horz" wrap="square" lIns="0" tIns="0" rIns="0" bIns="0" anchor="t" anchorCtr="0"/>
                  </wps:wsp>
                </a:graphicData>
              </a:graphic>
            </wp:anchor>
          </w:drawing>
        </mc:Choice>
        <mc:Fallback>
          <w:pict>
            <v:shape w14:anchorId="64598A40"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3FA36804" w14:textId="77777777" w:rsidR="007339F8" w:rsidRDefault="00AA18E4">
                    <w:pPr>
                      <w:pStyle w:val="Referentiegegevensbold"/>
                    </w:pPr>
                    <w:r>
                      <w:t>Directoraat-Generaal Migratie</w:t>
                    </w:r>
                  </w:p>
                  <w:p w14:paraId="7ADA469A" w14:textId="77777777" w:rsidR="007339F8" w:rsidRDefault="007339F8">
                    <w:pPr>
                      <w:pStyle w:val="WitregelW1"/>
                    </w:pPr>
                  </w:p>
                  <w:p w14:paraId="22D38A64" w14:textId="77777777" w:rsidR="007339F8" w:rsidRDefault="00AA18E4">
                    <w:pPr>
                      <w:pStyle w:val="Referentiegegevens"/>
                    </w:pPr>
                    <w:r>
                      <w:t>Turfmarkt 147</w:t>
                    </w:r>
                  </w:p>
                  <w:p w14:paraId="2870EF54" w14:textId="77777777" w:rsidR="007339F8" w:rsidRDefault="00AA18E4">
                    <w:pPr>
                      <w:pStyle w:val="Referentiegegevens"/>
                    </w:pPr>
                    <w:r>
                      <w:t>2511 DP   Den Haag</w:t>
                    </w:r>
                  </w:p>
                  <w:p w14:paraId="0F9A2A8F" w14:textId="77777777" w:rsidR="007339F8" w:rsidRPr="00424B4C" w:rsidRDefault="00AA18E4">
                    <w:pPr>
                      <w:pStyle w:val="Referentiegegevens"/>
                      <w:rPr>
                        <w:lang w:val="de-DE"/>
                      </w:rPr>
                    </w:pPr>
                    <w:r w:rsidRPr="00424B4C">
                      <w:rPr>
                        <w:lang w:val="de-DE"/>
                      </w:rPr>
                      <w:t>Postbus 20011</w:t>
                    </w:r>
                  </w:p>
                  <w:p w14:paraId="285F568A" w14:textId="77777777" w:rsidR="007339F8" w:rsidRPr="00424B4C" w:rsidRDefault="00AA18E4">
                    <w:pPr>
                      <w:pStyle w:val="Referentiegegevens"/>
                      <w:rPr>
                        <w:lang w:val="de-DE"/>
                      </w:rPr>
                    </w:pPr>
                    <w:r w:rsidRPr="00424B4C">
                      <w:rPr>
                        <w:lang w:val="de-DE"/>
                      </w:rPr>
                      <w:t>2500 EH   Den Haag</w:t>
                    </w:r>
                  </w:p>
                  <w:p w14:paraId="6C87B483" w14:textId="77777777" w:rsidR="007339F8" w:rsidRPr="00424B4C" w:rsidRDefault="00AA18E4">
                    <w:pPr>
                      <w:pStyle w:val="Referentiegegevens"/>
                      <w:rPr>
                        <w:lang w:val="de-DE"/>
                      </w:rPr>
                    </w:pPr>
                    <w:r w:rsidRPr="00424B4C">
                      <w:rPr>
                        <w:lang w:val="de-DE"/>
                      </w:rPr>
                      <w:t>www.rijksoverheid.nl/jenv</w:t>
                    </w:r>
                  </w:p>
                  <w:p w14:paraId="2D24F143" w14:textId="77777777" w:rsidR="007339F8" w:rsidRPr="00424B4C" w:rsidRDefault="007339F8">
                    <w:pPr>
                      <w:pStyle w:val="WitregelW2"/>
                      <w:rPr>
                        <w:lang w:val="de-DE"/>
                      </w:rPr>
                    </w:pPr>
                  </w:p>
                  <w:p w14:paraId="7D4871ED" w14:textId="77777777" w:rsidR="007339F8" w:rsidRDefault="00AA18E4">
                    <w:pPr>
                      <w:pStyle w:val="Referentiegegevensbold"/>
                    </w:pPr>
                    <w:r>
                      <w:t>Onze referentie</w:t>
                    </w:r>
                  </w:p>
                  <w:p w14:paraId="5F478217" w14:textId="77777777" w:rsidR="007339F8" w:rsidRDefault="00AA18E4">
                    <w:pPr>
                      <w:pStyle w:val="Referentiegegevens"/>
                    </w:pPr>
                    <w:r>
                      <w:t>5450359</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7095308" wp14:editId="2BC31F97">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2E88386" w14:textId="77777777" w:rsidR="00AA18E4" w:rsidRDefault="00AA18E4"/>
                      </w:txbxContent>
                    </wps:txbx>
                    <wps:bodyPr vert="horz" wrap="square" lIns="0" tIns="0" rIns="0" bIns="0" anchor="t" anchorCtr="0"/>
                  </wps:wsp>
                </a:graphicData>
              </a:graphic>
            </wp:anchor>
          </w:drawing>
        </mc:Choice>
        <mc:Fallback>
          <w:pict>
            <v:shape w14:anchorId="27095308"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72E88386" w14:textId="77777777" w:rsidR="00AA18E4" w:rsidRDefault="00AA18E4"/>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79FBAD8" wp14:editId="45CFEC40">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CD21BA" w14:textId="54E238E9" w:rsidR="007339F8" w:rsidRDefault="00AA18E4">
                          <w:pPr>
                            <w:pStyle w:val="Referentiegegevens"/>
                          </w:pPr>
                          <w:r>
                            <w:t xml:space="preserve">Pagina </w:t>
                          </w:r>
                          <w:r>
                            <w:fldChar w:fldCharType="begin"/>
                          </w:r>
                          <w:r>
                            <w:instrText>PAGE</w:instrText>
                          </w:r>
                          <w:r>
                            <w:fldChar w:fldCharType="separate"/>
                          </w:r>
                          <w:r w:rsidR="00876CCB">
                            <w:rPr>
                              <w:noProof/>
                            </w:rPr>
                            <w:t>1</w:t>
                          </w:r>
                          <w:r>
                            <w:fldChar w:fldCharType="end"/>
                          </w:r>
                          <w:r>
                            <w:t xml:space="preserve"> van </w:t>
                          </w:r>
                          <w:r>
                            <w:fldChar w:fldCharType="begin"/>
                          </w:r>
                          <w:r>
                            <w:instrText>NUMPAGES</w:instrText>
                          </w:r>
                          <w:r>
                            <w:fldChar w:fldCharType="separate"/>
                          </w:r>
                          <w:r w:rsidR="00876CCB">
                            <w:rPr>
                              <w:noProof/>
                            </w:rPr>
                            <w:t>1</w:t>
                          </w:r>
                          <w:r>
                            <w:fldChar w:fldCharType="end"/>
                          </w:r>
                        </w:p>
                      </w:txbxContent>
                    </wps:txbx>
                    <wps:bodyPr vert="horz" wrap="square" lIns="0" tIns="0" rIns="0" bIns="0" anchor="t" anchorCtr="0"/>
                  </wps:wsp>
                </a:graphicData>
              </a:graphic>
            </wp:anchor>
          </w:drawing>
        </mc:Choice>
        <mc:Fallback>
          <w:pict>
            <v:shape w14:anchorId="779FBAD8"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7BCD21BA" w14:textId="54E238E9" w:rsidR="007339F8" w:rsidRDefault="00AA18E4">
                    <w:pPr>
                      <w:pStyle w:val="Referentiegegevens"/>
                    </w:pPr>
                    <w:r>
                      <w:t xml:space="preserve">Pagina </w:t>
                    </w:r>
                    <w:r>
                      <w:fldChar w:fldCharType="begin"/>
                    </w:r>
                    <w:r>
                      <w:instrText>PAGE</w:instrText>
                    </w:r>
                    <w:r>
                      <w:fldChar w:fldCharType="separate"/>
                    </w:r>
                    <w:r w:rsidR="00876CCB">
                      <w:rPr>
                        <w:noProof/>
                      </w:rPr>
                      <w:t>1</w:t>
                    </w:r>
                    <w:r>
                      <w:fldChar w:fldCharType="end"/>
                    </w:r>
                    <w:r>
                      <w:t xml:space="preserve"> van </w:t>
                    </w:r>
                    <w:r>
                      <w:fldChar w:fldCharType="begin"/>
                    </w:r>
                    <w:r>
                      <w:instrText>NUMPAGES</w:instrText>
                    </w:r>
                    <w:r>
                      <w:fldChar w:fldCharType="separate"/>
                    </w:r>
                    <w:r w:rsidR="00876CC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4A72FC9" wp14:editId="2CE11860">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DB1D34D" w14:textId="77777777" w:rsidR="007339F8" w:rsidRDefault="00AA18E4">
                          <w:pPr>
                            <w:spacing w:line="240" w:lineRule="auto"/>
                          </w:pPr>
                          <w:r>
                            <w:rPr>
                              <w:noProof/>
                            </w:rPr>
                            <w:drawing>
                              <wp:inline distT="0" distB="0" distL="0" distR="0" wp14:anchorId="0BEE5A30" wp14:editId="5206A99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4A72FC9"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4DB1D34D" w14:textId="77777777" w:rsidR="007339F8" w:rsidRDefault="00AA18E4">
                    <w:pPr>
                      <w:spacing w:line="240" w:lineRule="auto"/>
                    </w:pPr>
                    <w:r>
                      <w:rPr>
                        <w:noProof/>
                      </w:rPr>
                      <w:drawing>
                        <wp:inline distT="0" distB="0" distL="0" distR="0" wp14:anchorId="0BEE5A30" wp14:editId="5206A99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270D2FF" wp14:editId="4D5B5C59">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861BC42" w14:textId="77777777" w:rsidR="007339F8" w:rsidRDefault="00AA18E4">
                          <w:pPr>
                            <w:spacing w:line="240" w:lineRule="auto"/>
                          </w:pPr>
                          <w:r>
                            <w:rPr>
                              <w:noProof/>
                            </w:rPr>
                            <w:drawing>
                              <wp:inline distT="0" distB="0" distL="0" distR="0" wp14:anchorId="64A4207A" wp14:editId="077ECB61">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270D2FF"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4861BC42" w14:textId="77777777" w:rsidR="007339F8" w:rsidRDefault="00AA18E4">
                    <w:pPr>
                      <w:spacing w:line="240" w:lineRule="auto"/>
                    </w:pPr>
                    <w:r>
                      <w:rPr>
                        <w:noProof/>
                      </w:rPr>
                      <w:drawing>
                        <wp:inline distT="0" distB="0" distL="0" distR="0" wp14:anchorId="64A4207A" wp14:editId="077ECB61">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4F2A8C2" wp14:editId="2C40FFEE">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5FF2654" w14:textId="77777777" w:rsidR="007339F8" w:rsidRDefault="00AA18E4">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44F2A8C2"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15FF2654" w14:textId="77777777" w:rsidR="007339F8" w:rsidRDefault="00AA18E4">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5AFDF5"/>
    <w:multiLevelType w:val="multilevel"/>
    <w:tmpl w:val="EF36D62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79D317E"/>
    <w:multiLevelType w:val="multilevel"/>
    <w:tmpl w:val="C29BC9D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52329DC"/>
    <w:multiLevelType w:val="multilevel"/>
    <w:tmpl w:val="A65EE7D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4D4349B"/>
    <w:multiLevelType w:val="multilevel"/>
    <w:tmpl w:val="D87D820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85E0D5C"/>
    <w:multiLevelType w:val="hybridMultilevel"/>
    <w:tmpl w:val="E646B55C"/>
    <w:lvl w:ilvl="0" w:tplc="649ADB68">
      <w:start w:val="1"/>
      <w:numFmt w:val="lowerRoman"/>
      <w:lvlText w:val="%1."/>
      <w:lvlJc w:val="left"/>
      <w:pPr>
        <w:ind w:left="108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325D4E"/>
    <w:multiLevelType w:val="multilevel"/>
    <w:tmpl w:val="5D716BD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7E6D0CC8"/>
    <w:multiLevelType w:val="multilevel"/>
    <w:tmpl w:val="18B78E0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5"/>
  </w:num>
  <w:num w:numId="2">
    <w:abstractNumId w:val="6"/>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8E4"/>
    <w:rsid w:val="000C7232"/>
    <w:rsid w:val="003C75F8"/>
    <w:rsid w:val="00424B4C"/>
    <w:rsid w:val="004E1E3E"/>
    <w:rsid w:val="00546EED"/>
    <w:rsid w:val="0063362E"/>
    <w:rsid w:val="00695C12"/>
    <w:rsid w:val="007339F8"/>
    <w:rsid w:val="007659E0"/>
    <w:rsid w:val="007C337E"/>
    <w:rsid w:val="00876CCB"/>
    <w:rsid w:val="00A77CB3"/>
    <w:rsid w:val="00AA18E4"/>
    <w:rsid w:val="00C23F4C"/>
    <w:rsid w:val="00CE4B20"/>
    <w:rsid w:val="00E20E50"/>
    <w:rsid w:val="00FC22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F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broodtekst">
    <w:name w:val="broodtekst"/>
    <w:basedOn w:val="Standaard"/>
    <w:qFormat/>
    <w:rsid w:val="00AA18E4"/>
    <w:pPr>
      <w:tabs>
        <w:tab w:val="left" w:pos="227"/>
        <w:tab w:val="left" w:pos="454"/>
        <w:tab w:val="left" w:pos="680"/>
      </w:tabs>
      <w:autoSpaceDE w:val="0"/>
      <w:adjustRightInd w:val="0"/>
      <w:textAlignment w:val="auto"/>
    </w:pPr>
    <w:rPr>
      <w:rFonts w:eastAsia="Times New Roman" w:cs="Times New Roman"/>
      <w:color w:val="auto"/>
    </w:rPr>
  </w:style>
  <w:style w:type="paragraph" w:styleId="Voetnoottekst">
    <w:name w:val="footnote text"/>
    <w:basedOn w:val="Standaard"/>
    <w:link w:val="VoetnoottekstChar"/>
    <w:uiPriority w:val="99"/>
    <w:rsid w:val="00AA18E4"/>
    <w:pPr>
      <w:autoSpaceDN/>
      <w:textAlignment w:val="auto"/>
    </w:pPr>
    <w:rPr>
      <w:rFonts w:eastAsia="Times New Roman" w:cs="Times New Roman"/>
      <w:color w:val="auto"/>
      <w:sz w:val="16"/>
      <w:szCs w:val="20"/>
    </w:rPr>
  </w:style>
  <w:style w:type="character" w:customStyle="1" w:styleId="VoetnoottekstChar">
    <w:name w:val="Voetnoottekst Char"/>
    <w:basedOn w:val="Standaardalinea-lettertype"/>
    <w:link w:val="Voetnoottekst"/>
    <w:uiPriority w:val="99"/>
    <w:rsid w:val="00AA18E4"/>
    <w:rPr>
      <w:rFonts w:ascii="Verdana" w:eastAsia="Times New Roman" w:hAnsi="Verdana" w:cs="Times New Roman"/>
      <w:sz w:val="16"/>
    </w:rPr>
  </w:style>
  <w:style w:type="character" w:styleId="Voetnootmarkering">
    <w:name w:val="footnote reference"/>
    <w:basedOn w:val="Standaardalinea-lettertype"/>
    <w:semiHidden/>
    <w:rsid w:val="00AA18E4"/>
    <w:rPr>
      <w:vertAlign w:val="superscript"/>
    </w:rPr>
  </w:style>
  <w:style w:type="paragraph" w:styleId="Geenafstand">
    <w:name w:val="No Spacing"/>
    <w:uiPriority w:val="1"/>
    <w:qFormat/>
    <w:rsid w:val="00AA18E4"/>
    <w:pPr>
      <w:autoSpaceDN/>
      <w:textAlignment w:val="auto"/>
    </w:pPr>
    <w:rPr>
      <w:rFonts w:ascii="Verdana" w:eastAsiaTheme="minorHAnsi" w:hAnsi="Verdana" w:cstheme="minorBidi"/>
      <w:sz w:val="18"/>
      <w:szCs w:val="22"/>
      <w:lang w:val="en-US" w:eastAsia="en-US"/>
    </w:rPr>
  </w:style>
  <w:style w:type="table" w:styleId="Lijsttabel2">
    <w:name w:val="List Table 2"/>
    <w:basedOn w:val="Standaardtabel"/>
    <w:uiPriority w:val="47"/>
    <w:rsid w:val="00AA18E4"/>
    <w:pPr>
      <w:autoSpaceDN/>
      <w:textAlignment w:val="auto"/>
    </w:pPr>
    <w:rPr>
      <w:rFonts w:eastAsia="Times New Roman" w:cs="Times New Roman"/>
      <w:lang w:val="en-US"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Onopgemaaktetabel2">
    <w:name w:val="Plain Table 2"/>
    <w:basedOn w:val="Standaardtabel"/>
    <w:uiPriority w:val="42"/>
    <w:rsid w:val="00AA18E4"/>
    <w:pPr>
      <w:autoSpaceDN/>
      <w:textAlignment w:val="auto"/>
    </w:pPr>
    <w:rPr>
      <w:rFonts w:eastAsia="Times New Roman" w:cs="Times New Roman"/>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optekst">
    <w:name w:val="header"/>
    <w:basedOn w:val="Standaard"/>
    <w:link w:val="KoptekstChar"/>
    <w:uiPriority w:val="99"/>
    <w:unhideWhenUsed/>
    <w:rsid w:val="00AA18E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A18E4"/>
    <w:rPr>
      <w:rFonts w:ascii="Verdana" w:hAnsi="Verdana"/>
      <w:color w:val="000000"/>
      <w:sz w:val="18"/>
      <w:szCs w:val="18"/>
    </w:rPr>
  </w:style>
  <w:style w:type="character" w:styleId="Verwijzingopmerking">
    <w:name w:val="annotation reference"/>
    <w:basedOn w:val="Standaardalinea-lettertype"/>
    <w:uiPriority w:val="99"/>
    <w:semiHidden/>
    <w:unhideWhenUsed/>
    <w:rsid w:val="00E20E50"/>
    <w:rPr>
      <w:sz w:val="16"/>
      <w:szCs w:val="16"/>
    </w:rPr>
  </w:style>
  <w:style w:type="paragraph" w:styleId="Tekstopmerking">
    <w:name w:val="annotation text"/>
    <w:basedOn w:val="Standaard"/>
    <w:link w:val="TekstopmerkingChar"/>
    <w:uiPriority w:val="99"/>
    <w:unhideWhenUsed/>
    <w:rsid w:val="00E20E50"/>
    <w:pPr>
      <w:spacing w:line="240" w:lineRule="auto"/>
    </w:pPr>
    <w:rPr>
      <w:sz w:val="20"/>
      <w:szCs w:val="20"/>
    </w:rPr>
  </w:style>
  <w:style w:type="character" w:customStyle="1" w:styleId="TekstopmerkingChar">
    <w:name w:val="Tekst opmerking Char"/>
    <w:basedOn w:val="Standaardalinea-lettertype"/>
    <w:link w:val="Tekstopmerking"/>
    <w:uiPriority w:val="99"/>
    <w:rsid w:val="00E20E5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20E50"/>
    <w:rPr>
      <w:b/>
      <w:bCs/>
    </w:rPr>
  </w:style>
  <w:style w:type="character" w:customStyle="1" w:styleId="OnderwerpvanopmerkingChar">
    <w:name w:val="Onderwerp van opmerking Char"/>
    <w:basedOn w:val="TekstopmerkingChar"/>
    <w:link w:val="Onderwerpvanopmerking"/>
    <w:uiPriority w:val="99"/>
    <w:semiHidden/>
    <w:rsid w:val="00E20E50"/>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659</ap:Words>
  <ap:Characters>3626</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Brief aan Parlement -</vt:lpstr>
    </vt:vector>
  </ap:TitlesOfParts>
  <ap:LinksUpToDate>false</ap:LinksUpToDate>
  <ap:CharactersWithSpaces>4277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2024-10-04T14:53:00.0000000Z</dcterms:created>
  <dcterms:modified xsi:type="dcterms:W3CDTF">2024-10-04T14:53:00.0000000Z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9 september 2024</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5450359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