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300" w:rsidP="00C50300" w:rsidRDefault="00C50300" w14:paraId="11DDAC8D" w14:textId="77777777">
      <w:pPr>
        <w:rPr>
          <w:rFonts w:cstheme="minorHAnsi"/>
        </w:rPr>
      </w:pPr>
      <w:r>
        <w:t>Op 1 oktober 2024 heeft een vergadering plaatsgevonden van d</w:t>
      </w:r>
      <w:r w:rsidRPr="00F07959">
        <w:t>e commissie voor Binnenlandse Zaken</w:t>
      </w:r>
      <w:r>
        <w:t xml:space="preserve"> over de f</w:t>
      </w:r>
      <w:r w:rsidRPr="00F07959">
        <w:t xml:space="preserve">inanciën </w:t>
      </w:r>
      <w:r w:rsidR="000819B6">
        <w:t xml:space="preserve">van </w:t>
      </w:r>
      <w:r w:rsidRPr="00F07959">
        <w:t>decentrale overheden</w:t>
      </w:r>
      <w:r>
        <w:t>. Tijdens deze vergadering zijn enkele toezeggingen gedaan.</w:t>
      </w:r>
      <w:r>
        <w:rPr>
          <w:rFonts w:cstheme="minorHAnsi"/>
        </w:rPr>
        <w:t xml:space="preserve"> </w:t>
      </w:r>
    </w:p>
    <w:p w:rsidR="00C50300" w:rsidP="00C50300" w:rsidRDefault="00C50300" w14:paraId="0031617D" w14:textId="77777777">
      <w:pPr>
        <w:rPr>
          <w:rFonts w:cstheme="minorHAnsi"/>
        </w:rPr>
      </w:pPr>
    </w:p>
    <w:p w:rsidR="00C50300" w:rsidP="00C50300" w:rsidRDefault="00175CF5" w14:paraId="017597BC" w14:textId="43A84E05">
      <w:pPr>
        <w:rPr>
          <w:rFonts w:cstheme="minorHAnsi"/>
        </w:rPr>
      </w:pPr>
      <w:r w:rsidRPr="00175CF5">
        <w:rPr>
          <w:rFonts w:cstheme="minorHAnsi"/>
        </w:rPr>
        <w:t>In deze brief ga ik in op het informatieverzoek van uw Kamer op de volgende terreinen</w:t>
      </w:r>
      <w:r w:rsidR="00C50300">
        <w:rPr>
          <w:rFonts w:cstheme="minorHAnsi"/>
        </w:rPr>
        <w:t>:</w:t>
      </w:r>
    </w:p>
    <w:p w:rsidRPr="00C50300" w:rsidR="00C50300" w:rsidP="00C50300" w:rsidRDefault="00C50300" w14:paraId="174AB7EE" w14:textId="0E5CA96F">
      <w:pPr>
        <w:pStyle w:val="Lijstalinea"/>
        <w:numPr>
          <w:ilvl w:val="0"/>
          <w:numId w:val="8"/>
        </w:numPr>
        <w:rPr>
          <w:rFonts w:ascii="Verdana" w:hAnsi="Verdana" w:cstheme="minorHAnsi"/>
          <w:sz w:val="18"/>
          <w:szCs w:val="18"/>
        </w:rPr>
      </w:pPr>
      <w:r w:rsidRPr="00C50300">
        <w:rPr>
          <w:rFonts w:ascii="Verdana" w:hAnsi="Verdana" w:cstheme="minorHAnsi"/>
          <w:sz w:val="18"/>
          <w:szCs w:val="18"/>
        </w:rPr>
        <w:t xml:space="preserve">Het </w:t>
      </w:r>
      <w:r w:rsidR="000819B6">
        <w:rPr>
          <w:rFonts w:ascii="Verdana" w:hAnsi="Verdana" w:cstheme="minorHAnsi"/>
          <w:sz w:val="18"/>
          <w:szCs w:val="18"/>
        </w:rPr>
        <w:t>I</w:t>
      </w:r>
      <w:r w:rsidRPr="00C50300">
        <w:rPr>
          <w:rFonts w:ascii="Verdana" w:hAnsi="Verdana" w:cstheme="minorHAnsi"/>
          <w:sz w:val="18"/>
          <w:szCs w:val="18"/>
        </w:rPr>
        <w:t xml:space="preserve">ntegraal </w:t>
      </w:r>
      <w:r w:rsidR="000819B6">
        <w:rPr>
          <w:rFonts w:ascii="Verdana" w:hAnsi="Verdana" w:cstheme="minorHAnsi"/>
          <w:sz w:val="18"/>
          <w:szCs w:val="18"/>
        </w:rPr>
        <w:t>O</w:t>
      </w:r>
      <w:r w:rsidRPr="00C50300">
        <w:rPr>
          <w:rFonts w:ascii="Verdana" w:hAnsi="Verdana" w:cstheme="minorHAnsi"/>
          <w:sz w:val="18"/>
          <w:szCs w:val="18"/>
        </w:rPr>
        <w:t xml:space="preserve">verzicht </w:t>
      </w:r>
      <w:r w:rsidR="000819B6">
        <w:rPr>
          <w:rFonts w:ascii="Verdana" w:hAnsi="Verdana" w:cstheme="minorHAnsi"/>
          <w:sz w:val="18"/>
          <w:szCs w:val="18"/>
        </w:rPr>
        <w:t>F</w:t>
      </w:r>
      <w:r w:rsidRPr="00C50300">
        <w:rPr>
          <w:rFonts w:ascii="Verdana" w:hAnsi="Verdana" w:cstheme="minorHAnsi"/>
          <w:sz w:val="18"/>
          <w:szCs w:val="18"/>
        </w:rPr>
        <w:t>inanciën gemeentes en provincies</w:t>
      </w:r>
      <w:r w:rsidR="000819B6">
        <w:rPr>
          <w:rFonts w:ascii="Verdana" w:hAnsi="Verdana" w:cstheme="minorHAnsi"/>
          <w:sz w:val="18"/>
          <w:szCs w:val="18"/>
        </w:rPr>
        <w:t xml:space="preserve"> 2024</w:t>
      </w:r>
      <w:r w:rsidRPr="00C50300">
        <w:rPr>
          <w:rFonts w:ascii="Verdana" w:hAnsi="Verdana" w:cstheme="minorHAnsi"/>
          <w:sz w:val="18"/>
          <w:szCs w:val="18"/>
        </w:rPr>
        <w:t>.</w:t>
      </w:r>
    </w:p>
    <w:p w:rsidR="00C50300" w:rsidP="00C50300" w:rsidRDefault="00C50300" w14:paraId="287EE2E4" w14:textId="77777777">
      <w:pPr>
        <w:pStyle w:val="Lijstalinea"/>
        <w:numPr>
          <w:ilvl w:val="0"/>
          <w:numId w:val="8"/>
        </w:numPr>
        <w:rPr>
          <w:rFonts w:ascii="Verdana" w:hAnsi="Verdana" w:cstheme="minorHAnsi"/>
          <w:sz w:val="18"/>
          <w:szCs w:val="18"/>
        </w:rPr>
      </w:pPr>
      <w:r w:rsidRPr="00C50300">
        <w:rPr>
          <w:rFonts w:ascii="Verdana" w:hAnsi="Verdana" w:cstheme="minorHAnsi"/>
          <w:sz w:val="18"/>
          <w:szCs w:val="18"/>
        </w:rPr>
        <w:t>De uitgewerkte uitleg over de overheveling van specifieke uitkeringen.</w:t>
      </w:r>
    </w:p>
    <w:p w:rsidRPr="00C50300" w:rsidR="005C09B6" w:rsidP="00C50300" w:rsidRDefault="005C09B6" w14:paraId="5FCBE54A" w14:textId="07C7BDA9">
      <w:pPr>
        <w:pStyle w:val="Lijstalinea"/>
        <w:numPr>
          <w:ilvl w:val="0"/>
          <w:numId w:val="8"/>
        </w:numPr>
        <w:rPr>
          <w:rFonts w:ascii="Verdana" w:hAnsi="Verdana" w:cstheme="minorHAnsi"/>
          <w:sz w:val="18"/>
          <w:szCs w:val="18"/>
        </w:rPr>
      </w:pPr>
      <w:r>
        <w:rPr>
          <w:rFonts w:ascii="Verdana" w:hAnsi="Verdana" w:cstheme="minorHAnsi"/>
          <w:sz w:val="18"/>
          <w:szCs w:val="18"/>
        </w:rPr>
        <w:t>E</w:t>
      </w:r>
      <w:r w:rsidRPr="005C09B6">
        <w:rPr>
          <w:rFonts w:ascii="Verdana" w:hAnsi="Verdana" w:cstheme="minorHAnsi"/>
          <w:sz w:val="18"/>
          <w:szCs w:val="18"/>
        </w:rPr>
        <w:t xml:space="preserve">en lijst van de </w:t>
      </w:r>
      <w:r w:rsidR="00331693">
        <w:rPr>
          <w:rFonts w:ascii="Verdana" w:hAnsi="Verdana" w:cstheme="minorHAnsi"/>
          <w:sz w:val="18"/>
          <w:szCs w:val="18"/>
        </w:rPr>
        <w:t xml:space="preserve">specifieke uitkeringen </w:t>
      </w:r>
      <w:r w:rsidRPr="005C09B6">
        <w:rPr>
          <w:rFonts w:ascii="Verdana" w:hAnsi="Verdana" w:cstheme="minorHAnsi"/>
          <w:sz w:val="18"/>
          <w:szCs w:val="18"/>
        </w:rPr>
        <w:t>die vanaf 2026 doorlopen</w:t>
      </w:r>
      <w:r>
        <w:rPr>
          <w:rFonts w:ascii="Verdana" w:hAnsi="Verdana" w:cstheme="minorHAnsi"/>
          <w:sz w:val="18"/>
          <w:szCs w:val="18"/>
        </w:rPr>
        <w:t>.</w:t>
      </w:r>
    </w:p>
    <w:p w:rsidRPr="00C50300" w:rsidR="00C50300" w:rsidP="00C50300" w:rsidRDefault="00C50300" w14:paraId="26D3112F" w14:textId="77777777">
      <w:pPr>
        <w:pStyle w:val="Lijstalinea"/>
        <w:numPr>
          <w:ilvl w:val="0"/>
          <w:numId w:val="8"/>
        </w:numPr>
        <w:rPr>
          <w:rFonts w:ascii="Verdana" w:hAnsi="Verdana" w:cstheme="minorHAnsi"/>
          <w:sz w:val="18"/>
          <w:szCs w:val="18"/>
        </w:rPr>
      </w:pPr>
      <w:r w:rsidRPr="00C50300">
        <w:rPr>
          <w:rFonts w:ascii="Verdana" w:hAnsi="Verdana" w:cstheme="minorHAnsi"/>
          <w:sz w:val="18"/>
          <w:szCs w:val="18"/>
        </w:rPr>
        <w:t>De inzet van reserves</w:t>
      </w:r>
      <w:r w:rsidR="00214FD8">
        <w:rPr>
          <w:rFonts w:ascii="Verdana" w:hAnsi="Verdana" w:cstheme="minorHAnsi"/>
          <w:sz w:val="18"/>
          <w:szCs w:val="18"/>
        </w:rPr>
        <w:t xml:space="preserve"> </w:t>
      </w:r>
      <w:r w:rsidRPr="00C50300" w:rsidR="00214FD8">
        <w:rPr>
          <w:rFonts w:ascii="Verdana" w:hAnsi="Verdana" w:cstheme="minorHAnsi"/>
          <w:sz w:val="18"/>
          <w:szCs w:val="18"/>
        </w:rPr>
        <w:t>door gemeenten</w:t>
      </w:r>
      <w:r w:rsidRPr="00C50300">
        <w:rPr>
          <w:rFonts w:ascii="Verdana" w:hAnsi="Verdana" w:cstheme="minorHAnsi"/>
          <w:sz w:val="18"/>
          <w:szCs w:val="18"/>
        </w:rPr>
        <w:t xml:space="preserve"> als dekkingsmiddel.</w:t>
      </w:r>
    </w:p>
    <w:p w:rsidR="00C50300" w:rsidP="00C50300" w:rsidRDefault="00C50300" w14:paraId="0A46EF13" w14:textId="77777777">
      <w:pPr>
        <w:pStyle w:val="Kop1"/>
      </w:pPr>
      <w:r>
        <w:t>Integraa</w:t>
      </w:r>
      <w:r w:rsidR="000819B6">
        <w:t>l</w:t>
      </w:r>
      <w:r>
        <w:t xml:space="preserve"> overzicht financiën gemeenten</w:t>
      </w:r>
    </w:p>
    <w:p w:rsidRPr="00C50300" w:rsidR="00C50300" w:rsidP="00C50300" w:rsidRDefault="00C50300" w14:paraId="5E4E6BD1" w14:textId="77777777"/>
    <w:p w:rsidR="00C50300" w:rsidP="00C50300" w:rsidRDefault="00C50300" w14:paraId="018B0872" w14:textId="77777777">
      <w:pPr>
        <w:rPr>
          <w:rFonts w:cstheme="minorHAnsi"/>
        </w:rPr>
      </w:pPr>
      <w:r w:rsidRPr="005263CE">
        <w:rPr>
          <w:rFonts w:cstheme="minorHAnsi"/>
        </w:rPr>
        <w:t xml:space="preserve">Op 30 </w:t>
      </w:r>
      <w:r>
        <w:rPr>
          <w:rFonts w:cstheme="minorHAnsi"/>
        </w:rPr>
        <w:t>september</w:t>
      </w:r>
      <w:r w:rsidRPr="005263CE">
        <w:rPr>
          <w:rFonts w:cstheme="minorHAnsi"/>
        </w:rPr>
        <w:t xml:space="preserve"> jl. heb ik de Tweede Kamer de </w:t>
      </w:r>
      <w:r w:rsidRPr="00947397">
        <w:rPr>
          <w:rFonts w:cstheme="minorHAnsi"/>
        </w:rPr>
        <w:t xml:space="preserve">Kamerbrief bij </w:t>
      </w:r>
      <w:r>
        <w:rPr>
          <w:rFonts w:cstheme="minorHAnsi"/>
        </w:rPr>
        <w:t xml:space="preserve">de </w:t>
      </w:r>
      <w:r w:rsidRPr="00947397">
        <w:rPr>
          <w:rFonts w:cstheme="minorHAnsi"/>
        </w:rPr>
        <w:t>Integrale Overzichten Financiën gemeenten en provincies</w:t>
      </w:r>
      <w:r w:rsidRPr="005263CE">
        <w:rPr>
          <w:rFonts w:cstheme="minorHAnsi"/>
          <w:i/>
          <w:iCs/>
        </w:rPr>
        <w:t xml:space="preserve"> </w:t>
      </w:r>
      <w:r w:rsidRPr="00947397">
        <w:rPr>
          <w:rFonts w:cstheme="minorHAnsi"/>
        </w:rPr>
        <w:t>2024</w:t>
      </w:r>
      <w:r w:rsidRPr="005263CE">
        <w:rPr>
          <w:rFonts w:cstheme="minorHAnsi"/>
        </w:rPr>
        <w:t xml:space="preserve"> toegezonden. </w:t>
      </w:r>
      <w:r>
        <w:rPr>
          <w:rFonts w:cstheme="minorHAnsi"/>
        </w:rPr>
        <w:t>In de vergadering van de commissie van Binnenlandse Zaken van 1 oktober 2024 is mij gevraagd om nader te reflecteren op de bovengenoemde brief, met name in relatie tot de opmerkingen over de gemeentefinanciën die door de VNG naar aanleiding van deze brief gemaakt zijn. Vanzelfsprekend doe ik dat graag.</w:t>
      </w:r>
    </w:p>
    <w:p w:rsidR="00C50300" w:rsidP="00C50300" w:rsidRDefault="00C50300" w14:paraId="4DCFB6E2" w14:textId="77777777">
      <w:pPr>
        <w:rPr>
          <w:rFonts w:cstheme="minorHAnsi"/>
        </w:rPr>
      </w:pPr>
      <w:r>
        <w:rPr>
          <w:rFonts w:cstheme="minorHAnsi"/>
        </w:rPr>
        <w:t xml:space="preserve"> </w:t>
      </w:r>
    </w:p>
    <w:p w:rsidR="00C50300" w:rsidP="00C50300" w:rsidRDefault="00C50300" w14:paraId="34A7E228" w14:textId="77777777">
      <w:pPr>
        <w:rPr>
          <w:rFonts w:cstheme="minorHAnsi"/>
        </w:rPr>
      </w:pPr>
      <w:r w:rsidRPr="00CB0B64">
        <w:rPr>
          <w:rFonts w:cstheme="minorHAnsi"/>
        </w:rPr>
        <w:t xml:space="preserve">Uit de titel van de Kamerbrief blijkt dat het hier een integraal overzicht betreft, waarin een objectief en veelomvattend overzicht geboden wordt van de stand van zaken rond de financiën van gemeenten en provincies. Het overzicht is bedoeld om het brede gesprek over de bestuurlijke en financiële verhouding met medeoverheden te voeden en </w:t>
      </w:r>
      <w:r>
        <w:rPr>
          <w:rFonts w:cstheme="minorHAnsi"/>
        </w:rPr>
        <w:t xml:space="preserve">te </w:t>
      </w:r>
      <w:r w:rsidRPr="00CB0B64">
        <w:rPr>
          <w:rFonts w:cstheme="minorHAnsi"/>
        </w:rPr>
        <w:t>verrijken</w:t>
      </w:r>
      <w:r w:rsidR="00214FD8">
        <w:rPr>
          <w:rFonts w:cstheme="minorHAnsi"/>
        </w:rPr>
        <w:t xml:space="preserve"> </w:t>
      </w:r>
      <w:r w:rsidRPr="00CB0B64">
        <w:rPr>
          <w:rFonts w:cstheme="minorHAnsi"/>
        </w:rPr>
        <w:t xml:space="preserve">met </w:t>
      </w:r>
      <w:r w:rsidR="00D42F41">
        <w:rPr>
          <w:rFonts w:cstheme="minorHAnsi"/>
        </w:rPr>
        <w:t>betrouwbare</w:t>
      </w:r>
      <w:r w:rsidRPr="00CB0B64">
        <w:rPr>
          <w:rFonts w:cstheme="minorHAnsi"/>
        </w:rPr>
        <w:t xml:space="preserve"> cijfers en feiten. </w:t>
      </w:r>
      <w:r w:rsidR="000819B6">
        <w:rPr>
          <w:rFonts w:cstheme="minorHAnsi"/>
        </w:rPr>
        <w:t xml:space="preserve">Dit </w:t>
      </w:r>
      <w:r w:rsidRPr="00CB0B64">
        <w:rPr>
          <w:rFonts w:cstheme="minorHAnsi"/>
        </w:rPr>
        <w:t xml:space="preserve"> document </w:t>
      </w:r>
      <w:r w:rsidR="000819B6">
        <w:rPr>
          <w:rFonts w:cstheme="minorHAnsi"/>
        </w:rPr>
        <w:t xml:space="preserve">is </w:t>
      </w:r>
      <w:r w:rsidR="00214FD8">
        <w:rPr>
          <w:rFonts w:cstheme="minorHAnsi"/>
        </w:rPr>
        <w:t>een terugblik</w:t>
      </w:r>
      <w:r w:rsidRPr="00CB0B64">
        <w:rPr>
          <w:rFonts w:cstheme="minorHAnsi"/>
        </w:rPr>
        <w:t xml:space="preserve"> en is daarmee nadrukkelijk niet het enige relevante document</w:t>
      </w:r>
      <w:r w:rsidR="000819B6">
        <w:rPr>
          <w:rFonts w:cstheme="minorHAnsi"/>
        </w:rPr>
        <w:t xml:space="preserve"> op het terrein van de gemeente- en provinciefinanciën</w:t>
      </w:r>
      <w:r w:rsidRPr="00CB0B64">
        <w:rPr>
          <w:rFonts w:cstheme="minorHAnsi"/>
        </w:rPr>
        <w:t>.</w:t>
      </w:r>
    </w:p>
    <w:p w:rsidRPr="00CB0B64" w:rsidR="00C50300" w:rsidP="00C50300" w:rsidRDefault="00C50300" w14:paraId="279BE69C" w14:textId="77777777">
      <w:pPr>
        <w:rPr>
          <w:rFonts w:cstheme="minorHAnsi"/>
        </w:rPr>
      </w:pPr>
    </w:p>
    <w:p w:rsidR="00D42F41" w:rsidP="00C50300" w:rsidRDefault="00C50300" w14:paraId="22EAAC7D" w14:textId="77777777">
      <w:pPr>
        <w:rPr>
          <w:rFonts w:cstheme="minorHAnsi"/>
        </w:rPr>
      </w:pPr>
      <w:r w:rsidRPr="00CB0B64">
        <w:rPr>
          <w:rFonts w:cstheme="minorHAnsi"/>
        </w:rPr>
        <w:t>In het genoemde overzicht, dat nu voor de derde keer op rij is verschenen, wordt teruggekeken op het afgelopen jaar</w:t>
      </w:r>
      <w:r w:rsidR="00BE5BE3">
        <w:rPr>
          <w:rFonts w:cstheme="minorHAnsi"/>
        </w:rPr>
        <w:t xml:space="preserve"> op basis van de laatst bekende realisatiecijfers</w:t>
      </w:r>
      <w:r w:rsidRPr="00CB0B64">
        <w:rPr>
          <w:rFonts w:cstheme="minorHAnsi"/>
        </w:rPr>
        <w:t xml:space="preserve">. </w:t>
      </w:r>
      <w:r w:rsidR="00E74A9E">
        <w:rPr>
          <w:rFonts w:cstheme="minorHAnsi"/>
        </w:rPr>
        <w:t xml:space="preserve">In het overzicht </w:t>
      </w:r>
      <w:r w:rsidR="00BE5BE3">
        <w:rPr>
          <w:rFonts w:cstheme="minorHAnsi"/>
        </w:rPr>
        <w:t xml:space="preserve">wordt </w:t>
      </w:r>
      <w:r>
        <w:rPr>
          <w:rFonts w:cstheme="minorHAnsi"/>
        </w:rPr>
        <w:t xml:space="preserve">een feitelijk en overkoepelend beeld geschetst van de financiële positie, inkomsten en uitgaven van gemeenten. Dat gebeurt aan de hand van onder meer data en definities van het CBS, </w:t>
      </w:r>
      <w:r w:rsidR="00214FD8">
        <w:rPr>
          <w:rFonts w:cstheme="minorHAnsi"/>
        </w:rPr>
        <w:t xml:space="preserve">bijvoorbeeld </w:t>
      </w:r>
      <w:r>
        <w:rPr>
          <w:rFonts w:cstheme="minorHAnsi"/>
        </w:rPr>
        <w:t xml:space="preserve">voor </w:t>
      </w:r>
      <w:r w:rsidR="007F5FD3">
        <w:rPr>
          <w:rFonts w:cstheme="minorHAnsi"/>
        </w:rPr>
        <w:t xml:space="preserve">de </w:t>
      </w:r>
      <w:r>
        <w:rPr>
          <w:rFonts w:cstheme="minorHAnsi"/>
        </w:rPr>
        <w:t xml:space="preserve">berekening van het exploitatiesaldo. Deze gegevens zijn mede ontleend aan de jaarrekeningcijfers van gemeenten. </w:t>
      </w:r>
    </w:p>
    <w:p w:rsidR="00D42F41" w:rsidP="00C50300" w:rsidRDefault="00D42F41" w14:paraId="1FE80BA2" w14:textId="77777777">
      <w:pPr>
        <w:rPr>
          <w:rFonts w:cstheme="minorHAnsi"/>
        </w:rPr>
      </w:pPr>
    </w:p>
    <w:p w:rsidR="00C50300" w:rsidP="00C50300" w:rsidRDefault="00E74A9E" w14:paraId="2412FFA0" w14:textId="77777777">
      <w:pPr>
        <w:rPr>
          <w:rFonts w:cstheme="minorHAnsi"/>
        </w:rPr>
      </w:pPr>
      <w:r>
        <w:rPr>
          <w:rFonts w:cstheme="minorHAnsi"/>
        </w:rPr>
        <w:t xml:space="preserve">De VNG geeft aan dat gemeenten ook investeringen moeten financieren uit een positief exploitatieresultaat, voor een </w:t>
      </w:r>
      <w:r w:rsidR="00D42F41">
        <w:rPr>
          <w:rFonts w:cstheme="minorHAnsi"/>
        </w:rPr>
        <w:t xml:space="preserve">houdbare schuldpositie. </w:t>
      </w:r>
      <w:r w:rsidR="003D5CA8">
        <w:rPr>
          <w:rFonts w:cstheme="minorHAnsi"/>
        </w:rPr>
        <w:t xml:space="preserve">Een hoger percentage </w:t>
      </w:r>
      <w:r w:rsidR="00214FD8">
        <w:rPr>
          <w:rFonts w:cstheme="minorHAnsi"/>
        </w:rPr>
        <w:t>netto schuldquote</w:t>
      </w:r>
      <w:r w:rsidR="000819B6">
        <w:rPr>
          <w:rFonts w:cstheme="minorHAnsi"/>
        </w:rPr>
        <w:t xml:space="preserve"> </w:t>
      </w:r>
      <w:r w:rsidR="003D5CA8">
        <w:rPr>
          <w:rFonts w:cstheme="minorHAnsi"/>
        </w:rPr>
        <w:t>betekent meer schuld ten opzichte van de baten.</w:t>
      </w:r>
      <w:r w:rsidR="000819B6">
        <w:rPr>
          <w:rFonts w:cstheme="minorHAnsi"/>
        </w:rPr>
        <w:t xml:space="preserve"> </w:t>
      </w:r>
      <w:r w:rsidR="00D42F41">
        <w:rPr>
          <w:rFonts w:cstheme="minorHAnsi"/>
        </w:rPr>
        <w:t xml:space="preserve">In </w:t>
      </w:r>
      <w:r w:rsidR="00D42F41">
        <w:rPr>
          <w:rFonts w:cstheme="minorHAnsi"/>
        </w:rPr>
        <w:lastRenderedPageBreak/>
        <w:t xml:space="preserve">verband hiermee wijst de VNG ook op de stijging van de netto schuldquote naar 41% voor 2023. Ik </w:t>
      </w:r>
      <w:r w:rsidR="000819B6">
        <w:rPr>
          <w:rFonts w:cstheme="minorHAnsi"/>
        </w:rPr>
        <w:t>benadruk</w:t>
      </w:r>
      <w:r w:rsidR="00D42F41">
        <w:rPr>
          <w:rFonts w:cstheme="minorHAnsi"/>
        </w:rPr>
        <w:t xml:space="preserve"> hierbij dat de netto schuldquote jaarlijks fluctueert, </w:t>
      </w:r>
      <w:r w:rsidR="000819B6">
        <w:rPr>
          <w:rFonts w:cstheme="minorHAnsi"/>
        </w:rPr>
        <w:t xml:space="preserve">dus op en neer beweegt. In 2019 was deze </w:t>
      </w:r>
      <w:r w:rsidR="00D42F41">
        <w:rPr>
          <w:rFonts w:cstheme="minorHAnsi"/>
        </w:rPr>
        <w:t>nog 55%</w:t>
      </w:r>
      <w:r w:rsidR="000819B6">
        <w:rPr>
          <w:rFonts w:cstheme="minorHAnsi"/>
        </w:rPr>
        <w:t xml:space="preserve">, </w:t>
      </w:r>
      <w:r w:rsidR="00214FD8">
        <w:rPr>
          <w:rFonts w:cstheme="minorHAnsi"/>
        </w:rPr>
        <w:t xml:space="preserve">dit is </w:t>
      </w:r>
      <w:r w:rsidR="000819B6">
        <w:rPr>
          <w:rFonts w:cstheme="minorHAnsi"/>
        </w:rPr>
        <w:t xml:space="preserve">aanzienlijk hoger </w:t>
      </w:r>
      <w:r w:rsidR="00214FD8">
        <w:rPr>
          <w:rFonts w:cstheme="minorHAnsi"/>
        </w:rPr>
        <w:t>dan het percentage voor 2023</w:t>
      </w:r>
      <w:r w:rsidR="000819B6">
        <w:rPr>
          <w:rFonts w:cstheme="minorHAnsi"/>
        </w:rPr>
        <w:t>.</w:t>
      </w:r>
    </w:p>
    <w:p w:rsidR="00D42F41" w:rsidP="00C50300" w:rsidRDefault="00D42F41" w14:paraId="07E55254" w14:textId="77777777">
      <w:pPr>
        <w:rPr>
          <w:rFonts w:cstheme="minorHAnsi"/>
        </w:rPr>
      </w:pPr>
    </w:p>
    <w:p w:rsidR="00C50300" w:rsidP="00C50300" w:rsidRDefault="00C50300" w14:paraId="039412A6" w14:textId="77777777">
      <w:pPr>
        <w:rPr>
          <w:rFonts w:cstheme="minorHAnsi"/>
        </w:rPr>
      </w:pPr>
      <w:r>
        <w:rPr>
          <w:rFonts w:cstheme="minorHAnsi"/>
        </w:rPr>
        <w:t>Uit dit overzicht blijkt dat de gezamenlijke financiële positie van gemeenten de afgelopen jaren verbeterd is, mede door de gezamenlijke overschotten die de laatste vier jaar werden gerealiseerd. Met deze terugblik is echter niet beoogd om een rooskleurig beeld te schetsen van de</w:t>
      </w:r>
      <w:r w:rsidR="00214FD8">
        <w:rPr>
          <w:rFonts w:cstheme="minorHAnsi"/>
        </w:rPr>
        <w:t xml:space="preserve"> toekomstige</w:t>
      </w:r>
      <w:r>
        <w:rPr>
          <w:rFonts w:cstheme="minorHAnsi"/>
        </w:rPr>
        <w:t xml:space="preserve"> financiële positie van gemeenten. Ik heb </w:t>
      </w:r>
      <w:r w:rsidR="00D42F41">
        <w:rPr>
          <w:rFonts w:cstheme="minorHAnsi"/>
        </w:rPr>
        <w:t xml:space="preserve">ter nuancering </w:t>
      </w:r>
      <w:r>
        <w:rPr>
          <w:rFonts w:cstheme="minorHAnsi"/>
        </w:rPr>
        <w:t>in mijn brief ook nadrukkelijk gewezen op de deels incidentele factoren, die de</w:t>
      </w:r>
      <w:r w:rsidRPr="0018345E">
        <w:rPr>
          <w:rFonts w:cstheme="minorHAnsi"/>
        </w:rPr>
        <w:t xml:space="preserve"> exploitatieoverschotten </w:t>
      </w:r>
      <w:r>
        <w:rPr>
          <w:rFonts w:cstheme="minorHAnsi"/>
        </w:rPr>
        <w:t>van gemeenten verklaren</w:t>
      </w:r>
      <w:r w:rsidRPr="0018345E">
        <w:rPr>
          <w:rFonts w:cstheme="minorHAnsi"/>
        </w:rPr>
        <w:t xml:space="preserve">. </w:t>
      </w:r>
      <w:r>
        <w:rPr>
          <w:rFonts w:cstheme="minorHAnsi"/>
        </w:rPr>
        <w:t>Verder heb ik gewezen op de a</w:t>
      </w:r>
      <w:r w:rsidRPr="00C00C9F">
        <w:rPr>
          <w:rFonts w:cstheme="minorHAnsi"/>
        </w:rPr>
        <w:t>chterblijvende uitvoeringskracht van gemeenten bij een takenpakket</w:t>
      </w:r>
      <w:r w:rsidR="00214FD8">
        <w:rPr>
          <w:rFonts w:cstheme="minorHAnsi"/>
        </w:rPr>
        <w:t xml:space="preserve"> dat snel is gegroeid</w:t>
      </w:r>
      <w:r>
        <w:rPr>
          <w:rFonts w:cstheme="minorHAnsi"/>
        </w:rPr>
        <w:t xml:space="preserve">. Dit hangt nauw samen met de arbeidsmarktsituatie. Mede hierdoor worden niet alle beschikbare middelen besteed, terwijl dat gezien de grote opgaven wel wenselijk is. Ik vind het belangrijk om de Kamer vanuit deze brede blik te informeren over de financiële situatie bij medeoverheden. Ik zal bezien hoe het integraal overzicht voor de toekomst verrijkt kan worden, bijvoorbeeld met meer inzicht in de - met onzekerheden omgeven - toekomstige ontwikkeling van de financiële positie van medeoverheden. </w:t>
      </w:r>
    </w:p>
    <w:p w:rsidR="00C50300" w:rsidP="00C50300" w:rsidRDefault="00C50300" w14:paraId="629C0B45" w14:textId="77777777">
      <w:pPr>
        <w:rPr>
          <w:rFonts w:cstheme="minorHAnsi"/>
        </w:rPr>
      </w:pPr>
    </w:p>
    <w:p w:rsidRPr="00B02F82" w:rsidR="00B02F82" w:rsidP="00B02F82" w:rsidRDefault="00B02F82" w14:paraId="17695346" w14:textId="77777777">
      <w:pPr>
        <w:rPr>
          <w:rFonts w:cstheme="minorHAnsi"/>
        </w:rPr>
      </w:pPr>
      <w:r w:rsidRPr="00B02F82">
        <w:rPr>
          <w:rFonts w:cstheme="minorHAnsi"/>
        </w:rPr>
        <w:t>Vanwege het primair retrospectieve karakter van het huidige integraal financieel overzicht zijn niet de ontwikkelingen 2024 en verder meegenomen, zoals opgenomen in de Voorjaarsnota 2024</w:t>
      </w:r>
      <w:r w:rsidRPr="00B02F82">
        <w:rPr>
          <w:rFonts w:cstheme="minorHAnsi"/>
          <w:vertAlign w:val="superscript"/>
        </w:rPr>
        <w:footnoteReference w:id="1"/>
      </w:r>
      <w:r w:rsidRPr="00B02F82">
        <w:rPr>
          <w:rFonts w:cstheme="minorHAnsi"/>
        </w:rPr>
        <w:t xml:space="preserve"> en de Miljoenennota 2025</w:t>
      </w:r>
      <w:r w:rsidRPr="00B02F82">
        <w:rPr>
          <w:rFonts w:cstheme="minorHAnsi"/>
          <w:vertAlign w:val="superscript"/>
        </w:rPr>
        <w:footnoteReference w:id="2"/>
      </w:r>
      <w:r w:rsidRPr="00B02F82">
        <w:rPr>
          <w:rFonts w:cstheme="minorHAnsi"/>
        </w:rPr>
        <w:t>. In constructief overleg met de Vereniging Nederlandse Gemeenten (VNG) en het Interprovinciaal Overleg (IPO) – in gewaardeerde aanwezigheid van de Unie van Waterschappen (UvW) – is besloten over te gaan tot het schrappen van de oploop van de</w:t>
      </w:r>
      <w:r w:rsidR="007F5FD3">
        <w:rPr>
          <w:rFonts w:cstheme="minorHAnsi"/>
        </w:rPr>
        <w:t xml:space="preserve"> opschalings</w:t>
      </w:r>
      <w:r w:rsidRPr="00B02F82">
        <w:rPr>
          <w:rFonts w:cstheme="minorHAnsi"/>
        </w:rPr>
        <w:t xml:space="preserve">korting in combinatie met het vervroegd invoeren van de nieuwe financieringssystematiek in 2024. </w:t>
      </w:r>
    </w:p>
    <w:p w:rsidR="00B02F82" w:rsidP="00B02F82" w:rsidRDefault="00B02F82" w14:paraId="3EAC6BE9" w14:textId="77777777">
      <w:pPr>
        <w:rPr>
          <w:rFonts w:cstheme="minorHAnsi"/>
        </w:rPr>
      </w:pPr>
    </w:p>
    <w:p w:rsidRPr="00B02F82" w:rsidR="00B02F82" w:rsidP="00B02F82" w:rsidRDefault="00B02F82" w14:paraId="77B4AE6C" w14:textId="77777777">
      <w:pPr>
        <w:rPr>
          <w:rFonts w:cstheme="minorHAnsi"/>
        </w:rPr>
      </w:pPr>
      <w:r w:rsidRPr="00B02F82">
        <w:rPr>
          <w:rFonts w:cstheme="minorHAnsi"/>
        </w:rPr>
        <w:t>Het besluit tot het vervroegd invoeren van de nieuwe financieringssystematiek heeft invloed op de lopende begroting van gemeenten en provincies. Om die reden is besloten de impact hiervan volledig (2024) en deels (2025) te dempen. Ook voor 2026 tot en met 2029 vindt compensatie plaats. Deze is zodanig dat dit per saldo voor de periode 2026 tot en met 2029 resulteert in een plus van 675 miljoen euro voor gemeenten en 44 miljoen euro voor provincies.</w:t>
      </w:r>
    </w:p>
    <w:p w:rsidR="00B02F82" w:rsidP="00B02F82" w:rsidRDefault="00B02F82" w14:paraId="69944AD6" w14:textId="77777777">
      <w:pPr>
        <w:rPr>
          <w:rFonts w:cstheme="minorHAnsi"/>
        </w:rPr>
      </w:pPr>
    </w:p>
    <w:p w:rsidRPr="00B02F82" w:rsidR="00B02F82" w:rsidP="00B02F82" w:rsidRDefault="00B02F82" w14:paraId="7907D944" w14:textId="77777777">
      <w:pPr>
        <w:rPr>
          <w:rFonts w:cstheme="minorHAnsi"/>
        </w:rPr>
      </w:pPr>
      <w:r w:rsidRPr="00B02F82">
        <w:rPr>
          <w:rFonts w:cstheme="minorHAnsi"/>
        </w:rPr>
        <w:t>Verder is afgesproken dat in de toekomst (een nader te bepalen deel van de) W</w:t>
      </w:r>
      <w:r w:rsidR="00214FD8">
        <w:rPr>
          <w:rFonts w:cstheme="minorHAnsi"/>
        </w:rPr>
        <w:t>et maatschappelijke ondersteuning (W</w:t>
      </w:r>
      <w:r w:rsidRPr="00B02F82">
        <w:rPr>
          <w:rFonts w:cstheme="minorHAnsi"/>
        </w:rPr>
        <w:t>mo</w:t>
      </w:r>
      <w:r w:rsidR="00214FD8">
        <w:rPr>
          <w:rFonts w:cstheme="minorHAnsi"/>
        </w:rPr>
        <w:t>)</w:t>
      </w:r>
      <w:r w:rsidRPr="00B02F82">
        <w:rPr>
          <w:rFonts w:cstheme="minorHAnsi"/>
        </w:rPr>
        <w:t xml:space="preserve"> niet langer via de algemene uitkering van het gemeentefonds gaat, maar via een aparte financiering. Af</w:t>
      </w:r>
      <w:r>
        <w:rPr>
          <w:rFonts w:cstheme="minorHAnsi"/>
        </w:rPr>
        <w:t>hankelijk</w:t>
      </w:r>
      <w:r w:rsidRPr="00B02F82">
        <w:rPr>
          <w:rFonts w:cstheme="minorHAnsi"/>
        </w:rPr>
        <w:t xml:space="preserve"> van de gekozen bekostigingsvorm wordt een passende geobjectiveerde indexering onderzocht</w:t>
      </w:r>
      <w:r w:rsidR="00214FD8">
        <w:rPr>
          <w:rFonts w:cstheme="minorHAnsi"/>
        </w:rPr>
        <w:t>, welke</w:t>
      </w:r>
      <w:r w:rsidRPr="00B02F82">
        <w:rPr>
          <w:rFonts w:cstheme="minorHAnsi"/>
        </w:rPr>
        <w:t xml:space="preserve"> aansluit bĳ de </w:t>
      </w:r>
      <w:r w:rsidR="00214FD8">
        <w:rPr>
          <w:rFonts w:cstheme="minorHAnsi"/>
        </w:rPr>
        <w:t>CPB-</w:t>
      </w:r>
      <w:r w:rsidRPr="00B02F82">
        <w:rPr>
          <w:rFonts w:cstheme="minorHAnsi"/>
        </w:rPr>
        <w:t xml:space="preserve">raming in het kader van het houdbaarheidsonderzoek en daardoor ook rekening houdt met kostenontwikkeling en </w:t>
      </w:r>
      <w:r w:rsidR="00214FD8">
        <w:rPr>
          <w:rFonts w:cstheme="minorHAnsi"/>
        </w:rPr>
        <w:t xml:space="preserve">demografische factoren als </w:t>
      </w:r>
      <w:r w:rsidRPr="00B02F82">
        <w:rPr>
          <w:rFonts w:cstheme="minorHAnsi"/>
        </w:rPr>
        <w:t xml:space="preserve">vergrĳzing. Het Rĳk heeft vooruitlopend op de uitwerking een reservering voor een aanvullende indexering voor demografie bovenop de bbp-systematiek getroffen. Uitgaande van de demografieraming van het CPB voor de </w:t>
      </w:r>
      <w:r w:rsidR="00214FD8">
        <w:rPr>
          <w:rFonts w:cstheme="minorHAnsi"/>
        </w:rPr>
        <w:t>Wet langdurige zorg (Wlz)</w:t>
      </w:r>
      <w:r w:rsidRPr="00B02F82">
        <w:rPr>
          <w:rFonts w:cstheme="minorHAnsi"/>
        </w:rPr>
        <w:t xml:space="preserve"> van 1,7</w:t>
      </w:r>
      <w:r w:rsidR="00214FD8">
        <w:rPr>
          <w:rFonts w:cstheme="minorHAnsi"/>
        </w:rPr>
        <w:t xml:space="preserve"> procent </w:t>
      </w:r>
      <w:r w:rsidRPr="00B02F82">
        <w:rPr>
          <w:rFonts w:cstheme="minorHAnsi"/>
        </w:rPr>
        <w:t>en de actuele CBS-</w:t>
      </w:r>
      <w:r w:rsidRPr="00B02F82">
        <w:rPr>
          <w:rFonts w:cstheme="minorHAnsi"/>
        </w:rPr>
        <w:lastRenderedPageBreak/>
        <w:t>realisatie</w:t>
      </w:r>
      <w:r w:rsidR="00502026">
        <w:rPr>
          <w:rFonts w:cstheme="minorHAnsi"/>
        </w:rPr>
        <w:t>,</w:t>
      </w:r>
      <w:r w:rsidRPr="00B02F82">
        <w:rPr>
          <w:rFonts w:cstheme="minorHAnsi"/>
        </w:rPr>
        <w:t xml:space="preserve"> heeft het Rĳk vanaf 2026 een jaarlĳkse tranche van circa 75 miljoen euro voor gemeenten beschikbaar gesteld</w:t>
      </w:r>
      <w:r w:rsidR="00214FD8">
        <w:rPr>
          <w:rFonts w:cstheme="minorHAnsi"/>
        </w:rPr>
        <w:t xml:space="preserve">, </w:t>
      </w:r>
      <w:r w:rsidRPr="00B02F82" w:rsidR="00214FD8">
        <w:rPr>
          <w:rFonts w:cstheme="minorHAnsi"/>
        </w:rPr>
        <w:t>additioneel oplopend tot 300 miljoen euro in 2029</w:t>
      </w:r>
      <w:r w:rsidRPr="00B02F82">
        <w:rPr>
          <w:rFonts w:cstheme="minorHAnsi"/>
        </w:rPr>
        <w:t>.</w:t>
      </w:r>
    </w:p>
    <w:p w:rsidRPr="00B02F82" w:rsidR="00B02F82" w:rsidP="00B02F82" w:rsidRDefault="00B02F82" w14:paraId="3D270AA0" w14:textId="77777777">
      <w:pPr>
        <w:rPr>
          <w:rFonts w:cstheme="minorHAnsi"/>
        </w:rPr>
      </w:pPr>
      <w:r w:rsidRPr="00B02F82">
        <w:rPr>
          <w:rFonts w:cstheme="minorHAnsi"/>
        </w:rPr>
        <w:t>Tot slot is bij Miljoenennota 2025 door het huidige kabinet besloten dat het kabinet de uitvoering van de Hervormingsagenda Jeugd door zet. De ingeboekte besparing van 511 miljoen euro op de jeugdzorg is structureel komen te vervallen.</w:t>
      </w:r>
    </w:p>
    <w:p w:rsidRPr="00B02F82" w:rsidR="00B02F82" w:rsidP="00B02F82" w:rsidRDefault="00B02F82" w14:paraId="1DCF7EF5" w14:textId="77777777">
      <w:pPr>
        <w:rPr>
          <w:rFonts w:cstheme="minorHAnsi"/>
        </w:rPr>
      </w:pPr>
    </w:p>
    <w:p w:rsidRPr="00B02F82" w:rsidR="00B02F82" w:rsidP="00B02F82" w:rsidRDefault="00B02F82" w14:paraId="3C4646E2" w14:textId="77777777">
      <w:pPr>
        <w:rPr>
          <w:rFonts w:cstheme="minorHAnsi"/>
        </w:rPr>
      </w:pPr>
      <w:r w:rsidRPr="00B02F82">
        <w:rPr>
          <w:rFonts w:cstheme="minorHAnsi"/>
        </w:rPr>
        <w:t>Als er behoefte is aan een technische briefing over de BBP-systematiek, ben ik daar altijd toe bereid.</w:t>
      </w:r>
    </w:p>
    <w:p w:rsidRPr="00B02F82" w:rsidR="00B02F82" w:rsidP="00B02F82" w:rsidRDefault="00B02F82" w14:paraId="6F1A29AF" w14:textId="77777777">
      <w:pPr>
        <w:rPr>
          <w:rFonts w:cstheme="minorHAnsi"/>
        </w:rPr>
      </w:pPr>
    </w:p>
    <w:p w:rsidR="00B02F82" w:rsidP="00B02F82" w:rsidRDefault="00B02F82" w14:paraId="59BE19C1" w14:textId="69B747A5">
      <w:pPr>
        <w:rPr>
          <w:rFonts w:cstheme="minorHAnsi"/>
        </w:rPr>
      </w:pPr>
      <w:r w:rsidRPr="00B02F82">
        <w:rPr>
          <w:rFonts w:cstheme="minorHAnsi"/>
        </w:rPr>
        <w:t>Ten slotte,</w:t>
      </w:r>
      <w:r w:rsidRPr="005C09B6" w:rsidR="005C09B6">
        <w:t xml:space="preserve"> </w:t>
      </w:r>
      <w:r w:rsidR="005C09B6">
        <w:rPr>
          <w:rFonts w:cstheme="minorHAnsi"/>
        </w:rPr>
        <w:t>i</w:t>
      </w:r>
      <w:r w:rsidRPr="005C09B6" w:rsidR="005C09B6">
        <w:rPr>
          <w:rFonts w:cstheme="minorHAnsi"/>
        </w:rPr>
        <w:t>n mijn brief</w:t>
      </w:r>
      <w:r w:rsidR="00997D99">
        <w:rPr>
          <w:rFonts w:cstheme="minorHAnsi"/>
        </w:rPr>
        <w:t xml:space="preserve"> van 30 september jl.</w:t>
      </w:r>
      <w:r w:rsidRPr="005C09B6" w:rsidR="005C09B6">
        <w:rPr>
          <w:rFonts w:cstheme="minorHAnsi"/>
        </w:rPr>
        <w:t xml:space="preserve"> aan uw Kamer is </w:t>
      </w:r>
      <w:r w:rsidR="00997D99">
        <w:rPr>
          <w:rFonts w:cstheme="minorHAnsi"/>
        </w:rPr>
        <w:t xml:space="preserve">de </w:t>
      </w:r>
      <w:r w:rsidRPr="005C09B6" w:rsidR="005C09B6">
        <w:rPr>
          <w:rFonts w:cstheme="minorHAnsi"/>
        </w:rPr>
        <w:t xml:space="preserve">financiële situatie </w:t>
      </w:r>
      <w:r w:rsidR="00997D99">
        <w:rPr>
          <w:rFonts w:cstheme="minorHAnsi"/>
        </w:rPr>
        <w:t xml:space="preserve">van </w:t>
      </w:r>
      <w:r w:rsidRPr="005C09B6" w:rsidR="005C09B6">
        <w:rPr>
          <w:rFonts w:cstheme="minorHAnsi"/>
        </w:rPr>
        <w:t>de afgelopen periode w</w:t>
      </w:r>
      <w:r w:rsidR="00997D99">
        <w:rPr>
          <w:rFonts w:cstheme="minorHAnsi"/>
        </w:rPr>
        <w:t>eergegeven</w:t>
      </w:r>
      <w:r w:rsidRPr="005C09B6" w:rsidR="005C09B6">
        <w:rPr>
          <w:rFonts w:cstheme="minorHAnsi"/>
        </w:rPr>
        <w:t xml:space="preserve">. </w:t>
      </w:r>
      <w:r w:rsidR="00997D99">
        <w:rPr>
          <w:rFonts w:cstheme="minorHAnsi"/>
        </w:rPr>
        <w:t xml:space="preserve">Daarnaast erken ik </w:t>
      </w:r>
      <w:r w:rsidRPr="00B02F82">
        <w:rPr>
          <w:rFonts w:cstheme="minorHAnsi"/>
        </w:rPr>
        <w:t xml:space="preserve">de zorgen </w:t>
      </w:r>
      <w:r w:rsidR="00876A50">
        <w:rPr>
          <w:rFonts w:cstheme="minorHAnsi"/>
        </w:rPr>
        <w:t xml:space="preserve">die zich </w:t>
      </w:r>
      <w:r w:rsidRPr="00B02F82" w:rsidR="00876A50">
        <w:rPr>
          <w:rFonts w:cstheme="minorHAnsi"/>
        </w:rPr>
        <w:t>richten op stabiliteit van de financiën, ook op langere termijn, en de verwachte toekomstige tekorten op gemeentelijke begrotingen</w:t>
      </w:r>
      <w:r w:rsidR="00876A50">
        <w:rPr>
          <w:rFonts w:cstheme="minorHAnsi"/>
        </w:rPr>
        <w:t>, met name in het jaar 2026</w:t>
      </w:r>
      <w:r w:rsidR="00876A50">
        <w:rPr>
          <w:rFonts w:cstheme="minorHAnsi"/>
        </w:rPr>
        <w:t>.</w:t>
      </w:r>
      <w:r w:rsidRPr="00B02F82" w:rsidR="00876A50">
        <w:rPr>
          <w:rFonts w:cstheme="minorHAnsi"/>
        </w:rPr>
        <w:t xml:space="preserve"> </w:t>
      </w:r>
      <w:r w:rsidR="00876A50">
        <w:rPr>
          <w:rFonts w:cstheme="minorHAnsi"/>
        </w:rPr>
        <w:t xml:space="preserve">Het is van belang dat er balans is </w:t>
      </w:r>
      <w:r w:rsidRPr="00B02F82">
        <w:rPr>
          <w:rFonts w:cstheme="minorHAnsi"/>
        </w:rPr>
        <w:t xml:space="preserve">tussen ambities, taken, middelen en uitvoeringskracht. </w:t>
      </w:r>
    </w:p>
    <w:p w:rsidR="00B02F82" w:rsidP="00B02F82" w:rsidRDefault="00B02F82" w14:paraId="6CEEF2A1" w14:textId="77777777">
      <w:pPr>
        <w:rPr>
          <w:rFonts w:cstheme="minorHAnsi"/>
        </w:rPr>
      </w:pPr>
    </w:p>
    <w:p w:rsidRPr="00B02F82" w:rsidR="00B02F82" w:rsidP="00B02F82" w:rsidRDefault="00B02F82" w14:paraId="25DEEB73" w14:textId="77777777">
      <w:pPr>
        <w:rPr>
          <w:rFonts w:cstheme="minorHAnsi"/>
        </w:rPr>
      </w:pPr>
      <w:r w:rsidRPr="00B02F82">
        <w:rPr>
          <w:rFonts w:cstheme="minorHAnsi"/>
        </w:rPr>
        <w:t>Over de belangrijkste initiatieven van het kabinet</w:t>
      </w:r>
      <w:r w:rsidR="00502026">
        <w:rPr>
          <w:rFonts w:cstheme="minorHAnsi"/>
        </w:rPr>
        <w:t>,</w:t>
      </w:r>
      <w:r w:rsidRPr="00B02F82">
        <w:rPr>
          <w:rFonts w:cstheme="minorHAnsi"/>
        </w:rPr>
        <w:t xml:space="preserve"> die gemeenten en provincies raken</w:t>
      </w:r>
      <w:r w:rsidR="00502026">
        <w:rPr>
          <w:rFonts w:cstheme="minorHAnsi"/>
        </w:rPr>
        <w:t>,</w:t>
      </w:r>
      <w:r w:rsidRPr="00B02F82">
        <w:rPr>
          <w:rFonts w:cstheme="minorHAnsi"/>
        </w:rPr>
        <w:t xml:space="preserve"> is het kabinet dan ook al met gemeenten in gesprek. In het Overhedenoverleg van augustus jl. heeft het kabinet samen met gemeenten en provincies gesproken over de uitwerking van het regeerprogramma waar het gemeenten en provincies aan gaat. Dit najaar zal er wederom een Overhedenoverleg plaatsvinden over de mogelijke gevolgen van de beleidsvoornemens uit het Regeerprogramma voor de hierboven genoemde ‘balans’. Ter voorbereiding hierop werken Rijk en koepels de komende maanden ambtelijk gezamenlijk aan het inzichtelijk maken van de consequenties van het Regeerprogramma voor </w:t>
      </w:r>
      <w:r w:rsidR="00502026">
        <w:rPr>
          <w:rFonts w:cstheme="minorHAnsi"/>
        </w:rPr>
        <w:t xml:space="preserve">de </w:t>
      </w:r>
      <w:r w:rsidRPr="00B02F82">
        <w:rPr>
          <w:rFonts w:cstheme="minorHAnsi"/>
        </w:rPr>
        <w:t xml:space="preserve">uitvoerbaarheid. </w:t>
      </w:r>
    </w:p>
    <w:p w:rsidR="00B02F82" w:rsidP="00B02F82" w:rsidRDefault="00B02F82" w14:paraId="73FB500C" w14:textId="77777777">
      <w:pPr>
        <w:rPr>
          <w:rFonts w:cstheme="minorHAnsi"/>
        </w:rPr>
      </w:pPr>
    </w:p>
    <w:p w:rsidRPr="00B02F82" w:rsidR="00B02F82" w:rsidP="00B02F82" w:rsidRDefault="00B02F82" w14:paraId="0B3AE22F" w14:textId="77777777">
      <w:pPr>
        <w:rPr>
          <w:rFonts w:cstheme="minorHAnsi"/>
        </w:rPr>
      </w:pPr>
      <w:r w:rsidRPr="00B02F82">
        <w:rPr>
          <w:rFonts w:cstheme="minorHAnsi"/>
        </w:rPr>
        <w:t>Kortom, ik ben en blijf</w:t>
      </w:r>
      <w:r w:rsidR="00214FD8">
        <w:rPr>
          <w:rFonts w:cstheme="minorHAnsi"/>
        </w:rPr>
        <w:t xml:space="preserve"> de komende tijd </w:t>
      </w:r>
      <w:r w:rsidRPr="00B02F82" w:rsidR="00214FD8">
        <w:rPr>
          <w:rFonts w:cstheme="minorHAnsi"/>
        </w:rPr>
        <w:t>met gemeenten, provincies, gemeenteraadsleden en betrokken koepelorganisaties</w:t>
      </w:r>
      <w:r w:rsidR="00214FD8">
        <w:rPr>
          <w:rFonts w:cstheme="minorHAnsi"/>
        </w:rPr>
        <w:t xml:space="preserve"> in gesprek</w:t>
      </w:r>
      <w:r w:rsidRPr="00B02F82">
        <w:rPr>
          <w:rFonts w:cstheme="minorHAnsi"/>
        </w:rPr>
        <w:t xml:space="preserve"> over de balans tussen taken, middelen en uitvoeringskracht, en over de werkelijkheid achter de cijfers de komende tijd.</w:t>
      </w:r>
    </w:p>
    <w:p w:rsidR="00B02F82" w:rsidP="00C50300" w:rsidRDefault="00B02F82" w14:paraId="6D03E86F" w14:textId="77777777">
      <w:pPr>
        <w:rPr>
          <w:rFonts w:cstheme="minorHAnsi"/>
        </w:rPr>
      </w:pPr>
    </w:p>
    <w:p w:rsidR="00C50300" w:rsidP="00C50300" w:rsidRDefault="00C50300" w14:paraId="49F8CF7A" w14:textId="77777777">
      <w:pPr>
        <w:pStyle w:val="Kop1"/>
      </w:pPr>
      <w:r>
        <w:t>Proces overheveling specifieke uitkeringen</w:t>
      </w:r>
    </w:p>
    <w:p w:rsidRPr="00C50300" w:rsidR="00C50300" w:rsidP="00C50300" w:rsidRDefault="00C50300" w14:paraId="693C5D8D" w14:textId="77777777"/>
    <w:p w:rsidR="00C50300" w:rsidP="00C50300" w:rsidRDefault="00C50300" w14:paraId="4BDDC915" w14:textId="77777777">
      <w:r>
        <w:t>In dit onderdeel van de brief zal ik nader ingaan op het proces van omzetting van specifieke uitkeringen in uitkeringen uit het gemeente- en provinciefonds en de nadere keuzes die in dit proces de komende tijd nodig zijn.</w:t>
      </w:r>
    </w:p>
    <w:p w:rsidR="00D42F41" w:rsidP="00C50300" w:rsidRDefault="00D42F41" w14:paraId="167802D3" w14:textId="77777777"/>
    <w:p w:rsidRPr="00CC6473" w:rsidR="00C50300" w:rsidP="00C50300" w:rsidRDefault="00C50300" w14:paraId="1511041D" w14:textId="77777777">
      <w:pPr>
        <w:rPr>
          <w:i/>
          <w:iCs/>
        </w:rPr>
      </w:pPr>
      <w:r w:rsidRPr="00CC6473">
        <w:rPr>
          <w:i/>
          <w:iCs/>
        </w:rPr>
        <w:t>Achtergrond</w:t>
      </w:r>
    </w:p>
    <w:p w:rsidRPr="00091019" w:rsidR="00C50300" w:rsidP="00C50300" w:rsidRDefault="00C50300" w14:paraId="48D78D7F" w14:textId="77777777">
      <w:r w:rsidRPr="00CC6473">
        <w:t>De afgelopen jaren is het gebruik van de specifieke uitkering sterk toegenomen</w:t>
      </w:r>
      <w:r w:rsidR="00F31435">
        <w:t>;</w:t>
      </w:r>
      <w:r w:rsidRPr="00CC6473">
        <w:t xml:space="preserve"> </w:t>
      </w:r>
      <w:r w:rsidR="00F31435">
        <w:t>v</w:t>
      </w:r>
      <w:r w:rsidRPr="00CC6473">
        <w:t>an 21 in 2017 naar 153 in 2023</w:t>
      </w:r>
      <w:r w:rsidRPr="00CC6473">
        <w:rPr>
          <w:vertAlign w:val="superscript"/>
        </w:rPr>
        <w:footnoteReference w:id="3"/>
      </w:r>
      <w:r w:rsidRPr="00CC6473">
        <w:t>. Dit beperkt de autonomie van gemeenten en zorgt voor een ‘potjescultuur’. Uitkeringen uit het gemeente- en provinciefonds zijn daarentegen bestedingsvrij en kunnen zonder belemmering door decentrale overheden, naar eigen inzicht</w:t>
      </w:r>
      <w:r w:rsidR="00F31435">
        <w:t>,</w:t>
      </w:r>
      <w:r w:rsidRPr="00CC6473">
        <w:t xml:space="preserve"> effectief en efficiënt ingezet worden. Bovendien zijn de verantwoordingslasten van specifieke uitkeringen hoog voor decentrale overheden. Er moet in de jaarrekening een gedetailleerde verantwoording over de </w:t>
      </w:r>
      <w:r w:rsidRPr="00CC6473">
        <w:lastRenderedPageBreak/>
        <w:t>rechtmatigheid van de bestedingen worden afgelegd aan het Rijk. Deze verantwoording wordt -</w:t>
      </w:r>
      <w:r>
        <w:t xml:space="preserve"> </w:t>
      </w:r>
      <w:r w:rsidRPr="00CC6473">
        <w:t>eveneens tegen substantiële kosten</w:t>
      </w:r>
      <w:r>
        <w:t xml:space="preserve"> </w:t>
      </w:r>
      <w:r w:rsidRPr="00CC6473">
        <w:t>- gecontroleerd door de accountant van de gemeente of de provincie. Zowel VNG als IPO</w:t>
      </w:r>
      <w:r w:rsidRPr="00CC6473">
        <w:rPr>
          <w:vertAlign w:val="superscript"/>
        </w:rPr>
        <w:footnoteReference w:id="4"/>
      </w:r>
      <w:r w:rsidRPr="00CC6473">
        <w:t xml:space="preserve"> hebben verzocht om een vermindering van het aantal specifieke uitkeringen.</w:t>
      </w:r>
    </w:p>
    <w:p w:rsidR="00C50300" w:rsidP="00C50300" w:rsidRDefault="00C50300" w14:paraId="105C2D7C" w14:textId="77777777"/>
    <w:p w:rsidR="00C50300" w:rsidP="00C50300" w:rsidRDefault="00C50300" w14:paraId="3B49BA8D" w14:textId="77777777">
      <w:r>
        <w:t>De omzetting van specifieke uitkeringen zal plaatsvinden via een zorgvuldig proces, waarbij de VNG en het IPO nauw betrokken zijn. De vakministers, beleidsmatig en budgettair verantwoordelijk voor de specifieke uitkering op hun begroting, zijn hierbij aan zet wat betreft het voorbereiden van de omzetting en het borgen dat eventuele bestedingsvoorwaarden daarbij geschrapt worden en er daadwerkelijk meer autono</w:t>
      </w:r>
      <w:r w:rsidR="000B1A8C">
        <w:t xml:space="preserve">mie en </w:t>
      </w:r>
      <w:r>
        <w:t xml:space="preserve">beleidsruimte voor medeoverheden ontstaat. De fondsbeheerders hebben hierbij een toetsende en coördinerende rol. </w:t>
      </w:r>
    </w:p>
    <w:p w:rsidR="00C50300" w:rsidP="00C50300" w:rsidRDefault="00C50300" w14:paraId="16867829" w14:textId="77777777">
      <w:r w:rsidRPr="00B226E3">
        <w:t>In de Miljoenennota 2026 zal het bovenstaande verwerkt worden. De Kamer zal in het voorjaar 2025 geïnformeerd worden over welke specifieke uitkeringen wel en niet omgezet kunnen worden.</w:t>
      </w:r>
      <w:r w:rsidR="008736AD">
        <w:t xml:space="preserve"> </w:t>
      </w:r>
    </w:p>
    <w:p w:rsidR="00C50300" w:rsidP="00C50300" w:rsidRDefault="00C50300" w14:paraId="3FBC7491" w14:textId="77777777"/>
    <w:p w:rsidRPr="00CC6473" w:rsidR="00C50300" w:rsidP="00C50300" w:rsidRDefault="00C50300" w14:paraId="3BD0B6F1" w14:textId="77777777">
      <w:pPr>
        <w:rPr>
          <w:i/>
          <w:iCs/>
        </w:rPr>
      </w:pPr>
      <w:r w:rsidRPr="00CC6473">
        <w:rPr>
          <w:i/>
          <w:iCs/>
        </w:rPr>
        <w:t>Hoofdlijnenakkoord en Regeerprogramma</w:t>
      </w:r>
    </w:p>
    <w:p w:rsidR="00C50300" w:rsidP="00C50300" w:rsidRDefault="00C50300" w14:paraId="51071457" w14:textId="77777777">
      <w:r w:rsidRPr="00CC6473">
        <w:t xml:space="preserve">In de budgettaire bijlage bij het Hoofdlijnenakkoord is op bladzijde 8 de volgende passage opgenomen: ‘Het aantal specifieke uitkeringen is sinds 2018 fors gestegen. Gemeenten en provincies geven aan dat specifieke uitkeringen hen beperkt in autonomie. Dit vanwege de strikte en gedetailleerde eisen die vanuit het Rijk worden gesteld aan de besteding van de gelden uit een specifieke uitkering. Daarnaast kennen deze uitkeringen zware administratieve- en controlelasten. Met deze maatregel worden specifieke uitkeringen overgeheveld naar het Gemeente- of Provinciefonds met een budgetkorting van 10 procent. De </w:t>
      </w:r>
      <w:r w:rsidRPr="00D705D7" w:rsidR="00D705D7">
        <w:t xml:space="preserve">Bundeling Uitkeringen Inkomensvoorzieningen Gemeenten </w:t>
      </w:r>
      <w:r w:rsidR="00D705D7">
        <w:t>(</w:t>
      </w:r>
      <w:r w:rsidRPr="00CC6473">
        <w:t>BUIG</w:t>
      </w:r>
      <w:r w:rsidR="00D705D7">
        <w:t>)</w:t>
      </w:r>
      <w:r w:rsidRPr="00CC6473">
        <w:t xml:space="preserve"> blijft hierbij buiten beschouwing.’</w:t>
      </w:r>
    </w:p>
    <w:p w:rsidRPr="00CC6473" w:rsidR="00C50300" w:rsidP="00C50300" w:rsidRDefault="00C50300" w14:paraId="17A430D0" w14:textId="77777777"/>
    <w:p w:rsidRPr="00CC6473" w:rsidR="00C50300" w:rsidP="00C50300" w:rsidRDefault="00C50300" w14:paraId="10F161EC" w14:textId="77777777">
      <w:r w:rsidRPr="00CC6473">
        <w:t>In het Regeerprogramma is hier verder uitvoering en uitwerking aan gegeven, op blz. 90 en verder: ‘Om de autonomie van gemeenten te vergroten en administratieve- en controlelasten te verminderen, moeten specifieke uitkeringen in 2026 zijn omgezet in fondsuitkeringen. Het voortzetten van bestaande specifieke uitkeringen of het toekennen van nieuwe specifieke uitkeringen, is slechts mogelijk op basis van een kabinetsbesluit. Het uitkeringsstelsel wordt in deze kabinetsperiode gemoderniseerd door wijziging van de Financiële-verhoudingswet. We introduceren de bijzondere fondsuitkering, waarbij op basis van betrouwbare informatie de balans beter bewaakt kan worden en waarbij er ook oog is voor de financiële risicoverdeling tussen Rijk en medeoverheden.’</w:t>
      </w:r>
    </w:p>
    <w:p w:rsidRPr="00CC6473" w:rsidR="00C50300" w:rsidP="00C50300" w:rsidRDefault="00C50300" w14:paraId="174663B8" w14:textId="77777777"/>
    <w:p w:rsidRPr="00CC6473" w:rsidR="00C50300" w:rsidP="00C50300" w:rsidRDefault="00C50300" w14:paraId="026C3A2D" w14:textId="77777777">
      <w:pPr>
        <w:rPr>
          <w:i/>
          <w:iCs/>
        </w:rPr>
      </w:pPr>
      <w:r w:rsidRPr="00CC6473">
        <w:rPr>
          <w:i/>
          <w:iCs/>
        </w:rPr>
        <w:t xml:space="preserve">Procedure voor omzetting </w:t>
      </w:r>
    </w:p>
    <w:p w:rsidR="00C50300" w:rsidP="00C50300" w:rsidRDefault="00C50300" w14:paraId="0D0089E5" w14:textId="77777777">
      <w:r>
        <w:t>Ik ben voornemens om op korte termijn aan d</w:t>
      </w:r>
      <w:r w:rsidRPr="00CC6473">
        <w:t xml:space="preserve">e </w:t>
      </w:r>
      <w:r>
        <w:t>M</w:t>
      </w:r>
      <w:r w:rsidRPr="00CC6473">
        <w:t xml:space="preserve">inisterraad een afwegingskader </w:t>
      </w:r>
      <w:r>
        <w:t xml:space="preserve">ter vaststelling voor te leggen, dat het proces aangeeft waarlangs </w:t>
      </w:r>
      <w:r w:rsidRPr="00CC6473">
        <w:t xml:space="preserve">de omzetting van specifieke uitkeringen </w:t>
      </w:r>
      <w:r>
        <w:t xml:space="preserve">naar uitkeringen uit </w:t>
      </w:r>
      <w:r w:rsidRPr="00CC6473">
        <w:t>het gemeente- en provinciefonds</w:t>
      </w:r>
      <w:r>
        <w:t xml:space="preserve"> zal gaan plaatsvinden</w:t>
      </w:r>
      <w:r w:rsidRPr="00CC6473">
        <w:t xml:space="preserve">. </w:t>
      </w:r>
      <w:r>
        <w:t>Na besluitvorming in de Ministerraad kan ik u hierover nader informeren.</w:t>
      </w:r>
      <w:r w:rsidRPr="00CC6473">
        <w:t xml:space="preserve"> </w:t>
      </w:r>
    </w:p>
    <w:p w:rsidRPr="00EE617C" w:rsidR="00C50300" w:rsidP="00C50300" w:rsidRDefault="00C50300" w14:paraId="68B6DCD9" w14:textId="77777777"/>
    <w:p w:rsidR="00C50300" w:rsidP="00C50300" w:rsidRDefault="00C50300" w14:paraId="4A436CAE" w14:textId="77777777">
      <w:r w:rsidRPr="00CC6473">
        <w:t xml:space="preserve">Op basis van </w:t>
      </w:r>
      <w:r>
        <w:t>eerdere besluitvorming in de</w:t>
      </w:r>
      <w:r w:rsidRPr="00CC6473">
        <w:t xml:space="preserve"> Ministerraad is de </w:t>
      </w:r>
      <w:r>
        <w:t xml:space="preserve">genoemde </w:t>
      </w:r>
      <w:r w:rsidRPr="00CC6473">
        <w:t xml:space="preserve">budgetkorting ten laste gebracht van de departementale begrotingen, naar rato </w:t>
      </w:r>
      <w:r w:rsidRPr="00CC6473">
        <w:lastRenderedPageBreak/>
        <w:t xml:space="preserve">van de uitgaven van de specifieke uitkeringen die nog van kracht zijn in 2026 en daarna. Dit is ook verwerkt in de Miljoennota 2025. </w:t>
      </w:r>
    </w:p>
    <w:p w:rsidRPr="00CC6473" w:rsidR="00C50300" w:rsidP="00C50300" w:rsidRDefault="00C50300" w14:paraId="17AD236F" w14:textId="77777777"/>
    <w:p w:rsidR="00C50300" w:rsidP="00C50300" w:rsidRDefault="00C50300" w14:paraId="68351318" w14:textId="77777777">
      <w:r>
        <w:t>Mijn inzet is, in lijn met het Regeerprogramma, dat o</w:t>
      </w:r>
      <w:r w:rsidRPr="00CC6473">
        <w:t>mzetting van specifieke uitkeringen in fondsuitkeringen de hoofdregel</w:t>
      </w:r>
      <w:r w:rsidRPr="00596814">
        <w:t xml:space="preserve"> </w:t>
      </w:r>
      <w:r w:rsidRPr="00CC6473">
        <w:t xml:space="preserve">is. Dan </w:t>
      </w:r>
      <w:r>
        <w:t xml:space="preserve">kunnen ook daadwerkelijk de voordelen voor medeoverheden behaald worden op het terrein van verlaging van controlelasten en vergroten van bestedingsvrijheid. De wijze waarop </w:t>
      </w:r>
      <w:r w:rsidRPr="00CC6473">
        <w:t>de budgetkorting in de richting van de medeoverheid geëffectueerd word</w:t>
      </w:r>
      <w:r>
        <w:t>t</w:t>
      </w:r>
      <w:r w:rsidRPr="00CC6473">
        <w:t xml:space="preserve">, </w:t>
      </w:r>
      <w:r>
        <w:t>is onderdeel van het afwegingskader</w:t>
      </w:r>
      <w:r w:rsidRPr="00CC6473">
        <w:t xml:space="preserve">. </w:t>
      </w:r>
      <w:r>
        <w:t xml:space="preserve">De Ministerraad kan daarnaast besluiten om een specifieke uitkering niet om te zetten, bijvoorbeeld </w:t>
      </w:r>
      <w:r w:rsidRPr="00CC6473">
        <w:t xml:space="preserve">vanwege een potentiële onrechtmatigheid of vanwege politieke wenselijkheid. </w:t>
      </w:r>
      <w:bookmarkStart w:name="_Hlk177632787" w:id="0"/>
      <w:r w:rsidR="00BE5BE3">
        <w:t>In dat laatste geval blijft de budgetkorting voor het vakdepartement wel gelden.</w:t>
      </w:r>
    </w:p>
    <w:bookmarkEnd w:id="0"/>
    <w:p w:rsidRPr="00CC6473" w:rsidR="00C50300" w:rsidP="00C50300" w:rsidRDefault="00C50300" w14:paraId="572A5B48" w14:textId="77777777"/>
    <w:p w:rsidR="00C50300" w:rsidP="00C50300" w:rsidRDefault="00C50300" w14:paraId="0EFCB1A6" w14:textId="77777777">
      <w:r w:rsidRPr="00CC6473">
        <w:t xml:space="preserve">Desgewenst kan de Kamer in de vorm van een technische briefing nader geïnformeerd worden over de </w:t>
      </w:r>
      <w:r>
        <w:t xml:space="preserve">(wijze van) </w:t>
      </w:r>
      <w:r w:rsidRPr="00CC6473">
        <w:t>omzetting</w:t>
      </w:r>
      <w:r>
        <w:t>, eventueel in combinatie met nadere informatie over de beoogde wijziging van de Financiële-verhoudingswet</w:t>
      </w:r>
      <w:r w:rsidRPr="00CC6473">
        <w:t>.</w:t>
      </w:r>
    </w:p>
    <w:p w:rsidR="00C50300" w:rsidP="00C50300" w:rsidRDefault="00C50300" w14:paraId="0F37F4A4" w14:textId="77777777">
      <w:r>
        <w:t>In de bijlage bij deze brief is een overzicht opgenomen van de om te zetten specifieke uitkeringen, voor zover bekend.</w:t>
      </w:r>
    </w:p>
    <w:p w:rsidRPr="00CC6473" w:rsidR="00C50300" w:rsidP="00C50300" w:rsidRDefault="00C50300" w14:paraId="70B0E80E" w14:textId="77777777"/>
    <w:p w:rsidRPr="00CC6473" w:rsidR="00C50300" w:rsidP="00C50300" w:rsidRDefault="00C50300" w14:paraId="4DC34EEE" w14:textId="77777777">
      <w:pPr>
        <w:rPr>
          <w:i/>
          <w:iCs/>
        </w:rPr>
      </w:pPr>
      <w:r w:rsidRPr="00CC6473">
        <w:rPr>
          <w:i/>
          <w:iCs/>
        </w:rPr>
        <w:t>Herziening Financiële-verhoudingswet</w:t>
      </w:r>
    </w:p>
    <w:p w:rsidR="00C50300" w:rsidP="00C50300" w:rsidRDefault="00C50300" w14:paraId="58B7E563" w14:textId="77777777">
      <w:r w:rsidRPr="00CC6473">
        <w:t>Een belangrijk vertrekpunt bij de herziening van de Financiële verhoudingswet</w:t>
      </w:r>
      <w:r w:rsidRPr="00CC6473">
        <w:rPr>
          <w:vertAlign w:val="superscript"/>
        </w:rPr>
        <w:footnoteReference w:id="5"/>
      </w:r>
      <w:r w:rsidRPr="00CC6473">
        <w:rPr>
          <w:vertAlign w:val="superscript"/>
        </w:rPr>
        <w:t xml:space="preserve"> </w:t>
      </w:r>
      <w:r w:rsidRPr="00CC6473">
        <w:t>is dat het uitkeringsstelsel de interbestuurlijke samenwerking niet moet belemmeren, maar ondersteunen</w:t>
      </w:r>
      <w:r w:rsidR="00D705D7">
        <w:t xml:space="preserve"> </w:t>
      </w:r>
      <w:r w:rsidRPr="00CC6473">
        <w:t xml:space="preserve">en de bekostiging plaats moet vinden tegen zo laag mogelijk administratieve kosten. </w:t>
      </w:r>
    </w:p>
    <w:p w:rsidRPr="00CC6473" w:rsidR="00C50300" w:rsidP="00C50300" w:rsidRDefault="00C50300" w14:paraId="21E7FA82" w14:textId="77777777"/>
    <w:p w:rsidRPr="00CC6473" w:rsidR="00C50300" w:rsidP="00C50300" w:rsidRDefault="00C50300" w14:paraId="5B820426" w14:textId="77777777">
      <w:r w:rsidRPr="00CC6473">
        <w:t>Er zijn twee sporen waarlangs het kabinet, samen met VNG en IPO, stappen wil zetten in betere vormgeving van het uitkeringsstelsel:</w:t>
      </w:r>
    </w:p>
    <w:p w:rsidRPr="00CC6473" w:rsidR="00C50300" w:rsidP="00C50300" w:rsidRDefault="00C50300" w14:paraId="25E6051E" w14:textId="77777777">
      <w:pPr>
        <w:numPr>
          <w:ilvl w:val="0"/>
          <w:numId w:val="7"/>
        </w:numPr>
        <w:autoSpaceDN/>
        <w:spacing w:after="160" w:line="259" w:lineRule="auto"/>
        <w:textAlignment w:val="auto"/>
      </w:pPr>
      <w:r w:rsidRPr="00CC6473">
        <w:t>De decentralisatie-uitkering wordt aangepast aan de eisen van de tijd en omgevormd tot de ‘bijzondere fondsuitkering’ (BFU). De BFU moet een volwaardig alternatief vormen voor de specifieke uitkering, zonder dat deze daarvoor geheel in de plaats kan komen.</w:t>
      </w:r>
    </w:p>
    <w:p w:rsidRPr="00CC6473" w:rsidR="00C50300" w:rsidP="00C50300" w:rsidRDefault="00C50300" w14:paraId="045F052D" w14:textId="77777777">
      <w:pPr>
        <w:numPr>
          <w:ilvl w:val="0"/>
          <w:numId w:val="7"/>
        </w:numPr>
        <w:autoSpaceDN/>
        <w:spacing w:after="160" w:line="259" w:lineRule="auto"/>
        <w:textAlignment w:val="auto"/>
      </w:pPr>
      <w:r w:rsidRPr="00CC6473">
        <w:t xml:space="preserve">De specifieke uitkering moet een minder belastende uitkeringsvorm worden, voor zowel medeoverheden als het Rijk. </w:t>
      </w:r>
    </w:p>
    <w:p w:rsidR="00C50300" w:rsidP="00C50300" w:rsidRDefault="00C50300" w14:paraId="4C564871" w14:textId="77777777">
      <w:r w:rsidRPr="00CC6473">
        <w:t>Het voornemen is om in 2024 het wetsontwerp voor de herziening van de Financiële-verhoudingswet te consulteren</w:t>
      </w:r>
      <w:r>
        <w:t>, met een beoogde inwerkingtreding in 2026</w:t>
      </w:r>
      <w:r w:rsidRPr="00CC6473">
        <w:t>.</w:t>
      </w:r>
    </w:p>
    <w:p w:rsidRPr="00CC6473" w:rsidR="00C50300" w:rsidP="00C50300" w:rsidRDefault="00C50300" w14:paraId="252600A0" w14:textId="77777777"/>
    <w:p w:rsidRPr="00CC6473" w:rsidR="00C50300" w:rsidP="00C50300" w:rsidRDefault="00C50300" w14:paraId="3DF2D158" w14:textId="77777777">
      <w:pPr>
        <w:rPr>
          <w:i/>
          <w:iCs/>
        </w:rPr>
      </w:pPr>
      <w:r w:rsidRPr="00CC6473">
        <w:rPr>
          <w:i/>
          <w:iCs/>
        </w:rPr>
        <w:t>BFU</w:t>
      </w:r>
    </w:p>
    <w:p w:rsidR="00C50300" w:rsidP="00C50300" w:rsidRDefault="00C50300" w14:paraId="2755E0EE" w14:textId="77777777">
      <w:r w:rsidRPr="00CC6473">
        <w:t>De voorgestelde BFU is het meest geëigende instrument voor onder meer de vormgeving van de bekostiging van majeure medebewindstaken, waarbij ook rekening gehouden kan worden met de risicoverdeling tussen Rijk en medeoverheden. Daarnaast biedt de BFU ook de mogelijkheid om een (niet-vrijblijvend) informatiearrangement af te spreken, waarbij de sturing niet ziet op de rechtmatigheid van de aanwending van de middelen</w:t>
      </w:r>
      <w:r>
        <w:t>,</w:t>
      </w:r>
      <w:r w:rsidRPr="00CC6473">
        <w:t xml:space="preserve"> maar op de prestaties of </w:t>
      </w:r>
      <w:r w:rsidRPr="00CC6473">
        <w:lastRenderedPageBreak/>
        <w:t xml:space="preserve">de beleidseffecten. Vooruitlopend op de komst van de BFU zal de omzetting van specifieke uitkeringen met name geschieden door deze om te vormen in decentralisatie uitkeringen. </w:t>
      </w:r>
    </w:p>
    <w:p w:rsidRPr="00CC6473" w:rsidR="00C50300" w:rsidP="00C50300" w:rsidRDefault="00C50300" w14:paraId="24A2DAA3" w14:textId="77777777"/>
    <w:p w:rsidRPr="00CC6473" w:rsidR="00C50300" w:rsidP="00C50300" w:rsidRDefault="00C50300" w14:paraId="16AA6055" w14:textId="77777777">
      <w:pPr>
        <w:rPr>
          <w:i/>
          <w:iCs/>
        </w:rPr>
      </w:pPr>
      <w:r w:rsidRPr="00CC6473">
        <w:rPr>
          <w:i/>
          <w:iCs/>
        </w:rPr>
        <w:t>Specifieke uitkering</w:t>
      </w:r>
    </w:p>
    <w:p w:rsidRPr="00CC6473" w:rsidR="00C50300" w:rsidP="00C50300" w:rsidRDefault="00C50300" w14:paraId="213E4A70" w14:textId="77777777">
      <w:r w:rsidRPr="00CC6473">
        <w:t>Voor de specifieke uitkeringen worden voorstellen gedaan in het conceptwetsvoorstel om deze minder belastend te maken voor zowel de verstrekker als de ontvanger. Onder andere door uniformering</w:t>
      </w:r>
      <w:r>
        <w:t xml:space="preserve">, </w:t>
      </w:r>
      <w:r w:rsidRPr="00CC6473">
        <w:t>standaardisering</w:t>
      </w:r>
      <w:r>
        <w:t xml:space="preserve"> en</w:t>
      </w:r>
      <w:r w:rsidRPr="00CC6473">
        <w:t xml:space="preserve"> ook door lichtere verantwoordingsregimes. </w:t>
      </w:r>
      <w:r>
        <w:t xml:space="preserve">Ik kijk hierbij ook naar de mogelijkheid </w:t>
      </w:r>
      <w:r w:rsidRPr="00CC6473">
        <w:t xml:space="preserve">dat de toekenning van een specifieke uitkering beneden een nog </w:t>
      </w:r>
      <w:r>
        <w:t xml:space="preserve">nader </w:t>
      </w:r>
      <w:r w:rsidRPr="00CC6473">
        <w:t>te bepalen drempelbedrag niet</w:t>
      </w:r>
      <w:r w:rsidR="000B1A8C">
        <w:t xml:space="preserve"> langer</w:t>
      </w:r>
      <w:r w:rsidRPr="00CC6473">
        <w:t xml:space="preserve"> mogelijk is. Dit om te voorkomen dat in de toekomst weer grote aantallen specifieke uitkeringen met een gering bedrag verstrekt worden, waarbij de lusten voor een medeoverheid niet opwegen tegen de lasten.</w:t>
      </w:r>
    </w:p>
    <w:p w:rsidRPr="00EE617C" w:rsidR="00C50300" w:rsidP="00C50300" w:rsidRDefault="00C50300" w14:paraId="6DBA6EF2" w14:textId="77777777">
      <w:pPr>
        <w:pStyle w:val="Kop1"/>
      </w:pPr>
      <w:r w:rsidRPr="00333091">
        <w:t>Inzet reserves</w:t>
      </w:r>
    </w:p>
    <w:p w:rsidR="00C50300" w:rsidP="00C50300" w:rsidRDefault="00C50300" w14:paraId="243F25F6" w14:textId="77777777">
      <w:r w:rsidRPr="00E8555D">
        <w:t>Diverse leden van uw commissie hebben gevraagd naar de mogelijkheden van gemeenten om reserves in te zetten als dekkingsmiddel, aangezien de begrotingsregels hierbij soms als knellend worden ervaren. Daarnaast is aangegeven dat het als lastig ervaren kan worden om reserves, gezien het incidentele en eindige karakter hiervan, aan te wenden voor de dekking van structurele lasten</w:t>
      </w:r>
      <w:r w:rsidR="009749DD">
        <w:t>.</w:t>
      </w:r>
      <w:r w:rsidRPr="00E8555D">
        <w:t xml:space="preserve"> </w:t>
      </w:r>
    </w:p>
    <w:p w:rsidRPr="00E8555D" w:rsidR="00C50300" w:rsidP="00C50300" w:rsidRDefault="00C50300" w14:paraId="25A02583" w14:textId="77777777"/>
    <w:p w:rsidR="00C50300" w:rsidP="00C50300" w:rsidRDefault="00C50300" w14:paraId="0BCBCF96" w14:textId="77777777">
      <w:r w:rsidRPr="00E8555D">
        <w:t>Mijn ambtsvoorganger heeft vorig jaar erop gewezen dat een ruimere structurele inzet van reserves mogelijk is. Dit kan bijdragen aan de wendbaarheid van de financiën van medeoverheden en is mogelijk omdat de reservepositie van een groot deel van de gemeenten de afgelopen vier jaar is verbeterd.</w:t>
      </w:r>
    </w:p>
    <w:p w:rsidRPr="00E8555D" w:rsidR="00C50300" w:rsidP="00C50300" w:rsidRDefault="00C50300" w14:paraId="24E75B6D" w14:textId="77777777"/>
    <w:p w:rsidR="00C50300" w:rsidP="00C50300" w:rsidRDefault="00C50300" w14:paraId="5AAB2556" w14:textId="77777777">
      <w:r w:rsidRPr="00E8555D">
        <w:t>De verbetering van de reservepositie van gemeenten blijkt uit de jaarrekeningen van de gemeenten gezamenlijk, die in de afgelopen jaren een overschot lieten zien (bandbreedte van € 1,7- € 3,7 miljard per jaar). Daarom is in nauw overleg met de fondsbeheerders, VNG, IPO en financieel toezichthouders de notitie ‘incidenteel-structureel’</w:t>
      </w:r>
      <w:r w:rsidRPr="00E8555D">
        <w:rPr>
          <w:vertAlign w:val="superscript"/>
        </w:rPr>
        <w:footnoteReference w:id="6"/>
      </w:r>
      <w:r w:rsidRPr="00E8555D">
        <w:t xml:space="preserve"> tot stand gebracht en vastgesteld in het Bestuurlijk Overleg Financiële verhoudingen van november 2023. In de notitie zijn allereerst mogelijke onduidelijkheden weggenomen, door middel van toelichting </w:t>
      </w:r>
      <w:r w:rsidR="009749DD">
        <w:t>op</w:t>
      </w:r>
      <w:r w:rsidRPr="00E8555D">
        <w:t xml:space="preserve"> de reeds bestaande mogelijkheden</w:t>
      </w:r>
      <w:r w:rsidR="009749DD">
        <w:t>,</w:t>
      </w:r>
      <w:r w:rsidRPr="00E8555D">
        <w:t xml:space="preserve"> die medeoverheden hebben om hun reserves op een degelijke en solide wijze als dekkingsmiddel in te zetten. </w:t>
      </w:r>
    </w:p>
    <w:p w:rsidRPr="00E8555D" w:rsidR="00C50300" w:rsidP="00C50300" w:rsidRDefault="00C50300" w14:paraId="72C42BAE" w14:textId="77777777"/>
    <w:p w:rsidR="00C50300" w:rsidP="00C50300" w:rsidRDefault="00C50300" w14:paraId="6ACCB170" w14:textId="77777777">
      <w:r w:rsidRPr="00E8555D">
        <w:t xml:space="preserve">Tevens zijn in deze notitie de mogelijkheden verruimd om bij een omvangrijke reservepositie onder voorwaarden structurele lasten te dekken met het vrije deel van de algemene reserve. De financieel toezichthouders zullen beoordelen of de inzet van de reserve aan de voorwaarden voldoet. Medeoverheden kunnen van deze nieuwe mogelijkheid gebruik maken met ingang van de begrotingen 2025, die nu worden voorbereid. Het is op dit moment dus nog niet duidelijk hoeveel gemeenten van deze nieuwe mogelijkheid gebruik hebben gemaakt. In de loop van 2025 zal hier meer duidelijkheid over komen. Het inzetten van reserves als structureel dekkingsmiddel kan overigens niet oneindig doorgaan, maar biedt </w:t>
      </w:r>
      <w:r w:rsidRPr="00E8555D">
        <w:lastRenderedPageBreak/>
        <w:t>medeoverheden die over een goede financiële basis beschikken wel de nodige wendbaarheid.</w:t>
      </w:r>
    </w:p>
    <w:p w:rsidRPr="00E8555D" w:rsidR="00C50300" w:rsidP="00C50300" w:rsidRDefault="00C50300" w14:paraId="49C00003" w14:textId="77777777"/>
    <w:p w:rsidR="00C50300" w:rsidP="00C50300" w:rsidRDefault="00C50300" w14:paraId="65CD4356" w14:textId="77777777">
      <w:r w:rsidRPr="00E8555D">
        <w:t xml:space="preserve">In het commissiedebat is mij verder gevraagd </w:t>
      </w:r>
      <w:r w:rsidR="009749DD">
        <w:t xml:space="preserve">om </w:t>
      </w:r>
      <w:r w:rsidRPr="00E8555D">
        <w:t>te kijken naar de voorwaarde dat het weerstandsvermogen 1 of meer moet zijn. Dit zou betekenen dat een groot deel van de reserves gebruikt moet worden om de risico’s geheel af te dekken.</w:t>
      </w:r>
      <w:r w:rsidR="009749DD">
        <w:t xml:space="preserve"> </w:t>
      </w:r>
      <w:r w:rsidRPr="00E8555D">
        <w:t xml:space="preserve">Medeoverheden hanteren hierbij echter veelal een systematiek waarbij niet de volledige omvang van de geïnventariseerde risico’s wordt betrokken, maar de ingeschatte kans dat een risico van een bepaalde omvang zich voordoet. De omvang van ieder risico wordt dan ook mede bepaald door de ingeschatte kans dat het risico zich voordoet. Ook wordt rekening gehouden met de verwachting dat niet alle risico’s zich tegelijk voordoen. Ik zie hierin dan ook geen aanleiding </w:t>
      </w:r>
      <w:r w:rsidR="009749DD">
        <w:t xml:space="preserve">om </w:t>
      </w:r>
      <w:r w:rsidRPr="00E8555D">
        <w:t>nadere richtlijnen te geven over de aan te houden weerstandscapaciteit.</w:t>
      </w:r>
    </w:p>
    <w:p w:rsidRPr="00E8555D" w:rsidR="00C50300" w:rsidP="00C50300" w:rsidRDefault="00C50300" w14:paraId="0E9D28B1" w14:textId="77777777"/>
    <w:p w:rsidR="00C50300" w:rsidP="00C50300" w:rsidRDefault="00C50300" w14:paraId="3E2EB7BD" w14:textId="77777777">
      <w:r w:rsidRPr="00E8555D">
        <w:t>Ik merk nog op dat ik wil bezien of bij de financiële beoordeling van gemeenten de huidige norm van structureel en reëel evenwicht aangevuld kan worden. Te denken daarbij valt aan het meer meewegen van de vermogenspositie ten aanzien van de risico’s, de wendbaarheid en weerbaarheid van een gemeente, een breder risicomodel en bepaalde financiële kengetallen. Op het ogenblik vinden hierover gesprek</w:t>
      </w:r>
      <w:r w:rsidR="00903E1E">
        <w:t>k</w:t>
      </w:r>
      <w:r w:rsidRPr="00E8555D">
        <w:t>en plaats met de provinciale toezichthouders. Naar verwachting kan ik uw Kamer hierover nader informeren in het tweede kwartaal van 2025.</w:t>
      </w:r>
    </w:p>
    <w:p w:rsidR="00C50300" w:rsidP="00C50300" w:rsidRDefault="00C50300" w14:paraId="214B924C" w14:textId="77777777"/>
    <w:p w:rsidR="005F3FAE" w:rsidP="00C50300" w:rsidRDefault="005F3FAE" w14:paraId="03A23313" w14:textId="77777777"/>
    <w:p w:rsidR="00C50300" w:rsidP="00C50300" w:rsidRDefault="00C50300" w14:paraId="1BB43884" w14:textId="77777777">
      <w:r>
        <w:t>De minister van Binnenlandse Zaken en Koninkrijksrelaties,</w:t>
      </w:r>
      <w:r>
        <w:br/>
      </w:r>
      <w:r>
        <w:br/>
      </w:r>
      <w:r>
        <w:br/>
      </w:r>
      <w:r>
        <w:br/>
      </w:r>
      <w:r>
        <w:br/>
      </w:r>
      <w:r>
        <w:br/>
        <w:t>J.J.M. Uitermark</w:t>
      </w:r>
    </w:p>
    <w:p w:rsidRPr="00E8555D" w:rsidR="00C50300" w:rsidP="00C50300" w:rsidRDefault="00C50300" w14:paraId="6BE8E3C3" w14:textId="77777777"/>
    <w:p w:rsidR="00C50300" w:rsidP="00C50300" w:rsidRDefault="00C50300" w14:paraId="6076A3F1" w14:textId="77777777">
      <w:r>
        <w:br w:type="page"/>
      </w:r>
    </w:p>
    <w:p w:rsidR="00C50300" w:rsidP="00C50300" w:rsidRDefault="00C50300" w14:paraId="427C2C97" w14:textId="77777777">
      <w:pPr>
        <w:pStyle w:val="Kop1"/>
      </w:pPr>
      <w:r>
        <w:lastRenderedPageBreak/>
        <w:t>Bijlage</w:t>
      </w:r>
      <w:r w:rsidR="009749DD">
        <w:t>:</w:t>
      </w:r>
      <w:r>
        <w:t xml:space="preserve"> om te zetten specifieke uitkeringen</w:t>
      </w:r>
    </w:p>
    <w:p w:rsidR="00C50300" w:rsidP="00C50300" w:rsidRDefault="00C50300" w14:paraId="30C7871B" w14:textId="77777777"/>
    <w:p w:rsidR="00C50300" w:rsidP="00C50300" w:rsidRDefault="00C50300" w14:paraId="7196E003" w14:textId="77777777">
      <w:r w:rsidRPr="00EE617C">
        <w:t>Hieronder is de lijst weergegeven van de bekende specifieke uitkeringen met betalingen 2026 en verder die mee worden genomen in het proces van omzetting specifieke uitkeringen. In het hoofdlijnenakkoord was de BUIG reeds uitgezonderd. In aanvulling op de BUIG heeft het kabinet ook specifieke uitkeringen uitgezonderd die verstrekt worden in het kader van: de toeslagenaffaire, Oekraïne, herstel van de schade in verband met de afhandeling van de gaswinning in Groningen en Corona.</w:t>
      </w:r>
      <w:r>
        <w:t xml:space="preserve"> </w:t>
      </w:r>
      <w:r w:rsidRPr="00EE617C">
        <w:t xml:space="preserve">De namen van de departementen zijn niet aangepast naar de nieuwe vakdepartementen. </w:t>
      </w:r>
    </w:p>
    <w:p w:rsidRPr="00EE617C" w:rsidR="00C50300" w:rsidP="00C50300" w:rsidRDefault="00C50300" w14:paraId="441CBEB0" w14:textId="77777777"/>
    <w:tbl>
      <w:tblPr>
        <w:tblStyle w:val="Tabelraster"/>
        <w:tblW w:w="0" w:type="auto"/>
        <w:tblInd w:w="0" w:type="dxa"/>
        <w:tblLook w:val="04A0" w:firstRow="1" w:lastRow="0" w:firstColumn="1" w:lastColumn="0" w:noHBand="0" w:noVBand="1"/>
      </w:tblPr>
      <w:tblGrid>
        <w:gridCol w:w="852"/>
        <w:gridCol w:w="6679"/>
      </w:tblGrid>
      <w:tr w:rsidRPr="00091019" w:rsidR="00C50300" w:rsidTr="00C50300" w14:paraId="4FA6CC4E" w14:textId="77777777">
        <w:trPr>
          <w:trHeight w:val="20"/>
        </w:trPr>
        <w:tc>
          <w:tcPr>
            <w:tcW w:w="1008" w:type="dxa"/>
            <w:noWrap/>
            <w:hideMark/>
          </w:tcPr>
          <w:p w:rsidRPr="00C50300" w:rsidR="00C50300" w:rsidP="009F2F83" w:rsidRDefault="00C50300" w14:paraId="1DCC397C" w14:textId="77777777">
            <w:pPr>
              <w:spacing w:after="160" w:line="259" w:lineRule="auto"/>
              <w:rPr>
                <w:b/>
                <w:bCs/>
                <w:sz w:val="16"/>
                <w:szCs w:val="16"/>
              </w:rPr>
            </w:pPr>
            <w:r w:rsidRPr="00C50300">
              <w:rPr>
                <w:b/>
                <w:bCs/>
                <w:sz w:val="16"/>
                <w:szCs w:val="16"/>
              </w:rPr>
              <w:t>Dept.</w:t>
            </w:r>
          </w:p>
        </w:tc>
        <w:tc>
          <w:tcPr>
            <w:tcW w:w="7918" w:type="dxa"/>
            <w:hideMark/>
          </w:tcPr>
          <w:p w:rsidRPr="00C50300" w:rsidR="00C50300" w:rsidP="009F2F83" w:rsidRDefault="00C50300" w14:paraId="3EC611D4" w14:textId="77777777">
            <w:pPr>
              <w:spacing w:after="160" w:line="259" w:lineRule="auto"/>
              <w:rPr>
                <w:b/>
                <w:bCs/>
                <w:sz w:val="16"/>
                <w:szCs w:val="16"/>
              </w:rPr>
            </w:pPr>
            <w:r w:rsidRPr="00C50300">
              <w:rPr>
                <w:b/>
                <w:bCs/>
                <w:sz w:val="16"/>
                <w:szCs w:val="16"/>
              </w:rPr>
              <w:t>Naam van de specifieke uitkering</w:t>
            </w:r>
          </w:p>
        </w:tc>
      </w:tr>
      <w:tr w:rsidRPr="00091019" w:rsidR="00C50300" w:rsidTr="00C50300" w14:paraId="10FD3019" w14:textId="77777777">
        <w:trPr>
          <w:trHeight w:val="228"/>
        </w:trPr>
        <w:tc>
          <w:tcPr>
            <w:tcW w:w="1008" w:type="dxa"/>
            <w:noWrap/>
            <w:hideMark/>
          </w:tcPr>
          <w:p w:rsidRPr="00C50300" w:rsidR="00C50300" w:rsidP="009F2F83" w:rsidRDefault="00C50300" w14:paraId="4CF8A174" w14:textId="77777777">
            <w:pPr>
              <w:spacing w:after="160" w:line="259" w:lineRule="auto"/>
              <w:rPr>
                <w:sz w:val="16"/>
                <w:szCs w:val="16"/>
              </w:rPr>
            </w:pPr>
            <w:r w:rsidRPr="00C50300">
              <w:rPr>
                <w:sz w:val="16"/>
                <w:szCs w:val="16"/>
              </w:rPr>
              <w:t>BZK</w:t>
            </w:r>
          </w:p>
        </w:tc>
        <w:tc>
          <w:tcPr>
            <w:tcW w:w="7918" w:type="dxa"/>
            <w:noWrap/>
            <w:hideMark/>
          </w:tcPr>
          <w:p w:rsidRPr="00C50300" w:rsidR="00C50300" w:rsidP="009F2F83" w:rsidRDefault="00C50300" w14:paraId="7956C62A" w14:textId="77777777">
            <w:pPr>
              <w:spacing w:after="160" w:line="259" w:lineRule="auto"/>
              <w:rPr>
                <w:sz w:val="16"/>
                <w:szCs w:val="16"/>
              </w:rPr>
            </w:pPr>
            <w:r w:rsidRPr="00C50300">
              <w:rPr>
                <w:sz w:val="16"/>
                <w:szCs w:val="16"/>
              </w:rPr>
              <w:t>Groeiopgave Almere</w:t>
            </w:r>
          </w:p>
        </w:tc>
      </w:tr>
      <w:tr w:rsidRPr="00091019" w:rsidR="00C50300" w:rsidTr="00C50300" w14:paraId="248F3558" w14:textId="77777777">
        <w:trPr>
          <w:trHeight w:val="20"/>
        </w:trPr>
        <w:tc>
          <w:tcPr>
            <w:tcW w:w="1008" w:type="dxa"/>
            <w:noWrap/>
            <w:hideMark/>
          </w:tcPr>
          <w:p w:rsidRPr="00C50300" w:rsidR="00C50300" w:rsidP="009F2F83" w:rsidRDefault="00C50300" w14:paraId="5C2AE5DA" w14:textId="77777777">
            <w:pPr>
              <w:spacing w:after="160" w:line="259" w:lineRule="auto"/>
              <w:rPr>
                <w:sz w:val="16"/>
                <w:szCs w:val="16"/>
              </w:rPr>
            </w:pPr>
            <w:r w:rsidRPr="00C50300">
              <w:rPr>
                <w:sz w:val="16"/>
                <w:szCs w:val="16"/>
              </w:rPr>
              <w:t>BZK</w:t>
            </w:r>
          </w:p>
        </w:tc>
        <w:tc>
          <w:tcPr>
            <w:tcW w:w="7918" w:type="dxa"/>
            <w:noWrap/>
            <w:hideMark/>
          </w:tcPr>
          <w:p w:rsidRPr="00C50300" w:rsidR="00C50300" w:rsidP="009F2F83" w:rsidRDefault="00C50300" w14:paraId="74C0D3EE" w14:textId="77777777">
            <w:pPr>
              <w:spacing w:after="160" w:line="259" w:lineRule="auto"/>
              <w:rPr>
                <w:sz w:val="16"/>
                <w:szCs w:val="16"/>
              </w:rPr>
            </w:pPr>
            <w:r w:rsidRPr="00C50300">
              <w:rPr>
                <w:sz w:val="16"/>
                <w:szCs w:val="16"/>
              </w:rPr>
              <w:t xml:space="preserve">Regio Deals </w:t>
            </w:r>
          </w:p>
        </w:tc>
      </w:tr>
      <w:tr w:rsidRPr="00091019" w:rsidR="00C50300" w:rsidTr="00C50300" w14:paraId="5B7CA12A" w14:textId="77777777">
        <w:trPr>
          <w:trHeight w:val="20"/>
        </w:trPr>
        <w:tc>
          <w:tcPr>
            <w:tcW w:w="1008" w:type="dxa"/>
            <w:noWrap/>
            <w:hideMark/>
          </w:tcPr>
          <w:p w:rsidRPr="00C50300" w:rsidR="00C50300" w:rsidP="009F2F83" w:rsidRDefault="00C50300" w14:paraId="24FE2964" w14:textId="77777777">
            <w:pPr>
              <w:spacing w:after="160" w:line="259" w:lineRule="auto"/>
              <w:rPr>
                <w:sz w:val="16"/>
                <w:szCs w:val="16"/>
              </w:rPr>
            </w:pPr>
            <w:r w:rsidRPr="00C50300">
              <w:rPr>
                <w:sz w:val="16"/>
                <w:szCs w:val="16"/>
              </w:rPr>
              <w:t>BZK</w:t>
            </w:r>
          </w:p>
        </w:tc>
        <w:tc>
          <w:tcPr>
            <w:tcW w:w="7918" w:type="dxa"/>
            <w:noWrap/>
            <w:hideMark/>
          </w:tcPr>
          <w:p w:rsidRPr="00C50300" w:rsidR="00C50300" w:rsidP="009F2F83" w:rsidRDefault="00C50300" w14:paraId="4586B28D" w14:textId="77777777">
            <w:pPr>
              <w:spacing w:after="160" w:line="259" w:lineRule="auto"/>
              <w:rPr>
                <w:sz w:val="16"/>
                <w:szCs w:val="16"/>
              </w:rPr>
            </w:pPr>
            <w:r w:rsidRPr="00C50300">
              <w:rPr>
                <w:sz w:val="16"/>
                <w:szCs w:val="16"/>
              </w:rPr>
              <w:t>Volkshuisvestingsfonds</w:t>
            </w:r>
          </w:p>
        </w:tc>
      </w:tr>
      <w:tr w:rsidRPr="00091019" w:rsidR="00C50300" w:rsidTr="00C50300" w14:paraId="2140AA5F" w14:textId="77777777">
        <w:trPr>
          <w:trHeight w:val="20"/>
        </w:trPr>
        <w:tc>
          <w:tcPr>
            <w:tcW w:w="1008" w:type="dxa"/>
            <w:noWrap/>
            <w:hideMark/>
          </w:tcPr>
          <w:p w:rsidRPr="00C50300" w:rsidR="00C50300" w:rsidP="009F2F83" w:rsidRDefault="00C50300" w14:paraId="573FAF35" w14:textId="77777777">
            <w:pPr>
              <w:spacing w:after="160" w:line="259" w:lineRule="auto"/>
              <w:rPr>
                <w:sz w:val="16"/>
                <w:szCs w:val="16"/>
              </w:rPr>
            </w:pPr>
            <w:r w:rsidRPr="00C50300">
              <w:rPr>
                <w:sz w:val="16"/>
                <w:szCs w:val="16"/>
              </w:rPr>
              <w:t>BZK</w:t>
            </w:r>
          </w:p>
        </w:tc>
        <w:tc>
          <w:tcPr>
            <w:tcW w:w="7918" w:type="dxa"/>
            <w:noWrap/>
            <w:hideMark/>
          </w:tcPr>
          <w:p w:rsidRPr="00C50300" w:rsidR="00C50300" w:rsidP="009F2F83" w:rsidRDefault="00C50300" w14:paraId="4131741F" w14:textId="77777777">
            <w:pPr>
              <w:spacing w:after="160" w:line="259" w:lineRule="auto"/>
              <w:rPr>
                <w:sz w:val="16"/>
                <w:szCs w:val="16"/>
              </w:rPr>
            </w:pPr>
            <w:r w:rsidRPr="00C50300">
              <w:rPr>
                <w:sz w:val="16"/>
                <w:szCs w:val="16"/>
              </w:rPr>
              <w:t>Versnelling huisvesting/ stimuleringsregeling flex</w:t>
            </w:r>
          </w:p>
        </w:tc>
      </w:tr>
      <w:tr w:rsidRPr="00091019" w:rsidR="00C50300" w:rsidTr="00C50300" w14:paraId="62351EC6" w14:textId="77777777">
        <w:trPr>
          <w:trHeight w:val="20"/>
        </w:trPr>
        <w:tc>
          <w:tcPr>
            <w:tcW w:w="1008" w:type="dxa"/>
            <w:noWrap/>
            <w:hideMark/>
          </w:tcPr>
          <w:p w:rsidRPr="00C50300" w:rsidR="00C50300" w:rsidP="009F2F83" w:rsidRDefault="00C50300" w14:paraId="48D4C193" w14:textId="77777777">
            <w:pPr>
              <w:spacing w:after="160" w:line="259" w:lineRule="auto"/>
              <w:rPr>
                <w:sz w:val="16"/>
                <w:szCs w:val="16"/>
              </w:rPr>
            </w:pPr>
            <w:r w:rsidRPr="00C50300">
              <w:rPr>
                <w:sz w:val="16"/>
                <w:szCs w:val="16"/>
              </w:rPr>
              <w:t>BZK</w:t>
            </w:r>
          </w:p>
        </w:tc>
        <w:tc>
          <w:tcPr>
            <w:tcW w:w="7918" w:type="dxa"/>
            <w:noWrap/>
            <w:hideMark/>
          </w:tcPr>
          <w:p w:rsidRPr="00C50300" w:rsidR="00C50300" w:rsidP="009F2F83" w:rsidRDefault="00C50300" w14:paraId="2512EDAF" w14:textId="77777777">
            <w:pPr>
              <w:spacing w:after="160" w:line="259" w:lineRule="auto"/>
              <w:rPr>
                <w:sz w:val="16"/>
                <w:szCs w:val="16"/>
              </w:rPr>
            </w:pPr>
            <w:r w:rsidRPr="00C50300">
              <w:rPr>
                <w:sz w:val="16"/>
                <w:szCs w:val="16"/>
              </w:rPr>
              <w:t>Informatiepunten digitale overheid</w:t>
            </w:r>
          </w:p>
        </w:tc>
      </w:tr>
      <w:tr w:rsidRPr="00091019" w:rsidR="00C50300" w:rsidTr="00C50300" w14:paraId="0706E4C5" w14:textId="77777777">
        <w:trPr>
          <w:trHeight w:val="20"/>
        </w:trPr>
        <w:tc>
          <w:tcPr>
            <w:tcW w:w="1008" w:type="dxa"/>
            <w:noWrap/>
            <w:hideMark/>
          </w:tcPr>
          <w:p w:rsidRPr="00C50300" w:rsidR="00C50300" w:rsidP="009F2F83" w:rsidRDefault="00C50300" w14:paraId="2AEA87B8" w14:textId="77777777">
            <w:pPr>
              <w:spacing w:after="160" w:line="259" w:lineRule="auto"/>
              <w:rPr>
                <w:sz w:val="16"/>
                <w:szCs w:val="16"/>
              </w:rPr>
            </w:pPr>
            <w:r w:rsidRPr="00C50300">
              <w:rPr>
                <w:sz w:val="16"/>
                <w:szCs w:val="16"/>
              </w:rPr>
              <w:t>BZK</w:t>
            </w:r>
          </w:p>
        </w:tc>
        <w:tc>
          <w:tcPr>
            <w:tcW w:w="7918" w:type="dxa"/>
            <w:noWrap/>
            <w:hideMark/>
          </w:tcPr>
          <w:p w:rsidRPr="00C50300" w:rsidR="00C50300" w:rsidP="009F2F83" w:rsidRDefault="00C50300" w14:paraId="02656601" w14:textId="77777777">
            <w:pPr>
              <w:spacing w:after="160" w:line="259" w:lineRule="auto"/>
              <w:rPr>
                <w:sz w:val="16"/>
                <w:szCs w:val="16"/>
              </w:rPr>
            </w:pPr>
            <w:r w:rsidRPr="00C50300">
              <w:rPr>
                <w:sz w:val="16"/>
                <w:szCs w:val="16"/>
              </w:rPr>
              <w:t>Verduurzaming maatschappelijk vastgoed</w:t>
            </w:r>
          </w:p>
        </w:tc>
      </w:tr>
      <w:tr w:rsidRPr="00091019" w:rsidR="00C50300" w:rsidTr="00C50300" w14:paraId="04DDFED0" w14:textId="77777777">
        <w:trPr>
          <w:trHeight w:val="20"/>
        </w:trPr>
        <w:tc>
          <w:tcPr>
            <w:tcW w:w="1008" w:type="dxa"/>
            <w:noWrap/>
            <w:hideMark/>
          </w:tcPr>
          <w:p w:rsidRPr="00C50300" w:rsidR="00C50300" w:rsidP="009F2F83" w:rsidRDefault="00C50300" w14:paraId="2E831A15" w14:textId="77777777">
            <w:pPr>
              <w:spacing w:after="160" w:line="259" w:lineRule="auto"/>
              <w:rPr>
                <w:sz w:val="16"/>
                <w:szCs w:val="16"/>
              </w:rPr>
            </w:pPr>
            <w:r w:rsidRPr="00C50300">
              <w:rPr>
                <w:sz w:val="16"/>
                <w:szCs w:val="16"/>
              </w:rPr>
              <w:t>BZK</w:t>
            </w:r>
          </w:p>
        </w:tc>
        <w:tc>
          <w:tcPr>
            <w:tcW w:w="7918" w:type="dxa"/>
            <w:noWrap/>
            <w:hideMark/>
          </w:tcPr>
          <w:p w:rsidRPr="00C50300" w:rsidR="00C50300" w:rsidP="009F2F83" w:rsidRDefault="00C50300" w14:paraId="768C7128" w14:textId="77777777">
            <w:pPr>
              <w:spacing w:after="160" w:line="259" w:lineRule="auto"/>
              <w:rPr>
                <w:sz w:val="16"/>
                <w:szCs w:val="16"/>
              </w:rPr>
            </w:pPr>
            <w:r w:rsidRPr="00C50300">
              <w:rPr>
                <w:sz w:val="16"/>
                <w:szCs w:val="16"/>
              </w:rPr>
              <w:t>Grote gezinnen</w:t>
            </w:r>
          </w:p>
        </w:tc>
      </w:tr>
      <w:tr w:rsidRPr="00091019" w:rsidR="00C50300" w:rsidTr="00C50300" w14:paraId="101FEA22" w14:textId="77777777">
        <w:trPr>
          <w:trHeight w:val="20"/>
        </w:trPr>
        <w:tc>
          <w:tcPr>
            <w:tcW w:w="1008" w:type="dxa"/>
            <w:noWrap/>
            <w:hideMark/>
          </w:tcPr>
          <w:p w:rsidRPr="00C50300" w:rsidR="00C50300" w:rsidP="009F2F83" w:rsidRDefault="00C50300" w14:paraId="53852364" w14:textId="77777777">
            <w:pPr>
              <w:spacing w:after="160" w:line="259" w:lineRule="auto"/>
              <w:rPr>
                <w:sz w:val="16"/>
                <w:szCs w:val="16"/>
              </w:rPr>
            </w:pPr>
            <w:r w:rsidRPr="00C50300">
              <w:rPr>
                <w:sz w:val="16"/>
                <w:szCs w:val="16"/>
              </w:rPr>
              <w:t>BZK</w:t>
            </w:r>
          </w:p>
        </w:tc>
        <w:tc>
          <w:tcPr>
            <w:tcW w:w="7918" w:type="dxa"/>
            <w:noWrap/>
            <w:hideMark/>
          </w:tcPr>
          <w:p w:rsidRPr="00C50300" w:rsidR="00C50300" w:rsidP="009F2F83" w:rsidRDefault="00C50300" w14:paraId="35AB8527" w14:textId="77777777">
            <w:pPr>
              <w:spacing w:after="160" w:line="259" w:lineRule="auto"/>
              <w:rPr>
                <w:sz w:val="16"/>
                <w:szCs w:val="16"/>
              </w:rPr>
            </w:pPr>
            <w:r w:rsidRPr="00C50300">
              <w:rPr>
                <w:sz w:val="16"/>
                <w:szCs w:val="16"/>
              </w:rPr>
              <w:t>Nationaal Groeifonds (Ruimtelijke ordening)</w:t>
            </w:r>
          </w:p>
        </w:tc>
      </w:tr>
      <w:tr w:rsidRPr="00091019" w:rsidR="00C50300" w:rsidTr="00C50300" w14:paraId="74D4D751" w14:textId="77777777">
        <w:trPr>
          <w:trHeight w:val="20"/>
        </w:trPr>
        <w:tc>
          <w:tcPr>
            <w:tcW w:w="1008" w:type="dxa"/>
            <w:noWrap/>
            <w:hideMark/>
          </w:tcPr>
          <w:p w:rsidRPr="00C50300" w:rsidR="00C50300" w:rsidP="009F2F83" w:rsidRDefault="00C50300" w14:paraId="3365E056" w14:textId="77777777">
            <w:pPr>
              <w:spacing w:after="160" w:line="259" w:lineRule="auto"/>
              <w:rPr>
                <w:sz w:val="16"/>
                <w:szCs w:val="16"/>
              </w:rPr>
            </w:pPr>
            <w:r w:rsidRPr="00C50300">
              <w:rPr>
                <w:sz w:val="16"/>
                <w:szCs w:val="16"/>
              </w:rPr>
              <w:t>BZK</w:t>
            </w:r>
          </w:p>
        </w:tc>
        <w:tc>
          <w:tcPr>
            <w:tcW w:w="7918" w:type="dxa"/>
            <w:noWrap/>
            <w:hideMark/>
          </w:tcPr>
          <w:p w:rsidRPr="00C50300" w:rsidR="00C50300" w:rsidP="009F2F83" w:rsidRDefault="00C50300" w14:paraId="665C0FBE" w14:textId="77777777">
            <w:pPr>
              <w:spacing w:after="160" w:line="259" w:lineRule="auto"/>
              <w:rPr>
                <w:sz w:val="16"/>
                <w:szCs w:val="16"/>
              </w:rPr>
            </w:pPr>
            <w:r w:rsidRPr="00C50300">
              <w:rPr>
                <w:sz w:val="16"/>
                <w:szCs w:val="16"/>
              </w:rPr>
              <w:t>Overheid brede loketten gemeenten</w:t>
            </w:r>
          </w:p>
        </w:tc>
      </w:tr>
      <w:tr w:rsidRPr="00091019" w:rsidR="00C50300" w:rsidTr="00C50300" w14:paraId="4A88A008" w14:textId="77777777">
        <w:trPr>
          <w:trHeight w:val="20"/>
        </w:trPr>
        <w:tc>
          <w:tcPr>
            <w:tcW w:w="1008" w:type="dxa"/>
            <w:noWrap/>
            <w:hideMark/>
          </w:tcPr>
          <w:p w:rsidRPr="00C50300" w:rsidR="00C50300" w:rsidP="009F2F83" w:rsidRDefault="00C50300" w14:paraId="245542D3" w14:textId="77777777">
            <w:pPr>
              <w:spacing w:after="160" w:line="259" w:lineRule="auto"/>
              <w:rPr>
                <w:sz w:val="16"/>
                <w:szCs w:val="16"/>
              </w:rPr>
            </w:pPr>
            <w:r w:rsidRPr="00C50300">
              <w:rPr>
                <w:sz w:val="16"/>
                <w:szCs w:val="16"/>
              </w:rPr>
              <w:t>BZK</w:t>
            </w:r>
          </w:p>
        </w:tc>
        <w:tc>
          <w:tcPr>
            <w:tcW w:w="7918" w:type="dxa"/>
            <w:noWrap/>
            <w:hideMark/>
          </w:tcPr>
          <w:p w:rsidRPr="00C50300" w:rsidR="00C50300" w:rsidP="009F2F83" w:rsidRDefault="00C50300" w14:paraId="75F170FD" w14:textId="77777777">
            <w:pPr>
              <w:spacing w:after="160" w:line="259" w:lineRule="auto"/>
              <w:rPr>
                <w:sz w:val="16"/>
                <w:szCs w:val="16"/>
              </w:rPr>
            </w:pPr>
            <w:r w:rsidRPr="00C50300">
              <w:rPr>
                <w:sz w:val="16"/>
                <w:szCs w:val="16"/>
              </w:rPr>
              <w:t>Overheid brede loketten provincies</w:t>
            </w:r>
          </w:p>
        </w:tc>
      </w:tr>
      <w:tr w:rsidRPr="00091019" w:rsidR="00C50300" w:rsidTr="00C50300" w14:paraId="463F7A1E" w14:textId="77777777">
        <w:trPr>
          <w:trHeight w:val="20"/>
        </w:trPr>
        <w:tc>
          <w:tcPr>
            <w:tcW w:w="1008" w:type="dxa"/>
            <w:noWrap/>
            <w:hideMark/>
          </w:tcPr>
          <w:p w:rsidRPr="00C50300" w:rsidR="00C50300" w:rsidP="009F2F83" w:rsidRDefault="00C50300" w14:paraId="76703223" w14:textId="77777777">
            <w:pPr>
              <w:spacing w:after="160" w:line="259" w:lineRule="auto"/>
              <w:rPr>
                <w:sz w:val="16"/>
                <w:szCs w:val="16"/>
              </w:rPr>
            </w:pPr>
            <w:r w:rsidRPr="00C50300">
              <w:rPr>
                <w:sz w:val="16"/>
                <w:szCs w:val="16"/>
              </w:rPr>
              <w:t>BZK</w:t>
            </w:r>
          </w:p>
        </w:tc>
        <w:tc>
          <w:tcPr>
            <w:tcW w:w="7918" w:type="dxa"/>
            <w:noWrap/>
            <w:hideMark/>
          </w:tcPr>
          <w:p w:rsidRPr="00C50300" w:rsidR="00C50300" w:rsidP="009F2F83" w:rsidRDefault="00C50300" w14:paraId="494063BF" w14:textId="77777777">
            <w:pPr>
              <w:spacing w:after="160" w:line="259" w:lineRule="auto"/>
              <w:rPr>
                <w:sz w:val="16"/>
                <w:szCs w:val="16"/>
              </w:rPr>
            </w:pPr>
            <w:r w:rsidRPr="00C50300">
              <w:rPr>
                <w:sz w:val="16"/>
                <w:szCs w:val="16"/>
              </w:rPr>
              <w:t>Diverse projecten Ruimtelijke kwaliteit</w:t>
            </w:r>
          </w:p>
        </w:tc>
      </w:tr>
      <w:tr w:rsidRPr="00091019" w:rsidR="00C50300" w:rsidTr="00C50300" w14:paraId="303F1780" w14:textId="77777777">
        <w:trPr>
          <w:trHeight w:val="20"/>
        </w:trPr>
        <w:tc>
          <w:tcPr>
            <w:tcW w:w="1008" w:type="dxa"/>
            <w:noWrap/>
            <w:hideMark/>
          </w:tcPr>
          <w:p w:rsidRPr="00C50300" w:rsidR="00C50300" w:rsidP="009F2F83" w:rsidRDefault="00C50300" w14:paraId="0C3CA1AD" w14:textId="77777777">
            <w:pPr>
              <w:spacing w:after="160" w:line="259" w:lineRule="auto"/>
              <w:rPr>
                <w:sz w:val="16"/>
                <w:szCs w:val="16"/>
              </w:rPr>
            </w:pPr>
            <w:r w:rsidRPr="00C50300">
              <w:rPr>
                <w:sz w:val="16"/>
                <w:szCs w:val="16"/>
              </w:rPr>
              <w:t>BZK</w:t>
            </w:r>
          </w:p>
        </w:tc>
        <w:tc>
          <w:tcPr>
            <w:tcW w:w="7918" w:type="dxa"/>
            <w:noWrap/>
            <w:hideMark/>
          </w:tcPr>
          <w:p w:rsidRPr="00C50300" w:rsidR="00C50300" w:rsidP="009F2F83" w:rsidRDefault="00C50300" w14:paraId="0D1315FC" w14:textId="77777777">
            <w:pPr>
              <w:spacing w:after="160" w:line="259" w:lineRule="auto"/>
              <w:rPr>
                <w:sz w:val="16"/>
                <w:szCs w:val="16"/>
              </w:rPr>
            </w:pPr>
            <w:r w:rsidRPr="00C50300">
              <w:rPr>
                <w:sz w:val="16"/>
                <w:szCs w:val="16"/>
              </w:rPr>
              <w:t>Regeling specifieke uitkering verbetering digitale dienstverlening</w:t>
            </w:r>
          </w:p>
        </w:tc>
      </w:tr>
      <w:tr w:rsidRPr="00091019" w:rsidR="00C50300" w:rsidTr="00C50300" w14:paraId="10093273" w14:textId="77777777">
        <w:trPr>
          <w:trHeight w:val="20"/>
        </w:trPr>
        <w:tc>
          <w:tcPr>
            <w:tcW w:w="1008" w:type="dxa"/>
            <w:noWrap/>
            <w:hideMark/>
          </w:tcPr>
          <w:p w:rsidRPr="00C50300" w:rsidR="00C50300" w:rsidP="009F2F83" w:rsidRDefault="00C50300" w14:paraId="7F7550C1" w14:textId="77777777">
            <w:pPr>
              <w:spacing w:after="160" w:line="259" w:lineRule="auto"/>
              <w:rPr>
                <w:sz w:val="16"/>
                <w:szCs w:val="16"/>
              </w:rPr>
            </w:pPr>
            <w:r w:rsidRPr="00C50300">
              <w:rPr>
                <w:sz w:val="16"/>
                <w:szCs w:val="16"/>
              </w:rPr>
              <w:t>EZK</w:t>
            </w:r>
          </w:p>
        </w:tc>
        <w:tc>
          <w:tcPr>
            <w:tcW w:w="7918" w:type="dxa"/>
            <w:noWrap/>
            <w:hideMark/>
          </w:tcPr>
          <w:p w:rsidRPr="00C50300" w:rsidR="00C50300" w:rsidP="009F2F83" w:rsidRDefault="00C50300" w14:paraId="52A7F259" w14:textId="77777777">
            <w:pPr>
              <w:spacing w:after="160" w:line="259" w:lineRule="auto"/>
              <w:rPr>
                <w:sz w:val="16"/>
                <w:szCs w:val="16"/>
              </w:rPr>
            </w:pPr>
            <w:r w:rsidRPr="00C50300">
              <w:rPr>
                <w:sz w:val="16"/>
                <w:szCs w:val="16"/>
              </w:rPr>
              <w:t>MIT- middelen SPUKS 2024</w:t>
            </w:r>
          </w:p>
        </w:tc>
      </w:tr>
      <w:tr w:rsidRPr="00091019" w:rsidR="00C50300" w:rsidTr="00C50300" w14:paraId="11A6A029" w14:textId="77777777">
        <w:trPr>
          <w:trHeight w:val="20"/>
        </w:trPr>
        <w:tc>
          <w:tcPr>
            <w:tcW w:w="1008" w:type="dxa"/>
            <w:noWrap/>
            <w:hideMark/>
          </w:tcPr>
          <w:p w:rsidRPr="00C50300" w:rsidR="00C50300" w:rsidP="009F2F83" w:rsidRDefault="00C50300" w14:paraId="4BE131C1" w14:textId="77777777">
            <w:pPr>
              <w:spacing w:after="160" w:line="259" w:lineRule="auto"/>
              <w:rPr>
                <w:sz w:val="16"/>
                <w:szCs w:val="16"/>
              </w:rPr>
            </w:pPr>
            <w:r w:rsidRPr="00C50300">
              <w:rPr>
                <w:sz w:val="16"/>
                <w:szCs w:val="16"/>
              </w:rPr>
              <w:t>EZK</w:t>
            </w:r>
          </w:p>
        </w:tc>
        <w:tc>
          <w:tcPr>
            <w:tcW w:w="7918" w:type="dxa"/>
            <w:noWrap/>
            <w:hideMark/>
          </w:tcPr>
          <w:p w:rsidRPr="00C50300" w:rsidR="00C50300" w:rsidP="009F2F83" w:rsidRDefault="00C50300" w14:paraId="193E9A00" w14:textId="77777777">
            <w:pPr>
              <w:spacing w:after="160" w:line="259" w:lineRule="auto"/>
              <w:rPr>
                <w:sz w:val="16"/>
                <w:szCs w:val="16"/>
              </w:rPr>
            </w:pPr>
            <w:r w:rsidRPr="00C50300">
              <w:rPr>
                <w:sz w:val="16"/>
                <w:szCs w:val="16"/>
              </w:rPr>
              <w:t>Regeling toezicht energiebesparingsplicht</w:t>
            </w:r>
          </w:p>
        </w:tc>
      </w:tr>
      <w:tr w:rsidRPr="00091019" w:rsidR="00C50300" w:rsidTr="00C50300" w14:paraId="11198897" w14:textId="77777777">
        <w:trPr>
          <w:trHeight w:val="20"/>
        </w:trPr>
        <w:tc>
          <w:tcPr>
            <w:tcW w:w="1008" w:type="dxa"/>
            <w:noWrap/>
            <w:hideMark/>
          </w:tcPr>
          <w:p w:rsidRPr="00C50300" w:rsidR="00C50300" w:rsidP="009F2F83" w:rsidRDefault="00C50300" w14:paraId="405AF42D" w14:textId="77777777">
            <w:pPr>
              <w:spacing w:after="160" w:line="259" w:lineRule="auto"/>
              <w:rPr>
                <w:sz w:val="16"/>
                <w:szCs w:val="16"/>
              </w:rPr>
            </w:pPr>
            <w:r w:rsidRPr="00C50300">
              <w:rPr>
                <w:sz w:val="16"/>
                <w:szCs w:val="16"/>
              </w:rPr>
              <w:t>EZK</w:t>
            </w:r>
          </w:p>
        </w:tc>
        <w:tc>
          <w:tcPr>
            <w:tcW w:w="7918" w:type="dxa"/>
            <w:noWrap/>
            <w:hideMark/>
          </w:tcPr>
          <w:p w:rsidRPr="00C50300" w:rsidR="00C50300" w:rsidP="009F2F83" w:rsidRDefault="00C50300" w14:paraId="7C562D6C" w14:textId="77777777">
            <w:pPr>
              <w:spacing w:after="160" w:line="259" w:lineRule="auto"/>
              <w:rPr>
                <w:sz w:val="16"/>
                <w:szCs w:val="16"/>
              </w:rPr>
            </w:pPr>
            <w:r w:rsidRPr="00C50300">
              <w:rPr>
                <w:sz w:val="16"/>
                <w:szCs w:val="16"/>
              </w:rPr>
              <w:t>Uitvoeringskosten klimaat medeoverheden</w:t>
            </w:r>
          </w:p>
        </w:tc>
      </w:tr>
      <w:tr w:rsidRPr="00091019" w:rsidR="00C50300" w:rsidTr="00C50300" w14:paraId="47737015" w14:textId="77777777">
        <w:trPr>
          <w:trHeight w:val="20"/>
        </w:trPr>
        <w:tc>
          <w:tcPr>
            <w:tcW w:w="1008" w:type="dxa"/>
            <w:noWrap/>
            <w:hideMark/>
          </w:tcPr>
          <w:p w:rsidRPr="00C50300" w:rsidR="00C50300" w:rsidP="009F2F83" w:rsidRDefault="00C50300" w14:paraId="1B99C22E" w14:textId="77777777">
            <w:pPr>
              <w:spacing w:after="160" w:line="259" w:lineRule="auto"/>
              <w:rPr>
                <w:sz w:val="16"/>
                <w:szCs w:val="16"/>
              </w:rPr>
            </w:pPr>
            <w:r w:rsidRPr="00C50300">
              <w:rPr>
                <w:sz w:val="16"/>
                <w:szCs w:val="16"/>
              </w:rPr>
              <w:t>EZK</w:t>
            </w:r>
          </w:p>
        </w:tc>
        <w:tc>
          <w:tcPr>
            <w:tcW w:w="7918" w:type="dxa"/>
            <w:noWrap/>
            <w:hideMark/>
          </w:tcPr>
          <w:p w:rsidRPr="00C50300" w:rsidR="00C50300" w:rsidP="009F2F83" w:rsidRDefault="00C50300" w14:paraId="74BB1076" w14:textId="77777777">
            <w:pPr>
              <w:spacing w:after="160" w:line="259" w:lineRule="auto"/>
              <w:rPr>
                <w:sz w:val="16"/>
                <w:szCs w:val="16"/>
              </w:rPr>
            </w:pPr>
            <w:r w:rsidRPr="00C50300">
              <w:rPr>
                <w:sz w:val="16"/>
                <w:szCs w:val="16"/>
              </w:rPr>
              <w:t>Gebiedsinvesteringen</w:t>
            </w:r>
          </w:p>
        </w:tc>
      </w:tr>
      <w:tr w:rsidRPr="00091019" w:rsidR="00C50300" w:rsidTr="00C50300" w14:paraId="6532884A" w14:textId="77777777">
        <w:trPr>
          <w:trHeight w:val="20"/>
        </w:trPr>
        <w:tc>
          <w:tcPr>
            <w:tcW w:w="1008" w:type="dxa"/>
            <w:noWrap/>
            <w:hideMark/>
          </w:tcPr>
          <w:p w:rsidRPr="00C50300" w:rsidR="00C50300" w:rsidP="009F2F83" w:rsidRDefault="00C50300" w14:paraId="329FC127" w14:textId="77777777">
            <w:pPr>
              <w:spacing w:after="160" w:line="259" w:lineRule="auto"/>
              <w:rPr>
                <w:sz w:val="16"/>
                <w:szCs w:val="16"/>
              </w:rPr>
            </w:pPr>
            <w:r w:rsidRPr="00C50300">
              <w:rPr>
                <w:sz w:val="16"/>
                <w:szCs w:val="16"/>
              </w:rPr>
              <w:t>IenW</w:t>
            </w:r>
          </w:p>
        </w:tc>
        <w:tc>
          <w:tcPr>
            <w:tcW w:w="7918" w:type="dxa"/>
            <w:noWrap/>
            <w:hideMark/>
          </w:tcPr>
          <w:p w:rsidRPr="00C50300" w:rsidR="00C50300" w:rsidP="009F2F83" w:rsidRDefault="00C50300" w14:paraId="35C1C1BF" w14:textId="77777777">
            <w:pPr>
              <w:spacing w:after="160" w:line="259" w:lineRule="auto"/>
              <w:rPr>
                <w:sz w:val="16"/>
                <w:szCs w:val="16"/>
              </w:rPr>
            </w:pPr>
            <w:r w:rsidRPr="00C50300">
              <w:rPr>
                <w:sz w:val="16"/>
                <w:szCs w:val="16"/>
              </w:rPr>
              <w:t>Subsidieregeling sanering verkeerslawaai</w:t>
            </w:r>
          </w:p>
        </w:tc>
      </w:tr>
      <w:tr w:rsidRPr="00091019" w:rsidR="00C50300" w:rsidTr="00C50300" w14:paraId="79E33504" w14:textId="77777777">
        <w:trPr>
          <w:trHeight w:val="20"/>
        </w:trPr>
        <w:tc>
          <w:tcPr>
            <w:tcW w:w="1008" w:type="dxa"/>
            <w:noWrap/>
            <w:hideMark/>
          </w:tcPr>
          <w:p w:rsidRPr="00C50300" w:rsidR="00C50300" w:rsidP="009F2F83" w:rsidRDefault="00C50300" w14:paraId="5EA358CC" w14:textId="77777777">
            <w:pPr>
              <w:spacing w:after="160" w:line="259" w:lineRule="auto"/>
              <w:rPr>
                <w:sz w:val="16"/>
                <w:szCs w:val="16"/>
              </w:rPr>
            </w:pPr>
            <w:r w:rsidRPr="00C50300">
              <w:rPr>
                <w:sz w:val="16"/>
                <w:szCs w:val="16"/>
              </w:rPr>
              <w:t>IenW</w:t>
            </w:r>
          </w:p>
        </w:tc>
        <w:tc>
          <w:tcPr>
            <w:tcW w:w="7918" w:type="dxa"/>
            <w:noWrap/>
            <w:hideMark/>
          </w:tcPr>
          <w:p w:rsidRPr="00C50300" w:rsidR="00C50300" w:rsidP="009F2F83" w:rsidRDefault="00C50300" w14:paraId="3B9262C0" w14:textId="77777777">
            <w:pPr>
              <w:spacing w:after="160" w:line="259" w:lineRule="auto"/>
              <w:rPr>
                <w:sz w:val="16"/>
                <w:szCs w:val="16"/>
              </w:rPr>
            </w:pPr>
            <w:r w:rsidRPr="00C50300">
              <w:rPr>
                <w:sz w:val="16"/>
                <w:szCs w:val="16"/>
              </w:rPr>
              <w:t>Brede doeluitkering verkeer en vervoer - Wet BDU Verkeer en Vervoer (art. 10) - Vervoerregio's</w:t>
            </w:r>
          </w:p>
        </w:tc>
      </w:tr>
      <w:tr w:rsidRPr="00091019" w:rsidR="00C50300" w:rsidTr="00C50300" w14:paraId="7EE4170C" w14:textId="77777777">
        <w:trPr>
          <w:trHeight w:val="20"/>
        </w:trPr>
        <w:tc>
          <w:tcPr>
            <w:tcW w:w="1008" w:type="dxa"/>
            <w:noWrap/>
            <w:hideMark/>
          </w:tcPr>
          <w:p w:rsidRPr="00C50300" w:rsidR="00C50300" w:rsidP="009F2F83" w:rsidRDefault="00C50300" w14:paraId="1C75CF6B" w14:textId="77777777">
            <w:pPr>
              <w:spacing w:after="160" w:line="259" w:lineRule="auto"/>
              <w:rPr>
                <w:sz w:val="16"/>
                <w:szCs w:val="16"/>
              </w:rPr>
            </w:pPr>
            <w:r w:rsidRPr="00C50300">
              <w:rPr>
                <w:sz w:val="16"/>
                <w:szCs w:val="16"/>
              </w:rPr>
              <w:t>IenW</w:t>
            </w:r>
          </w:p>
        </w:tc>
        <w:tc>
          <w:tcPr>
            <w:tcW w:w="7918" w:type="dxa"/>
            <w:noWrap/>
            <w:hideMark/>
          </w:tcPr>
          <w:p w:rsidRPr="00C50300" w:rsidR="00C50300" w:rsidP="009F2F83" w:rsidRDefault="00C50300" w14:paraId="6EA3042D" w14:textId="77777777">
            <w:pPr>
              <w:spacing w:after="160" w:line="259" w:lineRule="auto"/>
              <w:rPr>
                <w:sz w:val="16"/>
                <w:szCs w:val="16"/>
              </w:rPr>
            </w:pPr>
            <w:r w:rsidRPr="00C50300">
              <w:rPr>
                <w:sz w:val="16"/>
                <w:szCs w:val="16"/>
              </w:rPr>
              <w:t>Tijdelijke regeling specifieke uitkering Zero Emissiebussen 2022-2024</w:t>
            </w:r>
          </w:p>
        </w:tc>
      </w:tr>
      <w:tr w:rsidRPr="00091019" w:rsidR="00C50300" w:rsidTr="00C50300" w14:paraId="23F345D0" w14:textId="77777777">
        <w:trPr>
          <w:trHeight w:val="20"/>
        </w:trPr>
        <w:tc>
          <w:tcPr>
            <w:tcW w:w="1008" w:type="dxa"/>
            <w:noWrap/>
            <w:hideMark/>
          </w:tcPr>
          <w:p w:rsidRPr="00C50300" w:rsidR="00C50300" w:rsidP="009F2F83" w:rsidRDefault="00C50300" w14:paraId="0F552C5C" w14:textId="77777777">
            <w:pPr>
              <w:spacing w:after="160" w:line="259" w:lineRule="auto"/>
              <w:rPr>
                <w:sz w:val="16"/>
                <w:szCs w:val="16"/>
              </w:rPr>
            </w:pPr>
            <w:r w:rsidRPr="00C50300">
              <w:rPr>
                <w:sz w:val="16"/>
                <w:szCs w:val="16"/>
              </w:rPr>
              <w:t>IenW</w:t>
            </w:r>
          </w:p>
        </w:tc>
        <w:tc>
          <w:tcPr>
            <w:tcW w:w="7918" w:type="dxa"/>
            <w:noWrap/>
            <w:hideMark/>
          </w:tcPr>
          <w:p w:rsidRPr="00C50300" w:rsidR="00C50300" w:rsidP="009F2F83" w:rsidRDefault="00C50300" w14:paraId="519388C8" w14:textId="77777777">
            <w:pPr>
              <w:spacing w:after="160" w:line="259" w:lineRule="auto"/>
              <w:rPr>
                <w:sz w:val="16"/>
                <w:szCs w:val="16"/>
              </w:rPr>
            </w:pPr>
            <w:r w:rsidRPr="00C50300">
              <w:rPr>
                <w:sz w:val="16"/>
                <w:szCs w:val="16"/>
              </w:rPr>
              <w:t>Regeling specifieke uitkering kademuren Goederencorridors Oost en Zuidoost 2022 - 2026</w:t>
            </w:r>
          </w:p>
        </w:tc>
      </w:tr>
      <w:tr w:rsidRPr="00091019" w:rsidR="00C50300" w:rsidTr="00C50300" w14:paraId="2C50E6B3" w14:textId="77777777">
        <w:trPr>
          <w:trHeight w:val="20"/>
        </w:trPr>
        <w:tc>
          <w:tcPr>
            <w:tcW w:w="1008" w:type="dxa"/>
            <w:noWrap/>
            <w:hideMark/>
          </w:tcPr>
          <w:p w:rsidRPr="00C50300" w:rsidR="00C50300" w:rsidP="009F2F83" w:rsidRDefault="00C50300" w14:paraId="46C9F848" w14:textId="77777777">
            <w:pPr>
              <w:spacing w:after="160" w:line="259" w:lineRule="auto"/>
              <w:rPr>
                <w:sz w:val="16"/>
                <w:szCs w:val="16"/>
              </w:rPr>
            </w:pPr>
            <w:r w:rsidRPr="00C50300">
              <w:rPr>
                <w:sz w:val="16"/>
                <w:szCs w:val="16"/>
              </w:rPr>
              <w:t>IenW</w:t>
            </w:r>
          </w:p>
        </w:tc>
        <w:tc>
          <w:tcPr>
            <w:tcW w:w="7918" w:type="dxa"/>
            <w:noWrap/>
            <w:hideMark/>
          </w:tcPr>
          <w:p w:rsidRPr="00C50300" w:rsidR="00C50300" w:rsidP="009F2F83" w:rsidRDefault="00C50300" w14:paraId="4D46B314" w14:textId="77777777">
            <w:pPr>
              <w:spacing w:after="160" w:line="259" w:lineRule="auto"/>
              <w:rPr>
                <w:sz w:val="16"/>
                <w:szCs w:val="16"/>
              </w:rPr>
            </w:pPr>
            <w:r w:rsidRPr="00C50300">
              <w:rPr>
                <w:sz w:val="16"/>
                <w:szCs w:val="16"/>
              </w:rPr>
              <w:t>Tijdelijke stimuleringsregeling slim, veilig, doelmatig en duurzaam gebruik van mobiliteitsinfrastructuur 2023-2027</w:t>
            </w:r>
          </w:p>
        </w:tc>
      </w:tr>
      <w:tr w:rsidRPr="00091019" w:rsidR="00C50300" w:rsidTr="00C50300" w14:paraId="7F5345F8" w14:textId="77777777">
        <w:trPr>
          <w:trHeight w:val="20"/>
        </w:trPr>
        <w:tc>
          <w:tcPr>
            <w:tcW w:w="1008" w:type="dxa"/>
            <w:noWrap/>
            <w:hideMark/>
          </w:tcPr>
          <w:p w:rsidRPr="00C50300" w:rsidR="00C50300" w:rsidP="009F2F83" w:rsidRDefault="00C50300" w14:paraId="36AF321A" w14:textId="77777777">
            <w:pPr>
              <w:spacing w:after="160" w:line="259" w:lineRule="auto"/>
              <w:rPr>
                <w:sz w:val="16"/>
                <w:szCs w:val="16"/>
              </w:rPr>
            </w:pPr>
            <w:r w:rsidRPr="00C50300">
              <w:rPr>
                <w:sz w:val="16"/>
                <w:szCs w:val="16"/>
              </w:rPr>
              <w:lastRenderedPageBreak/>
              <w:t>IenW</w:t>
            </w:r>
          </w:p>
        </w:tc>
        <w:tc>
          <w:tcPr>
            <w:tcW w:w="7918" w:type="dxa"/>
            <w:noWrap/>
            <w:hideMark/>
          </w:tcPr>
          <w:p w:rsidRPr="00C50300" w:rsidR="00C50300" w:rsidP="009F2F83" w:rsidRDefault="00C50300" w14:paraId="7A21D773" w14:textId="77777777">
            <w:pPr>
              <w:spacing w:after="160" w:line="259" w:lineRule="auto"/>
              <w:rPr>
                <w:sz w:val="16"/>
                <w:szCs w:val="16"/>
              </w:rPr>
            </w:pPr>
            <w:r w:rsidRPr="00C50300">
              <w:rPr>
                <w:sz w:val="16"/>
                <w:szCs w:val="16"/>
              </w:rPr>
              <w:t>Regeling specifieke uitkering woningbouw op korte termijn door bovenplanse infrastructuur</w:t>
            </w:r>
          </w:p>
        </w:tc>
      </w:tr>
      <w:tr w:rsidRPr="00091019" w:rsidR="00C50300" w:rsidTr="00C50300" w14:paraId="76FAC858" w14:textId="77777777">
        <w:trPr>
          <w:trHeight w:val="20"/>
        </w:trPr>
        <w:tc>
          <w:tcPr>
            <w:tcW w:w="1008" w:type="dxa"/>
            <w:noWrap/>
            <w:hideMark/>
          </w:tcPr>
          <w:p w:rsidRPr="00C50300" w:rsidR="00C50300" w:rsidP="009F2F83" w:rsidRDefault="00C50300" w14:paraId="38B02A37" w14:textId="77777777">
            <w:pPr>
              <w:spacing w:after="160" w:line="259" w:lineRule="auto"/>
              <w:rPr>
                <w:sz w:val="16"/>
                <w:szCs w:val="16"/>
              </w:rPr>
            </w:pPr>
            <w:r w:rsidRPr="00C50300">
              <w:rPr>
                <w:sz w:val="16"/>
                <w:szCs w:val="16"/>
              </w:rPr>
              <w:t>IenW</w:t>
            </w:r>
          </w:p>
        </w:tc>
        <w:tc>
          <w:tcPr>
            <w:tcW w:w="7918" w:type="dxa"/>
            <w:noWrap/>
            <w:hideMark/>
          </w:tcPr>
          <w:p w:rsidRPr="00C50300" w:rsidR="00C50300" w:rsidP="009F2F83" w:rsidRDefault="00C50300" w14:paraId="595041D7" w14:textId="77777777">
            <w:pPr>
              <w:spacing w:after="160" w:line="259" w:lineRule="auto"/>
              <w:rPr>
                <w:sz w:val="16"/>
                <w:szCs w:val="16"/>
              </w:rPr>
            </w:pPr>
            <w:r w:rsidRPr="00C50300">
              <w:rPr>
                <w:sz w:val="16"/>
                <w:szCs w:val="16"/>
              </w:rPr>
              <w:t>Regeling specifieke uitkering Regionale Aanpak Laadinfrastructuur 2023 – 2030</w:t>
            </w:r>
          </w:p>
        </w:tc>
      </w:tr>
      <w:tr w:rsidRPr="00091019" w:rsidR="00C50300" w:rsidTr="00C50300" w14:paraId="6946CAEF" w14:textId="77777777">
        <w:trPr>
          <w:trHeight w:val="20"/>
        </w:trPr>
        <w:tc>
          <w:tcPr>
            <w:tcW w:w="1008" w:type="dxa"/>
            <w:noWrap/>
            <w:hideMark/>
          </w:tcPr>
          <w:p w:rsidRPr="00C50300" w:rsidR="00C50300" w:rsidP="009F2F83" w:rsidRDefault="00C50300" w14:paraId="0DE4BFBF" w14:textId="77777777">
            <w:pPr>
              <w:spacing w:after="160" w:line="259" w:lineRule="auto"/>
              <w:rPr>
                <w:sz w:val="16"/>
                <w:szCs w:val="16"/>
              </w:rPr>
            </w:pPr>
            <w:r w:rsidRPr="00C50300">
              <w:rPr>
                <w:sz w:val="16"/>
                <w:szCs w:val="16"/>
              </w:rPr>
              <w:t>IenW</w:t>
            </w:r>
          </w:p>
        </w:tc>
        <w:tc>
          <w:tcPr>
            <w:tcW w:w="7918" w:type="dxa"/>
            <w:noWrap/>
            <w:hideMark/>
          </w:tcPr>
          <w:p w:rsidRPr="00C50300" w:rsidR="00C50300" w:rsidP="009F2F83" w:rsidRDefault="00C50300" w14:paraId="1B9CCBE5" w14:textId="77777777">
            <w:pPr>
              <w:spacing w:after="160" w:line="259" w:lineRule="auto"/>
              <w:rPr>
                <w:sz w:val="16"/>
                <w:szCs w:val="16"/>
              </w:rPr>
            </w:pPr>
            <w:r w:rsidRPr="00C50300">
              <w:rPr>
                <w:sz w:val="16"/>
                <w:szCs w:val="16"/>
              </w:rPr>
              <w:t>Tijdelijke regeling specifieke uitkering mobiliteitspakketten ten behoeve van woningbouw</w:t>
            </w:r>
          </w:p>
        </w:tc>
      </w:tr>
      <w:tr w:rsidRPr="00091019" w:rsidR="00C50300" w:rsidTr="00C50300" w14:paraId="3748099C" w14:textId="77777777">
        <w:trPr>
          <w:trHeight w:val="20"/>
        </w:trPr>
        <w:tc>
          <w:tcPr>
            <w:tcW w:w="1008" w:type="dxa"/>
            <w:noWrap/>
            <w:hideMark/>
          </w:tcPr>
          <w:p w:rsidRPr="00C50300" w:rsidR="00C50300" w:rsidP="009F2F83" w:rsidRDefault="00C50300" w14:paraId="5BE41C3F" w14:textId="77777777">
            <w:pPr>
              <w:spacing w:after="160" w:line="259" w:lineRule="auto"/>
              <w:rPr>
                <w:sz w:val="16"/>
                <w:szCs w:val="16"/>
              </w:rPr>
            </w:pPr>
            <w:r w:rsidRPr="00C50300">
              <w:rPr>
                <w:sz w:val="16"/>
                <w:szCs w:val="16"/>
              </w:rPr>
              <w:t>IenW</w:t>
            </w:r>
          </w:p>
        </w:tc>
        <w:tc>
          <w:tcPr>
            <w:tcW w:w="7918" w:type="dxa"/>
            <w:noWrap/>
            <w:hideMark/>
          </w:tcPr>
          <w:p w:rsidRPr="00C50300" w:rsidR="00C50300" w:rsidP="009F2F83" w:rsidRDefault="00C50300" w14:paraId="591C8C87" w14:textId="77777777">
            <w:pPr>
              <w:spacing w:after="160" w:line="259" w:lineRule="auto"/>
              <w:rPr>
                <w:sz w:val="16"/>
                <w:szCs w:val="16"/>
              </w:rPr>
            </w:pPr>
            <w:r w:rsidRPr="00C50300">
              <w:rPr>
                <w:sz w:val="16"/>
                <w:szCs w:val="16"/>
              </w:rPr>
              <w:t>Regeling specifieke uitkering bodemsanering 2024-2026</w:t>
            </w:r>
          </w:p>
        </w:tc>
      </w:tr>
      <w:tr w:rsidRPr="00091019" w:rsidR="00C50300" w:rsidTr="00C50300" w14:paraId="016AE2EE" w14:textId="77777777">
        <w:trPr>
          <w:trHeight w:val="20"/>
        </w:trPr>
        <w:tc>
          <w:tcPr>
            <w:tcW w:w="1008" w:type="dxa"/>
            <w:noWrap/>
            <w:hideMark/>
          </w:tcPr>
          <w:p w:rsidRPr="00C50300" w:rsidR="00C50300" w:rsidP="009F2F83" w:rsidRDefault="00C50300" w14:paraId="61A57518" w14:textId="77777777">
            <w:pPr>
              <w:spacing w:after="160" w:line="259" w:lineRule="auto"/>
              <w:rPr>
                <w:sz w:val="16"/>
                <w:szCs w:val="16"/>
              </w:rPr>
            </w:pPr>
            <w:r w:rsidRPr="00C50300">
              <w:rPr>
                <w:sz w:val="16"/>
                <w:szCs w:val="16"/>
              </w:rPr>
              <w:t>IenW</w:t>
            </w:r>
          </w:p>
        </w:tc>
        <w:tc>
          <w:tcPr>
            <w:tcW w:w="7918" w:type="dxa"/>
            <w:noWrap/>
            <w:hideMark/>
          </w:tcPr>
          <w:p w:rsidRPr="00C50300" w:rsidR="00C50300" w:rsidP="009F2F83" w:rsidRDefault="00C50300" w14:paraId="238A083D" w14:textId="77777777">
            <w:pPr>
              <w:spacing w:after="160" w:line="259" w:lineRule="auto"/>
              <w:rPr>
                <w:sz w:val="16"/>
                <w:szCs w:val="16"/>
              </w:rPr>
            </w:pPr>
            <w:r w:rsidRPr="00C50300">
              <w:rPr>
                <w:sz w:val="16"/>
                <w:szCs w:val="16"/>
              </w:rPr>
              <w:t>Eenmalige specifieke uitkeringen NGF-project NL2120 (3x, 2024 e.v.)</w:t>
            </w:r>
          </w:p>
        </w:tc>
      </w:tr>
      <w:tr w:rsidRPr="00091019" w:rsidR="00C50300" w:rsidTr="00C50300" w14:paraId="6BBAECD3" w14:textId="77777777">
        <w:trPr>
          <w:trHeight w:val="20"/>
        </w:trPr>
        <w:tc>
          <w:tcPr>
            <w:tcW w:w="1008" w:type="dxa"/>
            <w:noWrap/>
            <w:hideMark/>
          </w:tcPr>
          <w:p w:rsidRPr="00C50300" w:rsidR="00C50300" w:rsidP="009F2F83" w:rsidRDefault="00C50300" w14:paraId="7C9084F9" w14:textId="77777777">
            <w:pPr>
              <w:spacing w:after="160" w:line="259" w:lineRule="auto"/>
              <w:rPr>
                <w:sz w:val="16"/>
                <w:szCs w:val="16"/>
              </w:rPr>
            </w:pPr>
            <w:r w:rsidRPr="00C50300">
              <w:rPr>
                <w:sz w:val="16"/>
                <w:szCs w:val="16"/>
              </w:rPr>
              <w:t>IenW</w:t>
            </w:r>
          </w:p>
        </w:tc>
        <w:tc>
          <w:tcPr>
            <w:tcW w:w="7918" w:type="dxa"/>
            <w:noWrap/>
            <w:hideMark/>
          </w:tcPr>
          <w:p w:rsidRPr="00C50300" w:rsidR="00C50300" w:rsidP="009F2F83" w:rsidRDefault="00C50300" w14:paraId="4F4A2D5B" w14:textId="77777777">
            <w:pPr>
              <w:spacing w:after="160" w:line="259" w:lineRule="auto"/>
              <w:rPr>
                <w:sz w:val="16"/>
                <w:szCs w:val="16"/>
              </w:rPr>
            </w:pPr>
            <w:r w:rsidRPr="00C50300">
              <w:rPr>
                <w:sz w:val="16"/>
                <w:szCs w:val="16"/>
              </w:rPr>
              <w:t>Schoon en emissieloos bouwen</w:t>
            </w:r>
          </w:p>
        </w:tc>
      </w:tr>
      <w:tr w:rsidRPr="00091019" w:rsidR="00C50300" w:rsidTr="00C50300" w14:paraId="6DB8F736" w14:textId="77777777">
        <w:trPr>
          <w:trHeight w:val="20"/>
        </w:trPr>
        <w:tc>
          <w:tcPr>
            <w:tcW w:w="1008" w:type="dxa"/>
            <w:noWrap/>
            <w:hideMark/>
          </w:tcPr>
          <w:p w:rsidRPr="00C50300" w:rsidR="00C50300" w:rsidP="009F2F83" w:rsidRDefault="00C50300" w14:paraId="7D1C42A6" w14:textId="77777777">
            <w:pPr>
              <w:spacing w:after="160" w:line="259" w:lineRule="auto"/>
              <w:rPr>
                <w:sz w:val="16"/>
                <w:szCs w:val="16"/>
              </w:rPr>
            </w:pPr>
            <w:r w:rsidRPr="00C50300">
              <w:rPr>
                <w:sz w:val="16"/>
                <w:szCs w:val="16"/>
              </w:rPr>
              <w:t>JenV</w:t>
            </w:r>
          </w:p>
        </w:tc>
        <w:tc>
          <w:tcPr>
            <w:tcW w:w="7918" w:type="dxa"/>
            <w:noWrap/>
            <w:hideMark/>
          </w:tcPr>
          <w:p w:rsidRPr="00C50300" w:rsidR="00C50300" w:rsidP="009F2F83" w:rsidRDefault="00C50300" w14:paraId="4035DF01" w14:textId="77777777">
            <w:pPr>
              <w:spacing w:after="160" w:line="259" w:lineRule="auto"/>
              <w:rPr>
                <w:sz w:val="16"/>
                <w:szCs w:val="16"/>
              </w:rPr>
            </w:pPr>
            <w:r w:rsidRPr="00C50300">
              <w:rPr>
                <w:sz w:val="16"/>
                <w:szCs w:val="16"/>
              </w:rPr>
              <w:t>Regeling eenmalige uitkering gemeenten voor maatregelen ter vermindering overlast en criminaliteit asielzoekers</w:t>
            </w:r>
          </w:p>
        </w:tc>
      </w:tr>
      <w:tr w:rsidRPr="00091019" w:rsidR="00C50300" w:rsidTr="00C50300" w14:paraId="097A8AFE" w14:textId="77777777">
        <w:trPr>
          <w:trHeight w:val="20"/>
        </w:trPr>
        <w:tc>
          <w:tcPr>
            <w:tcW w:w="1008" w:type="dxa"/>
            <w:noWrap/>
            <w:hideMark/>
          </w:tcPr>
          <w:p w:rsidRPr="00C50300" w:rsidR="00C50300" w:rsidP="009F2F83" w:rsidRDefault="00C50300" w14:paraId="6BF0C841" w14:textId="77777777">
            <w:pPr>
              <w:spacing w:after="160" w:line="259" w:lineRule="auto"/>
              <w:rPr>
                <w:sz w:val="16"/>
                <w:szCs w:val="16"/>
              </w:rPr>
            </w:pPr>
            <w:r w:rsidRPr="00C50300">
              <w:rPr>
                <w:sz w:val="16"/>
                <w:szCs w:val="16"/>
              </w:rPr>
              <w:t>JenV</w:t>
            </w:r>
          </w:p>
        </w:tc>
        <w:tc>
          <w:tcPr>
            <w:tcW w:w="7918" w:type="dxa"/>
            <w:noWrap/>
            <w:hideMark/>
          </w:tcPr>
          <w:p w:rsidRPr="00C50300" w:rsidR="00C50300" w:rsidP="009F2F83" w:rsidRDefault="00C50300" w14:paraId="0F3F4659" w14:textId="77777777">
            <w:pPr>
              <w:spacing w:after="160" w:line="259" w:lineRule="auto"/>
              <w:rPr>
                <w:sz w:val="16"/>
                <w:szCs w:val="16"/>
              </w:rPr>
            </w:pPr>
            <w:r w:rsidRPr="00C50300">
              <w:rPr>
                <w:sz w:val="16"/>
                <w:szCs w:val="16"/>
              </w:rPr>
              <w:t>Specifieke uitkering versterking van de lokale aanpak van radicalisering, extremisme en terrorisme 2023-2026</w:t>
            </w:r>
          </w:p>
        </w:tc>
      </w:tr>
      <w:tr w:rsidRPr="00091019" w:rsidR="00C50300" w:rsidTr="00C50300" w14:paraId="73187E8C" w14:textId="77777777">
        <w:trPr>
          <w:trHeight w:val="20"/>
        </w:trPr>
        <w:tc>
          <w:tcPr>
            <w:tcW w:w="1008" w:type="dxa"/>
            <w:noWrap/>
            <w:hideMark/>
          </w:tcPr>
          <w:p w:rsidRPr="00C50300" w:rsidR="00C50300" w:rsidP="009F2F83" w:rsidRDefault="00C50300" w14:paraId="3D32F0C4" w14:textId="77777777">
            <w:pPr>
              <w:spacing w:after="160" w:line="259" w:lineRule="auto"/>
              <w:rPr>
                <w:sz w:val="16"/>
                <w:szCs w:val="16"/>
              </w:rPr>
            </w:pPr>
            <w:r w:rsidRPr="00C50300">
              <w:rPr>
                <w:sz w:val="16"/>
                <w:szCs w:val="16"/>
              </w:rPr>
              <w:t>JenV</w:t>
            </w:r>
          </w:p>
        </w:tc>
        <w:tc>
          <w:tcPr>
            <w:tcW w:w="7918" w:type="dxa"/>
            <w:noWrap/>
            <w:hideMark/>
          </w:tcPr>
          <w:p w:rsidRPr="00C50300" w:rsidR="00C50300" w:rsidP="009F2F83" w:rsidRDefault="00C50300" w14:paraId="664B5569" w14:textId="77777777">
            <w:pPr>
              <w:spacing w:after="160" w:line="259" w:lineRule="auto"/>
              <w:rPr>
                <w:sz w:val="16"/>
                <w:szCs w:val="16"/>
              </w:rPr>
            </w:pPr>
            <w:r w:rsidRPr="00C50300">
              <w:rPr>
                <w:sz w:val="16"/>
                <w:szCs w:val="16"/>
              </w:rPr>
              <w:t>Specifieke uitkering mainports</w:t>
            </w:r>
          </w:p>
        </w:tc>
      </w:tr>
      <w:tr w:rsidRPr="00091019" w:rsidR="00C50300" w:rsidTr="00C50300" w14:paraId="616EF2DF" w14:textId="77777777">
        <w:trPr>
          <w:trHeight w:val="20"/>
        </w:trPr>
        <w:tc>
          <w:tcPr>
            <w:tcW w:w="1008" w:type="dxa"/>
            <w:noWrap/>
            <w:hideMark/>
          </w:tcPr>
          <w:p w:rsidRPr="00C50300" w:rsidR="00C50300" w:rsidP="009F2F83" w:rsidRDefault="00C50300" w14:paraId="0DBBC629" w14:textId="77777777">
            <w:pPr>
              <w:spacing w:after="160" w:line="259" w:lineRule="auto"/>
              <w:rPr>
                <w:sz w:val="16"/>
                <w:szCs w:val="16"/>
              </w:rPr>
            </w:pPr>
            <w:r w:rsidRPr="00C50300">
              <w:rPr>
                <w:sz w:val="16"/>
                <w:szCs w:val="16"/>
              </w:rPr>
              <w:t>JenV</w:t>
            </w:r>
          </w:p>
        </w:tc>
        <w:tc>
          <w:tcPr>
            <w:tcW w:w="7918" w:type="dxa"/>
            <w:noWrap/>
            <w:hideMark/>
          </w:tcPr>
          <w:p w:rsidRPr="00C50300" w:rsidR="00C50300" w:rsidP="009F2F83" w:rsidRDefault="00C50300" w14:paraId="77ADCBC3" w14:textId="77777777">
            <w:pPr>
              <w:spacing w:after="160" w:line="259" w:lineRule="auto"/>
              <w:rPr>
                <w:sz w:val="16"/>
                <w:szCs w:val="16"/>
              </w:rPr>
            </w:pPr>
            <w:r w:rsidRPr="00C50300">
              <w:rPr>
                <w:sz w:val="16"/>
                <w:szCs w:val="16"/>
              </w:rPr>
              <w:t>Regeling specifieke uitkering ter voorkoming van jeugdcriminaliteit 2024</w:t>
            </w:r>
          </w:p>
        </w:tc>
      </w:tr>
      <w:tr w:rsidRPr="00091019" w:rsidR="00C50300" w:rsidTr="00C50300" w14:paraId="5D2CE1C1" w14:textId="77777777">
        <w:trPr>
          <w:trHeight w:val="20"/>
        </w:trPr>
        <w:tc>
          <w:tcPr>
            <w:tcW w:w="1008" w:type="dxa"/>
            <w:noWrap/>
            <w:hideMark/>
          </w:tcPr>
          <w:p w:rsidRPr="00C50300" w:rsidR="00C50300" w:rsidP="009F2F83" w:rsidRDefault="00C50300" w14:paraId="786838BD" w14:textId="77777777">
            <w:pPr>
              <w:spacing w:after="160" w:line="259" w:lineRule="auto"/>
              <w:rPr>
                <w:i/>
                <w:iCs/>
                <w:sz w:val="16"/>
                <w:szCs w:val="16"/>
              </w:rPr>
            </w:pPr>
            <w:r w:rsidRPr="00C50300">
              <w:rPr>
                <w:i/>
                <w:iCs/>
                <w:sz w:val="16"/>
                <w:szCs w:val="16"/>
              </w:rPr>
              <w:t>LNV</w:t>
            </w:r>
          </w:p>
        </w:tc>
        <w:tc>
          <w:tcPr>
            <w:tcW w:w="7918" w:type="dxa"/>
            <w:noWrap/>
            <w:hideMark/>
          </w:tcPr>
          <w:p w:rsidRPr="00C50300" w:rsidR="00C50300" w:rsidP="009F2F83" w:rsidRDefault="00C50300" w14:paraId="5155A1CC" w14:textId="77777777">
            <w:pPr>
              <w:spacing w:after="160" w:line="259" w:lineRule="auto"/>
              <w:rPr>
                <w:sz w:val="16"/>
                <w:szCs w:val="16"/>
              </w:rPr>
            </w:pPr>
            <w:r w:rsidRPr="00C50300">
              <w:rPr>
                <w:sz w:val="16"/>
                <w:szCs w:val="16"/>
              </w:rPr>
              <w:t>Legalisatie PAS-melders</w:t>
            </w:r>
          </w:p>
        </w:tc>
      </w:tr>
      <w:tr w:rsidRPr="00091019" w:rsidR="00C50300" w:rsidTr="00C50300" w14:paraId="65B68CE1" w14:textId="77777777">
        <w:trPr>
          <w:trHeight w:val="20"/>
        </w:trPr>
        <w:tc>
          <w:tcPr>
            <w:tcW w:w="1008" w:type="dxa"/>
            <w:noWrap/>
            <w:hideMark/>
          </w:tcPr>
          <w:p w:rsidRPr="00C50300" w:rsidR="00C50300" w:rsidP="009F2F83" w:rsidRDefault="00C50300" w14:paraId="1DDD905E" w14:textId="77777777">
            <w:pPr>
              <w:spacing w:after="160" w:line="259" w:lineRule="auto"/>
              <w:rPr>
                <w:i/>
                <w:iCs/>
                <w:sz w:val="16"/>
                <w:szCs w:val="16"/>
              </w:rPr>
            </w:pPr>
            <w:r w:rsidRPr="00C50300">
              <w:rPr>
                <w:i/>
                <w:iCs/>
                <w:sz w:val="16"/>
                <w:szCs w:val="16"/>
              </w:rPr>
              <w:t>LNV</w:t>
            </w:r>
          </w:p>
        </w:tc>
        <w:tc>
          <w:tcPr>
            <w:tcW w:w="7918" w:type="dxa"/>
            <w:noWrap/>
            <w:hideMark/>
          </w:tcPr>
          <w:p w:rsidRPr="00C50300" w:rsidR="00C50300" w:rsidP="009F2F83" w:rsidRDefault="00C50300" w14:paraId="57F82529" w14:textId="77777777">
            <w:pPr>
              <w:spacing w:after="160" w:line="259" w:lineRule="auto"/>
              <w:rPr>
                <w:sz w:val="16"/>
                <w:szCs w:val="16"/>
              </w:rPr>
            </w:pPr>
            <w:r w:rsidRPr="00C50300">
              <w:rPr>
                <w:sz w:val="16"/>
                <w:szCs w:val="16"/>
              </w:rPr>
              <w:t>Programma natuur</w:t>
            </w:r>
          </w:p>
        </w:tc>
      </w:tr>
      <w:tr w:rsidRPr="00091019" w:rsidR="00C50300" w:rsidTr="00C50300" w14:paraId="44F22926" w14:textId="77777777">
        <w:trPr>
          <w:trHeight w:val="20"/>
        </w:trPr>
        <w:tc>
          <w:tcPr>
            <w:tcW w:w="1008" w:type="dxa"/>
            <w:noWrap/>
            <w:hideMark/>
          </w:tcPr>
          <w:p w:rsidRPr="00C50300" w:rsidR="00C50300" w:rsidP="009F2F83" w:rsidRDefault="00C50300" w14:paraId="27477EAA" w14:textId="77777777">
            <w:pPr>
              <w:spacing w:after="160" w:line="259" w:lineRule="auto"/>
              <w:rPr>
                <w:i/>
                <w:iCs/>
                <w:sz w:val="16"/>
                <w:szCs w:val="16"/>
              </w:rPr>
            </w:pPr>
            <w:r w:rsidRPr="00C50300">
              <w:rPr>
                <w:i/>
                <w:iCs/>
                <w:sz w:val="16"/>
                <w:szCs w:val="16"/>
              </w:rPr>
              <w:t>LNV</w:t>
            </w:r>
          </w:p>
        </w:tc>
        <w:tc>
          <w:tcPr>
            <w:tcW w:w="7918" w:type="dxa"/>
            <w:noWrap/>
            <w:hideMark/>
          </w:tcPr>
          <w:p w:rsidRPr="00C50300" w:rsidR="00C50300" w:rsidP="009F2F83" w:rsidRDefault="00C50300" w14:paraId="7CD2FAF3" w14:textId="77777777">
            <w:pPr>
              <w:spacing w:after="160" w:line="259" w:lineRule="auto"/>
              <w:rPr>
                <w:sz w:val="16"/>
                <w:szCs w:val="16"/>
              </w:rPr>
            </w:pPr>
            <w:r w:rsidRPr="00C50300">
              <w:rPr>
                <w:sz w:val="16"/>
                <w:szCs w:val="16"/>
              </w:rPr>
              <w:t>Financiering Maatregelpakketten</w:t>
            </w:r>
          </w:p>
        </w:tc>
      </w:tr>
      <w:tr w:rsidRPr="00091019" w:rsidR="00C50300" w:rsidTr="00C50300" w14:paraId="26E71795" w14:textId="77777777">
        <w:trPr>
          <w:trHeight w:val="20"/>
        </w:trPr>
        <w:tc>
          <w:tcPr>
            <w:tcW w:w="1008" w:type="dxa"/>
            <w:noWrap/>
            <w:hideMark/>
          </w:tcPr>
          <w:p w:rsidRPr="00C50300" w:rsidR="00C50300" w:rsidP="009F2F83" w:rsidRDefault="00C50300" w14:paraId="19216DCD" w14:textId="77777777">
            <w:pPr>
              <w:spacing w:after="160" w:line="259" w:lineRule="auto"/>
              <w:rPr>
                <w:sz w:val="16"/>
                <w:szCs w:val="16"/>
              </w:rPr>
            </w:pPr>
            <w:r w:rsidRPr="00C50300">
              <w:rPr>
                <w:sz w:val="16"/>
                <w:szCs w:val="16"/>
              </w:rPr>
              <w:t>OCW</w:t>
            </w:r>
          </w:p>
        </w:tc>
        <w:tc>
          <w:tcPr>
            <w:tcW w:w="7918" w:type="dxa"/>
            <w:noWrap/>
            <w:hideMark/>
          </w:tcPr>
          <w:p w:rsidRPr="00C50300" w:rsidR="00C50300" w:rsidP="009F2F83" w:rsidRDefault="00C50300" w14:paraId="327E0087" w14:textId="77777777">
            <w:pPr>
              <w:spacing w:after="160" w:line="259" w:lineRule="auto"/>
              <w:rPr>
                <w:sz w:val="16"/>
                <w:szCs w:val="16"/>
              </w:rPr>
            </w:pPr>
            <w:r w:rsidRPr="00C50300">
              <w:rPr>
                <w:sz w:val="16"/>
                <w:szCs w:val="16"/>
              </w:rPr>
              <w:t>Gemeentelijk onderwijsachterstandenbeleid</w:t>
            </w:r>
          </w:p>
        </w:tc>
      </w:tr>
      <w:tr w:rsidRPr="00091019" w:rsidR="00C50300" w:rsidTr="00C50300" w14:paraId="66027B50" w14:textId="77777777">
        <w:trPr>
          <w:trHeight w:val="20"/>
        </w:trPr>
        <w:tc>
          <w:tcPr>
            <w:tcW w:w="1008" w:type="dxa"/>
            <w:noWrap/>
            <w:hideMark/>
          </w:tcPr>
          <w:p w:rsidRPr="00C50300" w:rsidR="00C50300" w:rsidP="009F2F83" w:rsidRDefault="00C50300" w14:paraId="0A806F1F" w14:textId="77777777">
            <w:pPr>
              <w:spacing w:after="160" w:line="259" w:lineRule="auto"/>
              <w:rPr>
                <w:sz w:val="16"/>
                <w:szCs w:val="16"/>
              </w:rPr>
            </w:pPr>
            <w:r w:rsidRPr="00C50300">
              <w:rPr>
                <w:sz w:val="16"/>
                <w:szCs w:val="16"/>
              </w:rPr>
              <w:t>OCW</w:t>
            </w:r>
          </w:p>
        </w:tc>
        <w:tc>
          <w:tcPr>
            <w:tcW w:w="7918" w:type="dxa"/>
            <w:noWrap/>
            <w:hideMark/>
          </w:tcPr>
          <w:p w:rsidRPr="00C50300" w:rsidR="00C50300" w:rsidP="009F2F83" w:rsidRDefault="00C50300" w14:paraId="7C33B061" w14:textId="77777777">
            <w:pPr>
              <w:spacing w:after="160" w:line="259" w:lineRule="auto"/>
              <w:rPr>
                <w:sz w:val="16"/>
                <w:szCs w:val="16"/>
              </w:rPr>
            </w:pPr>
            <w:r w:rsidRPr="00C50300">
              <w:rPr>
                <w:sz w:val="16"/>
                <w:szCs w:val="16"/>
              </w:rPr>
              <w:t>Educatie</w:t>
            </w:r>
          </w:p>
        </w:tc>
      </w:tr>
      <w:tr w:rsidRPr="00091019" w:rsidR="00C50300" w:rsidTr="00C50300" w14:paraId="79B0B7E0" w14:textId="77777777">
        <w:trPr>
          <w:trHeight w:val="20"/>
        </w:trPr>
        <w:tc>
          <w:tcPr>
            <w:tcW w:w="1008" w:type="dxa"/>
            <w:noWrap/>
            <w:hideMark/>
          </w:tcPr>
          <w:p w:rsidRPr="00C50300" w:rsidR="00C50300" w:rsidP="009F2F83" w:rsidRDefault="00C50300" w14:paraId="0841927E" w14:textId="77777777">
            <w:pPr>
              <w:spacing w:after="160" w:line="259" w:lineRule="auto"/>
              <w:rPr>
                <w:sz w:val="16"/>
                <w:szCs w:val="16"/>
              </w:rPr>
            </w:pPr>
            <w:r w:rsidRPr="00C50300">
              <w:rPr>
                <w:sz w:val="16"/>
                <w:szCs w:val="16"/>
              </w:rPr>
              <w:t>OCW</w:t>
            </w:r>
          </w:p>
        </w:tc>
        <w:tc>
          <w:tcPr>
            <w:tcW w:w="7918" w:type="dxa"/>
            <w:noWrap/>
            <w:hideMark/>
          </w:tcPr>
          <w:p w:rsidRPr="00C50300" w:rsidR="00C50300" w:rsidP="009F2F83" w:rsidRDefault="00C50300" w14:paraId="569DAADD" w14:textId="77777777">
            <w:pPr>
              <w:spacing w:after="160" w:line="259" w:lineRule="auto"/>
              <w:rPr>
                <w:sz w:val="16"/>
                <w:szCs w:val="16"/>
              </w:rPr>
            </w:pPr>
            <w:r w:rsidRPr="00C50300">
              <w:rPr>
                <w:sz w:val="16"/>
                <w:szCs w:val="16"/>
              </w:rPr>
              <w:t xml:space="preserve">RMC's  </w:t>
            </w:r>
          </w:p>
        </w:tc>
      </w:tr>
      <w:tr w:rsidRPr="00091019" w:rsidR="00C50300" w:rsidTr="00C50300" w14:paraId="4D787824" w14:textId="77777777">
        <w:trPr>
          <w:trHeight w:val="20"/>
        </w:trPr>
        <w:tc>
          <w:tcPr>
            <w:tcW w:w="1008" w:type="dxa"/>
            <w:noWrap/>
            <w:hideMark/>
          </w:tcPr>
          <w:p w:rsidRPr="00C50300" w:rsidR="00C50300" w:rsidP="009F2F83" w:rsidRDefault="00C50300" w14:paraId="0B8AF32E" w14:textId="77777777">
            <w:pPr>
              <w:spacing w:after="160" w:line="259" w:lineRule="auto"/>
              <w:rPr>
                <w:sz w:val="16"/>
                <w:szCs w:val="16"/>
              </w:rPr>
            </w:pPr>
            <w:r w:rsidRPr="00C50300">
              <w:rPr>
                <w:sz w:val="16"/>
                <w:szCs w:val="16"/>
              </w:rPr>
              <w:t>OCW</w:t>
            </w:r>
          </w:p>
        </w:tc>
        <w:tc>
          <w:tcPr>
            <w:tcW w:w="7918" w:type="dxa"/>
            <w:noWrap/>
            <w:hideMark/>
          </w:tcPr>
          <w:p w:rsidRPr="00C50300" w:rsidR="00C50300" w:rsidP="009F2F83" w:rsidRDefault="00C50300" w14:paraId="6C9FE747" w14:textId="77777777">
            <w:pPr>
              <w:spacing w:after="160" w:line="259" w:lineRule="auto"/>
              <w:rPr>
                <w:sz w:val="16"/>
                <w:szCs w:val="16"/>
              </w:rPr>
            </w:pPr>
            <w:r w:rsidRPr="00C50300">
              <w:rPr>
                <w:sz w:val="16"/>
                <w:szCs w:val="16"/>
              </w:rPr>
              <w:t xml:space="preserve">Regionaal programma </w:t>
            </w:r>
          </w:p>
        </w:tc>
      </w:tr>
      <w:tr w:rsidRPr="00091019" w:rsidR="00C50300" w:rsidTr="00C50300" w14:paraId="480D8485" w14:textId="77777777">
        <w:trPr>
          <w:trHeight w:val="20"/>
        </w:trPr>
        <w:tc>
          <w:tcPr>
            <w:tcW w:w="1008" w:type="dxa"/>
            <w:noWrap/>
            <w:hideMark/>
          </w:tcPr>
          <w:p w:rsidRPr="00C50300" w:rsidR="00C50300" w:rsidP="009F2F83" w:rsidRDefault="00C50300" w14:paraId="21A5E5E8" w14:textId="77777777">
            <w:pPr>
              <w:spacing w:after="160" w:line="259" w:lineRule="auto"/>
              <w:rPr>
                <w:sz w:val="16"/>
                <w:szCs w:val="16"/>
              </w:rPr>
            </w:pPr>
            <w:r w:rsidRPr="00C50300">
              <w:rPr>
                <w:sz w:val="16"/>
                <w:szCs w:val="16"/>
              </w:rPr>
              <w:t>OCW</w:t>
            </w:r>
          </w:p>
        </w:tc>
        <w:tc>
          <w:tcPr>
            <w:tcW w:w="7918" w:type="dxa"/>
            <w:noWrap/>
            <w:hideMark/>
          </w:tcPr>
          <w:p w:rsidRPr="00C50300" w:rsidR="00C50300" w:rsidP="009F2F83" w:rsidRDefault="00C50300" w14:paraId="7471AD2D" w14:textId="77777777">
            <w:pPr>
              <w:spacing w:after="160" w:line="259" w:lineRule="auto"/>
              <w:rPr>
                <w:sz w:val="16"/>
                <w:szCs w:val="16"/>
              </w:rPr>
            </w:pPr>
            <w:r w:rsidRPr="00C50300">
              <w:rPr>
                <w:sz w:val="16"/>
                <w:szCs w:val="16"/>
              </w:rPr>
              <w:t>Landelijke erfgoedregistratie</w:t>
            </w:r>
          </w:p>
        </w:tc>
      </w:tr>
      <w:tr w:rsidRPr="00091019" w:rsidR="00C50300" w:rsidTr="00C50300" w14:paraId="0A9D2FBF" w14:textId="77777777">
        <w:trPr>
          <w:trHeight w:val="20"/>
        </w:trPr>
        <w:tc>
          <w:tcPr>
            <w:tcW w:w="1008" w:type="dxa"/>
            <w:noWrap/>
            <w:hideMark/>
          </w:tcPr>
          <w:p w:rsidRPr="00C50300" w:rsidR="00C50300" w:rsidP="009F2F83" w:rsidRDefault="00C50300" w14:paraId="49A1AED1" w14:textId="77777777">
            <w:pPr>
              <w:spacing w:after="160" w:line="259" w:lineRule="auto"/>
              <w:rPr>
                <w:sz w:val="16"/>
                <w:szCs w:val="16"/>
              </w:rPr>
            </w:pPr>
            <w:r w:rsidRPr="00C50300">
              <w:rPr>
                <w:sz w:val="16"/>
                <w:szCs w:val="16"/>
              </w:rPr>
              <w:t>SZW</w:t>
            </w:r>
          </w:p>
        </w:tc>
        <w:tc>
          <w:tcPr>
            <w:tcW w:w="7918" w:type="dxa"/>
            <w:noWrap/>
            <w:hideMark/>
          </w:tcPr>
          <w:p w:rsidRPr="00C50300" w:rsidR="00C50300" w:rsidP="009F2F83" w:rsidRDefault="00C50300" w14:paraId="5ABC7339" w14:textId="77777777">
            <w:pPr>
              <w:spacing w:after="160" w:line="259" w:lineRule="auto"/>
              <w:rPr>
                <w:sz w:val="16"/>
                <w:szCs w:val="16"/>
              </w:rPr>
            </w:pPr>
            <w:r w:rsidRPr="00C50300">
              <w:rPr>
                <w:sz w:val="16"/>
                <w:szCs w:val="16"/>
              </w:rPr>
              <w:t>Wet inburgering 2021</w:t>
            </w:r>
          </w:p>
        </w:tc>
      </w:tr>
      <w:tr w:rsidRPr="00091019" w:rsidR="00C50300" w:rsidTr="00C50300" w14:paraId="025A00B2" w14:textId="77777777">
        <w:trPr>
          <w:trHeight w:val="20"/>
        </w:trPr>
        <w:tc>
          <w:tcPr>
            <w:tcW w:w="1008" w:type="dxa"/>
            <w:noWrap/>
            <w:hideMark/>
          </w:tcPr>
          <w:p w:rsidRPr="00C50300" w:rsidR="00C50300" w:rsidP="009F2F83" w:rsidRDefault="00C50300" w14:paraId="4B3D644A" w14:textId="77777777">
            <w:pPr>
              <w:spacing w:after="160" w:line="259" w:lineRule="auto"/>
              <w:rPr>
                <w:sz w:val="16"/>
                <w:szCs w:val="16"/>
              </w:rPr>
            </w:pPr>
            <w:r w:rsidRPr="00C50300">
              <w:rPr>
                <w:sz w:val="16"/>
                <w:szCs w:val="16"/>
              </w:rPr>
              <w:t>SZW</w:t>
            </w:r>
          </w:p>
        </w:tc>
        <w:tc>
          <w:tcPr>
            <w:tcW w:w="7918" w:type="dxa"/>
            <w:noWrap/>
            <w:hideMark/>
          </w:tcPr>
          <w:p w:rsidRPr="00C50300" w:rsidR="00C50300" w:rsidP="009F2F83" w:rsidRDefault="00C50300" w14:paraId="0D3D43AD" w14:textId="77777777">
            <w:pPr>
              <w:spacing w:after="160" w:line="259" w:lineRule="auto"/>
              <w:rPr>
                <w:sz w:val="16"/>
                <w:szCs w:val="16"/>
              </w:rPr>
            </w:pPr>
            <w:r w:rsidRPr="00C50300">
              <w:rPr>
                <w:sz w:val="16"/>
                <w:szCs w:val="16"/>
              </w:rPr>
              <w:t>reservering NPLV armoede en schulden</w:t>
            </w:r>
          </w:p>
        </w:tc>
      </w:tr>
      <w:tr w:rsidRPr="00091019" w:rsidR="00C50300" w:rsidTr="00C50300" w14:paraId="04D42893" w14:textId="77777777">
        <w:trPr>
          <w:trHeight w:val="20"/>
        </w:trPr>
        <w:tc>
          <w:tcPr>
            <w:tcW w:w="1008" w:type="dxa"/>
            <w:noWrap/>
            <w:hideMark/>
          </w:tcPr>
          <w:p w:rsidRPr="00C50300" w:rsidR="00C50300" w:rsidP="009F2F83" w:rsidRDefault="00C50300" w14:paraId="51D94CA8" w14:textId="77777777">
            <w:pPr>
              <w:spacing w:after="160" w:line="259" w:lineRule="auto"/>
              <w:rPr>
                <w:sz w:val="16"/>
                <w:szCs w:val="16"/>
              </w:rPr>
            </w:pPr>
            <w:r w:rsidRPr="00C50300">
              <w:rPr>
                <w:sz w:val="16"/>
                <w:szCs w:val="16"/>
              </w:rPr>
              <w:t>SZW</w:t>
            </w:r>
          </w:p>
        </w:tc>
        <w:tc>
          <w:tcPr>
            <w:tcW w:w="7918" w:type="dxa"/>
            <w:noWrap/>
            <w:hideMark/>
          </w:tcPr>
          <w:p w:rsidRPr="00C50300" w:rsidR="00C50300" w:rsidP="009F2F83" w:rsidRDefault="00C50300" w14:paraId="185EB861" w14:textId="77777777">
            <w:pPr>
              <w:spacing w:after="160" w:line="259" w:lineRule="auto"/>
              <w:rPr>
                <w:sz w:val="16"/>
                <w:szCs w:val="16"/>
              </w:rPr>
            </w:pPr>
            <w:r w:rsidRPr="00C50300">
              <w:rPr>
                <w:sz w:val="16"/>
                <w:szCs w:val="16"/>
              </w:rPr>
              <w:t>reservering NPLV re-integratie</w:t>
            </w:r>
          </w:p>
        </w:tc>
      </w:tr>
      <w:tr w:rsidRPr="00091019" w:rsidR="00C50300" w:rsidTr="00C50300" w14:paraId="2F54A0E9" w14:textId="77777777">
        <w:trPr>
          <w:trHeight w:val="20"/>
        </w:trPr>
        <w:tc>
          <w:tcPr>
            <w:tcW w:w="1008" w:type="dxa"/>
            <w:noWrap/>
            <w:hideMark/>
          </w:tcPr>
          <w:p w:rsidRPr="00C50300" w:rsidR="00C50300" w:rsidP="009F2F83" w:rsidRDefault="00C50300" w14:paraId="5A253FE1" w14:textId="77777777">
            <w:pPr>
              <w:spacing w:after="160" w:line="259" w:lineRule="auto"/>
              <w:rPr>
                <w:sz w:val="16"/>
                <w:szCs w:val="16"/>
              </w:rPr>
            </w:pPr>
            <w:r w:rsidRPr="00C50300">
              <w:rPr>
                <w:sz w:val="16"/>
                <w:szCs w:val="16"/>
              </w:rPr>
              <w:t>SZW</w:t>
            </w:r>
          </w:p>
        </w:tc>
        <w:tc>
          <w:tcPr>
            <w:tcW w:w="7918" w:type="dxa"/>
            <w:noWrap/>
            <w:hideMark/>
          </w:tcPr>
          <w:p w:rsidRPr="00C50300" w:rsidR="00C50300" w:rsidP="009F2F83" w:rsidRDefault="00C50300" w14:paraId="62108895" w14:textId="77777777">
            <w:pPr>
              <w:spacing w:after="160" w:line="259" w:lineRule="auto"/>
              <w:rPr>
                <w:sz w:val="16"/>
                <w:szCs w:val="16"/>
              </w:rPr>
            </w:pPr>
            <w:r w:rsidRPr="00C50300">
              <w:rPr>
                <w:sz w:val="16"/>
                <w:szCs w:val="16"/>
              </w:rPr>
              <w:t xml:space="preserve">transformatiebudget sociale ontwikkelbedrijven </w:t>
            </w:r>
          </w:p>
        </w:tc>
      </w:tr>
      <w:tr w:rsidRPr="00091019" w:rsidR="00C50300" w:rsidTr="00C50300" w14:paraId="74EBA70B" w14:textId="77777777">
        <w:trPr>
          <w:trHeight w:val="20"/>
        </w:trPr>
        <w:tc>
          <w:tcPr>
            <w:tcW w:w="1008" w:type="dxa"/>
            <w:noWrap/>
            <w:hideMark/>
          </w:tcPr>
          <w:p w:rsidRPr="00C50300" w:rsidR="00C50300" w:rsidP="009F2F83" w:rsidRDefault="00C50300" w14:paraId="5CADC9E2" w14:textId="77777777">
            <w:pPr>
              <w:spacing w:after="160" w:line="259" w:lineRule="auto"/>
              <w:rPr>
                <w:sz w:val="16"/>
                <w:szCs w:val="16"/>
              </w:rPr>
            </w:pPr>
            <w:r w:rsidRPr="00C50300">
              <w:rPr>
                <w:sz w:val="16"/>
                <w:szCs w:val="16"/>
              </w:rPr>
              <w:t>SZW</w:t>
            </w:r>
          </w:p>
        </w:tc>
        <w:tc>
          <w:tcPr>
            <w:tcW w:w="7918" w:type="dxa"/>
            <w:noWrap/>
            <w:hideMark/>
          </w:tcPr>
          <w:p w:rsidRPr="00C50300" w:rsidR="00C50300" w:rsidP="009F2F83" w:rsidRDefault="00C50300" w14:paraId="1226C8A2" w14:textId="77777777">
            <w:pPr>
              <w:spacing w:after="160" w:line="259" w:lineRule="auto"/>
              <w:rPr>
                <w:sz w:val="16"/>
                <w:szCs w:val="16"/>
              </w:rPr>
            </w:pPr>
            <w:r w:rsidRPr="00C50300">
              <w:rPr>
                <w:sz w:val="16"/>
                <w:szCs w:val="16"/>
              </w:rPr>
              <w:t>SPUK grensinformatiepunten</w:t>
            </w:r>
          </w:p>
        </w:tc>
      </w:tr>
      <w:tr w:rsidRPr="00091019" w:rsidR="00C50300" w:rsidTr="00C50300" w14:paraId="409FA3E3" w14:textId="77777777">
        <w:trPr>
          <w:trHeight w:val="20"/>
        </w:trPr>
        <w:tc>
          <w:tcPr>
            <w:tcW w:w="1008" w:type="dxa"/>
            <w:noWrap/>
            <w:hideMark/>
          </w:tcPr>
          <w:p w:rsidRPr="00C50300" w:rsidR="00C50300" w:rsidP="009F2F83" w:rsidRDefault="00C50300" w14:paraId="0F745A0B"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7DAF1403" w14:textId="77777777">
            <w:pPr>
              <w:spacing w:after="160" w:line="259" w:lineRule="auto"/>
              <w:rPr>
                <w:sz w:val="16"/>
                <w:szCs w:val="16"/>
              </w:rPr>
            </w:pPr>
            <w:r w:rsidRPr="00C50300">
              <w:rPr>
                <w:sz w:val="16"/>
                <w:szCs w:val="16"/>
              </w:rPr>
              <w:t>Specifieke uitkering sport en bewegen, gezondheidsbevordering, cultuurparticipatie en de sociale basis 2023–2026</w:t>
            </w:r>
          </w:p>
        </w:tc>
      </w:tr>
      <w:tr w:rsidRPr="00091019" w:rsidR="00C50300" w:rsidTr="00C50300" w14:paraId="211A438D" w14:textId="77777777">
        <w:trPr>
          <w:trHeight w:val="20"/>
        </w:trPr>
        <w:tc>
          <w:tcPr>
            <w:tcW w:w="1008" w:type="dxa"/>
            <w:noWrap/>
            <w:hideMark/>
          </w:tcPr>
          <w:p w:rsidRPr="00C50300" w:rsidR="00C50300" w:rsidP="009F2F83" w:rsidRDefault="00C50300" w14:paraId="475F0B6A"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2445B415" w14:textId="77777777">
            <w:pPr>
              <w:spacing w:after="160" w:line="259" w:lineRule="auto"/>
              <w:rPr>
                <w:sz w:val="16"/>
                <w:szCs w:val="16"/>
              </w:rPr>
            </w:pPr>
            <w:r w:rsidRPr="00C50300">
              <w:rPr>
                <w:sz w:val="16"/>
                <w:szCs w:val="16"/>
              </w:rPr>
              <w:t>Brede SPUK onderdeel terugdringen gezondheidsachterstanden</w:t>
            </w:r>
          </w:p>
        </w:tc>
      </w:tr>
      <w:tr w:rsidRPr="00091019" w:rsidR="00C50300" w:rsidTr="00C50300" w14:paraId="38517691" w14:textId="77777777">
        <w:trPr>
          <w:trHeight w:val="20"/>
        </w:trPr>
        <w:tc>
          <w:tcPr>
            <w:tcW w:w="1008" w:type="dxa"/>
            <w:noWrap/>
            <w:hideMark/>
          </w:tcPr>
          <w:p w:rsidRPr="00C50300" w:rsidR="00C50300" w:rsidP="009F2F83" w:rsidRDefault="00C50300" w14:paraId="079E3B5D"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5C5808AB" w14:textId="77777777">
            <w:pPr>
              <w:spacing w:after="160" w:line="259" w:lineRule="auto"/>
              <w:rPr>
                <w:sz w:val="16"/>
                <w:szCs w:val="16"/>
              </w:rPr>
            </w:pPr>
            <w:r w:rsidRPr="00C50300">
              <w:rPr>
                <w:sz w:val="16"/>
                <w:szCs w:val="16"/>
              </w:rPr>
              <w:t>Brede SPUK onderdeel kansrijke start</w:t>
            </w:r>
          </w:p>
        </w:tc>
      </w:tr>
      <w:tr w:rsidRPr="00091019" w:rsidR="00C50300" w:rsidTr="00C50300" w14:paraId="55087D2A" w14:textId="77777777">
        <w:trPr>
          <w:trHeight w:val="20"/>
        </w:trPr>
        <w:tc>
          <w:tcPr>
            <w:tcW w:w="1008" w:type="dxa"/>
            <w:noWrap/>
            <w:hideMark/>
          </w:tcPr>
          <w:p w:rsidRPr="00C50300" w:rsidR="00C50300" w:rsidP="009F2F83" w:rsidRDefault="00C50300" w14:paraId="283E687A"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7D3AD4F4" w14:textId="77777777">
            <w:pPr>
              <w:spacing w:after="160" w:line="259" w:lineRule="auto"/>
              <w:rPr>
                <w:sz w:val="16"/>
                <w:szCs w:val="16"/>
              </w:rPr>
            </w:pPr>
            <w:r w:rsidRPr="00C50300">
              <w:rPr>
                <w:sz w:val="16"/>
                <w:szCs w:val="16"/>
              </w:rPr>
              <w:t>Brede SPUK onderdeel valpreventie</w:t>
            </w:r>
          </w:p>
        </w:tc>
      </w:tr>
      <w:tr w:rsidRPr="00091019" w:rsidR="00C50300" w:rsidTr="00C50300" w14:paraId="5DBC4DA2" w14:textId="77777777">
        <w:trPr>
          <w:trHeight w:val="20"/>
        </w:trPr>
        <w:tc>
          <w:tcPr>
            <w:tcW w:w="1008" w:type="dxa"/>
            <w:noWrap/>
            <w:hideMark/>
          </w:tcPr>
          <w:p w:rsidRPr="00C50300" w:rsidR="00C50300" w:rsidP="009F2F83" w:rsidRDefault="00C50300" w14:paraId="41B69D15"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15B50CE4" w14:textId="77777777">
            <w:pPr>
              <w:spacing w:after="160" w:line="259" w:lineRule="auto"/>
              <w:rPr>
                <w:sz w:val="16"/>
                <w:szCs w:val="16"/>
              </w:rPr>
            </w:pPr>
            <w:r w:rsidRPr="00C50300">
              <w:rPr>
                <w:sz w:val="16"/>
                <w:szCs w:val="16"/>
              </w:rPr>
              <w:t>Brede SPUK onderdeel Lokaal Sportakkoord</w:t>
            </w:r>
          </w:p>
        </w:tc>
      </w:tr>
      <w:tr w:rsidRPr="00091019" w:rsidR="00C50300" w:rsidTr="00C50300" w14:paraId="419A2370" w14:textId="77777777">
        <w:trPr>
          <w:trHeight w:val="20"/>
        </w:trPr>
        <w:tc>
          <w:tcPr>
            <w:tcW w:w="1008" w:type="dxa"/>
            <w:noWrap/>
            <w:hideMark/>
          </w:tcPr>
          <w:p w:rsidRPr="00C50300" w:rsidR="00C50300" w:rsidP="009F2F83" w:rsidRDefault="00C50300" w14:paraId="1BFB32A5" w14:textId="77777777">
            <w:pPr>
              <w:spacing w:after="160" w:line="259" w:lineRule="auto"/>
              <w:rPr>
                <w:sz w:val="16"/>
                <w:szCs w:val="16"/>
              </w:rPr>
            </w:pPr>
            <w:r w:rsidRPr="00C50300">
              <w:rPr>
                <w:sz w:val="16"/>
                <w:szCs w:val="16"/>
              </w:rPr>
              <w:lastRenderedPageBreak/>
              <w:t>VWS</w:t>
            </w:r>
          </w:p>
        </w:tc>
        <w:tc>
          <w:tcPr>
            <w:tcW w:w="7918" w:type="dxa"/>
            <w:noWrap/>
            <w:hideMark/>
          </w:tcPr>
          <w:p w:rsidRPr="00C50300" w:rsidR="00C50300" w:rsidP="009F2F83" w:rsidRDefault="00C50300" w14:paraId="0ED2A1E9" w14:textId="77777777">
            <w:pPr>
              <w:spacing w:after="160" w:line="259" w:lineRule="auto"/>
              <w:rPr>
                <w:sz w:val="16"/>
                <w:szCs w:val="16"/>
              </w:rPr>
            </w:pPr>
            <w:r w:rsidRPr="00C50300">
              <w:rPr>
                <w:sz w:val="16"/>
                <w:szCs w:val="16"/>
              </w:rPr>
              <w:t>Brede SPUK onderdeel Brede Regeling Combinatiefunctie</w:t>
            </w:r>
          </w:p>
        </w:tc>
      </w:tr>
      <w:tr w:rsidRPr="00091019" w:rsidR="00C50300" w:rsidTr="00C50300" w14:paraId="4003C1B7" w14:textId="77777777">
        <w:trPr>
          <w:trHeight w:val="20"/>
        </w:trPr>
        <w:tc>
          <w:tcPr>
            <w:tcW w:w="1008" w:type="dxa"/>
            <w:noWrap/>
            <w:hideMark/>
          </w:tcPr>
          <w:p w:rsidRPr="00C50300" w:rsidR="00C50300" w:rsidP="009F2F83" w:rsidRDefault="00C50300" w14:paraId="514E5794"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4582A514" w14:textId="77777777">
            <w:pPr>
              <w:spacing w:after="160" w:line="259" w:lineRule="auto"/>
              <w:rPr>
                <w:sz w:val="16"/>
                <w:szCs w:val="16"/>
              </w:rPr>
            </w:pPr>
            <w:r w:rsidRPr="00C50300">
              <w:rPr>
                <w:sz w:val="16"/>
                <w:szCs w:val="16"/>
              </w:rPr>
              <w:t>Brede SPUK onderdeel Mantelzorg</w:t>
            </w:r>
          </w:p>
        </w:tc>
      </w:tr>
      <w:tr w:rsidRPr="00091019" w:rsidR="00C50300" w:rsidTr="00C50300" w14:paraId="73032F7D" w14:textId="77777777">
        <w:trPr>
          <w:trHeight w:val="20"/>
        </w:trPr>
        <w:tc>
          <w:tcPr>
            <w:tcW w:w="1008" w:type="dxa"/>
            <w:noWrap/>
            <w:hideMark/>
          </w:tcPr>
          <w:p w:rsidRPr="00C50300" w:rsidR="00C50300" w:rsidP="009F2F83" w:rsidRDefault="00C50300" w14:paraId="6B2B4DF6"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775AD751" w14:textId="77777777">
            <w:pPr>
              <w:spacing w:after="160" w:line="259" w:lineRule="auto"/>
              <w:rPr>
                <w:sz w:val="16"/>
                <w:szCs w:val="16"/>
              </w:rPr>
            </w:pPr>
            <w:r w:rsidRPr="00C50300">
              <w:rPr>
                <w:sz w:val="16"/>
                <w:szCs w:val="16"/>
              </w:rPr>
              <w:t>Regeling heroinebehandeling</w:t>
            </w:r>
          </w:p>
        </w:tc>
      </w:tr>
      <w:tr w:rsidRPr="00091019" w:rsidR="00C50300" w:rsidTr="00C50300" w14:paraId="1CF03D8D" w14:textId="77777777">
        <w:trPr>
          <w:trHeight w:val="20"/>
        </w:trPr>
        <w:tc>
          <w:tcPr>
            <w:tcW w:w="1008" w:type="dxa"/>
            <w:noWrap/>
            <w:hideMark/>
          </w:tcPr>
          <w:p w:rsidRPr="00C50300" w:rsidR="00C50300" w:rsidP="009F2F83" w:rsidRDefault="00C50300" w14:paraId="5C41D25C"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642FE850" w14:textId="77777777">
            <w:pPr>
              <w:spacing w:after="160" w:line="259" w:lineRule="auto"/>
              <w:rPr>
                <w:sz w:val="16"/>
                <w:szCs w:val="16"/>
              </w:rPr>
            </w:pPr>
            <w:r w:rsidRPr="00C50300">
              <w:rPr>
                <w:sz w:val="16"/>
                <w:szCs w:val="16"/>
              </w:rPr>
              <w:t>Specifieke uitkering stimulering sport</w:t>
            </w:r>
          </w:p>
        </w:tc>
      </w:tr>
      <w:tr w:rsidRPr="00091019" w:rsidR="00C50300" w:rsidTr="00C50300" w14:paraId="1053710C" w14:textId="77777777">
        <w:trPr>
          <w:trHeight w:val="20"/>
        </w:trPr>
        <w:tc>
          <w:tcPr>
            <w:tcW w:w="1008" w:type="dxa"/>
            <w:noWrap/>
            <w:hideMark/>
          </w:tcPr>
          <w:p w:rsidRPr="00C50300" w:rsidR="00C50300" w:rsidP="009F2F83" w:rsidRDefault="00C50300" w14:paraId="477600B2"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15058887" w14:textId="77777777">
            <w:pPr>
              <w:spacing w:after="160" w:line="259" w:lineRule="auto"/>
              <w:rPr>
                <w:sz w:val="16"/>
                <w:szCs w:val="16"/>
              </w:rPr>
            </w:pPr>
            <w:r w:rsidRPr="00C50300">
              <w:rPr>
                <w:sz w:val="16"/>
                <w:szCs w:val="16"/>
              </w:rPr>
              <w:t>Specifieke uitkering stimulering sport - ontvangsten</w:t>
            </w:r>
          </w:p>
        </w:tc>
      </w:tr>
      <w:tr w:rsidRPr="00091019" w:rsidR="00C50300" w:rsidTr="00C50300" w14:paraId="5E8BBC0D" w14:textId="77777777">
        <w:trPr>
          <w:trHeight w:val="20"/>
        </w:trPr>
        <w:tc>
          <w:tcPr>
            <w:tcW w:w="1008" w:type="dxa"/>
            <w:noWrap/>
            <w:hideMark/>
          </w:tcPr>
          <w:p w:rsidRPr="00C50300" w:rsidR="00C50300" w:rsidP="009F2F83" w:rsidRDefault="00C50300" w14:paraId="6C249034"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51BD1998" w14:textId="77777777">
            <w:pPr>
              <w:spacing w:after="160" w:line="259" w:lineRule="auto"/>
              <w:rPr>
                <w:sz w:val="16"/>
                <w:szCs w:val="16"/>
              </w:rPr>
            </w:pPr>
            <w:r w:rsidRPr="00C50300">
              <w:rPr>
                <w:sz w:val="16"/>
                <w:szCs w:val="16"/>
              </w:rPr>
              <w:t>Specifieke uitkering specialistische functies aanpak huiselijk geweld en kindermishandeling</w:t>
            </w:r>
          </w:p>
        </w:tc>
      </w:tr>
      <w:tr w:rsidRPr="00091019" w:rsidR="00C50300" w:rsidTr="00C50300" w14:paraId="1F59921E" w14:textId="77777777">
        <w:trPr>
          <w:trHeight w:val="20"/>
        </w:trPr>
        <w:tc>
          <w:tcPr>
            <w:tcW w:w="1008" w:type="dxa"/>
            <w:noWrap/>
            <w:hideMark/>
          </w:tcPr>
          <w:p w:rsidRPr="00C50300" w:rsidR="00C50300" w:rsidP="009F2F83" w:rsidRDefault="00C50300" w14:paraId="31BA24C7"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4D21A8E7" w14:textId="77777777">
            <w:pPr>
              <w:spacing w:after="160" w:line="259" w:lineRule="auto"/>
              <w:rPr>
                <w:sz w:val="16"/>
                <w:szCs w:val="16"/>
              </w:rPr>
            </w:pPr>
            <w:r w:rsidRPr="00C50300">
              <w:rPr>
                <w:sz w:val="16"/>
                <w:szCs w:val="16"/>
              </w:rPr>
              <w:t>Specifieke uitkering rand voorwaardelijke functies jeugdhulp</w:t>
            </w:r>
          </w:p>
        </w:tc>
      </w:tr>
      <w:tr w:rsidRPr="00091019" w:rsidR="00C50300" w:rsidTr="00C50300" w14:paraId="6BAB0C11" w14:textId="77777777">
        <w:trPr>
          <w:trHeight w:val="20"/>
        </w:trPr>
        <w:tc>
          <w:tcPr>
            <w:tcW w:w="1008" w:type="dxa"/>
            <w:noWrap/>
            <w:hideMark/>
          </w:tcPr>
          <w:p w:rsidRPr="00C50300" w:rsidR="00C50300" w:rsidP="009F2F83" w:rsidRDefault="00C50300" w14:paraId="4A474777"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2B8D6D68" w14:textId="77777777">
            <w:pPr>
              <w:spacing w:after="160" w:line="259" w:lineRule="auto"/>
              <w:rPr>
                <w:sz w:val="16"/>
                <w:szCs w:val="16"/>
              </w:rPr>
            </w:pPr>
            <w:r w:rsidRPr="00C50300">
              <w:rPr>
                <w:sz w:val="16"/>
                <w:szCs w:val="16"/>
              </w:rPr>
              <w:t>Specifieke uitkering IZA</w:t>
            </w:r>
          </w:p>
        </w:tc>
      </w:tr>
      <w:tr w:rsidRPr="00091019" w:rsidR="00C50300" w:rsidTr="00C50300" w14:paraId="36040809" w14:textId="77777777">
        <w:trPr>
          <w:trHeight w:val="20"/>
        </w:trPr>
        <w:tc>
          <w:tcPr>
            <w:tcW w:w="1008" w:type="dxa"/>
            <w:noWrap/>
            <w:hideMark/>
          </w:tcPr>
          <w:p w:rsidRPr="00C50300" w:rsidR="00C50300" w:rsidP="009F2F83" w:rsidRDefault="00C50300" w14:paraId="1BFAC77D"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7EC3BBAE" w14:textId="77777777">
            <w:pPr>
              <w:spacing w:after="160" w:line="259" w:lineRule="auto"/>
              <w:rPr>
                <w:sz w:val="16"/>
                <w:szCs w:val="16"/>
              </w:rPr>
            </w:pPr>
            <w:r w:rsidRPr="00C50300">
              <w:rPr>
                <w:sz w:val="16"/>
                <w:szCs w:val="16"/>
              </w:rPr>
              <w:t xml:space="preserve">Specifieke uitkering Transformatiemiddelen </w:t>
            </w:r>
          </w:p>
        </w:tc>
      </w:tr>
      <w:tr w:rsidRPr="00091019" w:rsidR="00C50300" w:rsidTr="00C50300" w14:paraId="4F6A6AA9" w14:textId="77777777">
        <w:trPr>
          <w:trHeight w:val="20"/>
        </w:trPr>
        <w:tc>
          <w:tcPr>
            <w:tcW w:w="1008" w:type="dxa"/>
            <w:noWrap/>
            <w:hideMark/>
          </w:tcPr>
          <w:p w:rsidRPr="00C50300" w:rsidR="00C50300" w:rsidP="009F2F83" w:rsidRDefault="00C50300" w14:paraId="53B504A1"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627F79A4" w14:textId="77777777">
            <w:pPr>
              <w:spacing w:after="160" w:line="259" w:lineRule="auto"/>
              <w:rPr>
                <w:sz w:val="16"/>
                <w:szCs w:val="16"/>
              </w:rPr>
            </w:pPr>
            <w:r w:rsidRPr="00C50300">
              <w:rPr>
                <w:sz w:val="16"/>
                <w:szCs w:val="16"/>
              </w:rPr>
              <w:t>Frictiekosten Jeugd</w:t>
            </w:r>
          </w:p>
        </w:tc>
      </w:tr>
      <w:tr w:rsidRPr="00091019" w:rsidR="00C50300" w:rsidTr="00C50300" w14:paraId="0D2035FF" w14:textId="77777777">
        <w:trPr>
          <w:trHeight w:val="20"/>
        </w:trPr>
        <w:tc>
          <w:tcPr>
            <w:tcW w:w="1008" w:type="dxa"/>
            <w:noWrap/>
            <w:hideMark/>
          </w:tcPr>
          <w:p w:rsidRPr="00C50300" w:rsidR="00C50300" w:rsidP="009F2F83" w:rsidRDefault="00C50300" w14:paraId="408AA651"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221B51DC" w14:textId="77777777">
            <w:pPr>
              <w:spacing w:after="160" w:line="259" w:lineRule="auto"/>
              <w:rPr>
                <w:sz w:val="16"/>
                <w:szCs w:val="16"/>
              </w:rPr>
            </w:pPr>
            <w:r w:rsidRPr="00C50300">
              <w:rPr>
                <w:sz w:val="16"/>
                <w:szCs w:val="16"/>
              </w:rPr>
              <w:t>Specifieke uitkering versterking GGD ‘en</w:t>
            </w:r>
          </w:p>
        </w:tc>
      </w:tr>
      <w:tr w:rsidRPr="00091019" w:rsidR="00C50300" w:rsidTr="00C50300" w14:paraId="25AF25B0" w14:textId="77777777">
        <w:trPr>
          <w:trHeight w:val="20"/>
        </w:trPr>
        <w:tc>
          <w:tcPr>
            <w:tcW w:w="1008" w:type="dxa"/>
            <w:noWrap/>
            <w:hideMark/>
          </w:tcPr>
          <w:p w:rsidRPr="00C50300" w:rsidR="00C50300" w:rsidP="009F2F83" w:rsidRDefault="00C50300" w14:paraId="27C43FA5"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2ECA65C6" w14:textId="77777777">
            <w:pPr>
              <w:spacing w:after="160" w:line="259" w:lineRule="auto"/>
              <w:rPr>
                <w:sz w:val="16"/>
                <w:szCs w:val="16"/>
              </w:rPr>
            </w:pPr>
            <w:r w:rsidRPr="00C50300">
              <w:rPr>
                <w:sz w:val="16"/>
                <w:szCs w:val="16"/>
              </w:rPr>
              <w:t>Specifieke uitkering PrEP/aanvullende seksuele gezondheidzorg</w:t>
            </w:r>
          </w:p>
        </w:tc>
      </w:tr>
      <w:tr w:rsidRPr="00091019" w:rsidR="00C50300" w:rsidTr="00C50300" w14:paraId="65CAC737" w14:textId="77777777">
        <w:trPr>
          <w:trHeight w:val="20"/>
        </w:trPr>
        <w:tc>
          <w:tcPr>
            <w:tcW w:w="1008" w:type="dxa"/>
            <w:noWrap/>
            <w:hideMark/>
          </w:tcPr>
          <w:p w:rsidRPr="00C50300" w:rsidR="00C50300" w:rsidP="009F2F83" w:rsidRDefault="00C50300" w14:paraId="4B4592B9" w14:textId="77777777">
            <w:pPr>
              <w:spacing w:after="160" w:line="259" w:lineRule="auto"/>
              <w:rPr>
                <w:sz w:val="16"/>
                <w:szCs w:val="16"/>
              </w:rPr>
            </w:pPr>
            <w:r w:rsidRPr="00C50300">
              <w:rPr>
                <w:sz w:val="16"/>
                <w:szCs w:val="16"/>
              </w:rPr>
              <w:t>VWS</w:t>
            </w:r>
          </w:p>
        </w:tc>
        <w:tc>
          <w:tcPr>
            <w:tcW w:w="7918" w:type="dxa"/>
            <w:noWrap/>
            <w:hideMark/>
          </w:tcPr>
          <w:p w:rsidRPr="00C50300" w:rsidR="00C50300" w:rsidP="009F2F83" w:rsidRDefault="00C50300" w14:paraId="471AAF7A" w14:textId="77777777">
            <w:pPr>
              <w:spacing w:after="160" w:line="259" w:lineRule="auto"/>
              <w:rPr>
                <w:sz w:val="16"/>
                <w:szCs w:val="16"/>
              </w:rPr>
            </w:pPr>
            <w:r w:rsidRPr="00C50300">
              <w:rPr>
                <w:sz w:val="16"/>
                <w:szCs w:val="16"/>
              </w:rPr>
              <w:t>Correctie grondslag VWS i.v.m. interactie effect op artikel 1 door maatregel 31 HLA.</w:t>
            </w:r>
          </w:p>
        </w:tc>
      </w:tr>
    </w:tbl>
    <w:p w:rsidRPr="00091019" w:rsidR="00C50300" w:rsidP="00C50300" w:rsidRDefault="00C50300" w14:paraId="2F497866" w14:textId="77777777"/>
    <w:p w:rsidRPr="00091019" w:rsidR="00C50300" w:rsidP="00C50300" w:rsidRDefault="00C50300" w14:paraId="309CBEB7" w14:textId="77777777"/>
    <w:p w:rsidRPr="00F07959" w:rsidR="00C50300" w:rsidP="00C50300" w:rsidRDefault="00C50300" w14:paraId="084D4E45" w14:textId="77777777"/>
    <w:sectPr w:rsidRPr="00F07959" w:rsidR="00C5030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FFF91" w14:textId="77777777" w:rsidR="00794366" w:rsidRDefault="00794366">
      <w:pPr>
        <w:spacing w:line="240" w:lineRule="auto"/>
      </w:pPr>
      <w:r>
        <w:separator/>
      </w:r>
    </w:p>
  </w:endnote>
  <w:endnote w:type="continuationSeparator" w:id="0">
    <w:p w14:paraId="6BC31321" w14:textId="77777777" w:rsidR="00794366" w:rsidRDefault="00794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1199" w14:textId="77777777" w:rsidR="004C3310" w:rsidRDefault="004C33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996A" w14:textId="77777777" w:rsidR="004C3310" w:rsidRDefault="004C33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2F62" w14:textId="77777777" w:rsidR="004C3310" w:rsidRDefault="004C33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07F7" w14:textId="77777777" w:rsidR="00794366" w:rsidRDefault="00794366">
      <w:pPr>
        <w:spacing w:line="240" w:lineRule="auto"/>
      </w:pPr>
      <w:r>
        <w:separator/>
      </w:r>
    </w:p>
  </w:footnote>
  <w:footnote w:type="continuationSeparator" w:id="0">
    <w:p w14:paraId="272D26DF" w14:textId="77777777" w:rsidR="00794366" w:rsidRDefault="00794366">
      <w:pPr>
        <w:spacing w:line="240" w:lineRule="auto"/>
      </w:pPr>
      <w:r>
        <w:continuationSeparator/>
      </w:r>
    </w:p>
  </w:footnote>
  <w:footnote w:id="1">
    <w:p w14:paraId="20D77935" w14:textId="77777777" w:rsidR="00B02F82" w:rsidRPr="00A25CCE" w:rsidRDefault="00B02F82" w:rsidP="00B02F82">
      <w:pPr>
        <w:pStyle w:val="Voetnoottekst"/>
        <w:rPr>
          <w:rFonts w:ascii="Verdana" w:hAnsi="Verdana"/>
          <w:sz w:val="16"/>
          <w:szCs w:val="16"/>
        </w:rPr>
      </w:pPr>
      <w:r w:rsidRPr="00A25CCE">
        <w:rPr>
          <w:rStyle w:val="Voetnootmarkering"/>
          <w:rFonts w:ascii="Verdana" w:hAnsi="Verdana"/>
          <w:sz w:val="16"/>
          <w:szCs w:val="16"/>
        </w:rPr>
        <w:footnoteRef/>
      </w:r>
      <w:r w:rsidRPr="00A25CCE">
        <w:rPr>
          <w:rFonts w:ascii="Verdana" w:hAnsi="Verdana"/>
          <w:sz w:val="16"/>
          <w:szCs w:val="16"/>
        </w:rPr>
        <w:t xml:space="preserve"> Kamerstukken 2023/2024, 36 550, nr. 1</w:t>
      </w:r>
    </w:p>
  </w:footnote>
  <w:footnote w:id="2">
    <w:p w14:paraId="0551B5AF" w14:textId="77777777" w:rsidR="00B02F82" w:rsidRDefault="00B02F82" w:rsidP="00B02F82">
      <w:pPr>
        <w:pStyle w:val="Voetnoottekst"/>
      </w:pPr>
      <w:r>
        <w:rPr>
          <w:rStyle w:val="Voetnootmarkering"/>
        </w:rPr>
        <w:footnoteRef/>
      </w:r>
      <w:r>
        <w:t xml:space="preserve"> </w:t>
      </w:r>
      <w:r w:rsidRPr="00EE617C">
        <w:rPr>
          <w:sz w:val="18"/>
          <w:szCs w:val="18"/>
        </w:rPr>
        <w:t>Kamerstukken 2024–2025, 36 600, nr. 1</w:t>
      </w:r>
    </w:p>
  </w:footnote>
  <w:footnote w:id="3">
    <w:p w14:paraId="2AB39C5E" w14:textId="77777777" w:rsidR="00C50300" w:rsidRDefault="00C50300" w:rsidP="00C50300">
      <w:pPr>
        <w:pStyle w:val="Voetnoottekst"/>
      </w:pPr>
      <w:r>
        <w:rPr>
          <w:rStyle w:val="Voetnootmarkering"/>
        </w:rPr>
        <w:footnoteRef/>
      </w:r>
      <w:r>
        <w:t xml:space="preserve"> Kamerstukken</w:t>
      </w:r>
      <w:r w:rsidRPr="00767B98">
        <w:t xml:space="preserve"> 2023–2024, 36 410 B, nr. 12</w:t>
      </w:r>
    </w:p>
  </w:footnote>
  <w:footnote w:id="4">
    <w:p w14:paraId="478298EA" w14:textId="77777777" w:rsidR="00C50300" w:rsidRDefault="00C50300" w:rsidP="00C50300">
      <w:pPr>
        <w:pStyle w:val="Voetnoottekst"/>
      </w:pPr>
      <w:r>
        <w:rPr>
          <w:rStyle w:val="Voetnootmarkering"/>
        </w:rPr>
        <w:footnoteRef/>
      </w:r>
      <w:r>
        <w:t xml:space="preserve"> </w:t>
      </w:r>
      <w:hyperlink r:id="rId1" w:history="1">
        <w:r w:rsidRPr="0063327F">
          <w:rPr>
            <w:rStyle w:val="Hyperlink"/>
          </w:rPr>
          <w:t>Provincies en gemeenten dringen aan op minder specifieke uitkeringen (ipo.nl)</w:t>
        </w:r>
      </w:hyperlink>
    </w:p>
  </w:footnote>
  <w:footnote w:id="5">
    <w:p w14:paraId="78312FE2" w14:textId="77777777" w:rsidR="00C50300" w:rsidRDefault="00C50300" w:rsidP="00C50300">
      <w:pPr>
        <w:pStyle w:val="Voetnoottekst"/>
        <w:rPr>
          <w:rFonts w:cs="Calibri"/>
          <w:sz w:val="16"/>
          <w:szCs w:val="16"/>
          <w:lang w:eastAsia="nl-NL"/>
        </w:rPr>
      </w:pPr>
      <w:r>
        <w:rPr>
          <w:rStyle w:val="Voetnootmarkering"/>
        </w:rPr>
        <w:footnoteRef/>
      </w:r>
      <w:r>
        <w:t xml:space="preserve"> </w:t>
      </w:r>
      <w:r>
        <w:rPr>
          <w:sz w:val="14"/>
          <w:szCs w:val="14"/>
        </w:rPr>
        <w:t xml:space="preserve">Op 11 juli 2022 is de overkoepelende notitie uitkeringsstelsel gepubliceerd als bijlage bij de Contourennota financieringssystematiek medeoverheden, waarin de uitgangspunten en vervolgstappen van de Taskforce Uitkeringsstelsel nader zijn toegelicht. </w:t>
      </w:r>
      <w:hyperlink r:id="rId2" w:history="1">
        <w:r>
          <w:rPr>
            <w:rStyle w:val="Hyperlink"/>
            <w:sz w:val="14"/>
            <w:szCs w:val="14"/>
          </w:rPr>
          <w:t>Overkoepelende notitie uitkeringsstelsel | Rapport | Rijksoverheid.nl</w:t>
        </w:r>
      </w:hyperlink>
    </w:p>
    <w:p w14:paraId="1206DA01" w14:textId="77777777" w:rsidR="00C50300" w:rsidRDefault="00C50300" w:rsidP="00C50300">
      <w:pPr>
        <w:pStyle w:val="Voetnoottekst"/>
      </w:pPr>
    </w:p>
  </w:footnote>
  <w:footnote w:id="6">
    <w:p w14:paraId="2BE6173B" w14:textId="77777777" w:rsidR="00C50300" w:rsidRDefault="00C50300" w:rsidP="00C50300">
      <w:pPr>
        <w:pStyle w:val="Voetnoottekst"/>
      </w:pPr>
      <w:r>
        <w:rPr>
          <w:rStyle w:val="Voetnootmarkering"/>
        </w:rPr>
        <w:footnoteRef/>
      </w:r>
      <w:r>
        <w:t xml:space="preserve"> </w:t>
      </w:r>
      <w:hyperlink r:id="rId3" w:history="1">
        <w:r w:rsidRPr="000D53EC">
          <w:rPr>
            <w:rStyle w:val="Hyperlink"/>
            <w:rFonts w:cstheme="minorHAnsi"/>
          </w:rPr>
          <w:t>https://www.rijksoverheid.nl/documenten/vergaderstukken/2023/11/21/notitie-incidenteel-structureel-voor-het-najaars-bofv-2023</w:t>
        </w:r>
      </w:hyperlink>
      <w:r>
        <w:rPr>
          <w:rStyle w:val="Hyperlink"/>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9484" w14:textId="77777777" w:rsidR="004C3310" w:rsidRDefault="004C33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5712" w14:textId="77777777" w:rsidR="00A36D0D" w:rsidRDefault="000469C0">
    <w:r>
      <w:rPr>
        <w:noProof/>
      </w:rPr>
      <mc:AlternateContent>
        <mc:Choice Requires="wps">
          <w:drawing>
            <wp:anchor distT="0" distB="0" distL="0" distR="0" simplePos="0" relativeHeight="251652096" behindDoc="0" locked="1" layoutInCell="1" allowOverlap="1" wp14:anchorId="1237D006" wp14:editId="023424F0">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697311" w14:textId="2E480DB7" w:rsidR="00AB231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237D00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6697311" w14:textId="2E480DB7" w:rsidR="00AB231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579CBDA" wp14:editId="4C8E3AA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C75A51" w14:textId="77777777" w:rsidR="00A36D0D" w:rsidRDefault="000469C0">
                          <w:pPr>
                            <w:pStyle w:val="Referentiegegevensbold"/>
                          </w:pPr>
                          <w:r>
                            <w:t>DG Openbaar Bestuur &amp; Democr Rechtsstaat</w:t>
                          </w:r>
                        </w:p>
                        <w:p w14:paraId="11E088D4" w14:textId="77777777" w:rsidR="00A36D0D" w:rsidRDefault="000469C0">
                          <w:pPr>
                            <w:pStyle w:val="Referentiegegevens"/>
                          </w:pPr>
                          <w:r>
                            <w:t>DGOBDR-BFR-Regelg. Toezicht &amp; Monitoring</w:t>
                          </w:r>
                        </w:p>
                        <w:p w14:paraId="6DEDF7B7" w14:textId="77777777" w:rsidR="00A36D0D" w:rsidRDefault="00A36D0D">
                          <w:pPr>
                            <w:pStyle w:val="WitregelW2"/>
                          </w:pPr>
                        </w:p>
                        <w:p w14:paraId="5D452B5A" w14:textId="77777777" w:rsidR="00A36D0D" w:rsidRDefault="000469C0">
                          <w:pPr>
                            <w:pStyle w:val="Referentiegegevensbold"/>
                          </w:pPr>
                          <w:r>
                            <w:t>Datum</w:t>
                          </w:r>
                        </w:p>
                        <w:p w14:paraId="419D0FE9" w14:textId="2BE29A23" w:rsidR="00AB231C" w:rsidRDefault="00000000">
                          <w:pPr>
                            <w:pStyle w:val="Referentiegegevens"/>
                          </w:pPr>
                          <w:fldSimple w:instr=" DOCPROPERTY  &quot;Datum&quot;  \* MERGEFORMAT ">
                            <w:r w:rsidR="005C09B6">
                              <w:t>4 oktober 2024</w:t>
                            </w:r>
                          </w:fldSimple>
                        </w:p>
                        <w:p w14:paraId="41782CEB" w14:textId="77777777" w:rsidR="00A36D0D" w:rsidRDefault="00A36D0D">
                          <w:pPr>
                            <w:pStyle w:val="WitregelW1"/>
                          </w:pPr>
                        </w:p>
                        <w:p w14:paraId="3A6013F4" w14:textId="77777777" w:rsidR="00A36D0D" w:rsidRDefault="000469C0">
                          <w:pPr>
                            <w:pStyle w:val="Referentiegegevensbold"/>
                          </w:pPr>
                          <w:r>
                            <w:t>Onze referentie</w:t>
                          </w:r>
                        </w:p>
                        <w:p w14:paraId="12EA56A7" w14:textId="46BF3CCF" w:rsidR="00AB231C" w:rsidRDefault="00000000">
                          <w:pPr>
                            <w:pStyle w:val="Referentiegegevens"/>
                          </w:pPr>
                          <w:fldSimple w:instr=" DOCPROPERTY  &quot;Kenmerk&quot;  \* MERGEFORMAT ">
                            <w:r w:rsidR="005C09B6">
                              <w:t>2024-0000817765</w:t>
                            </w:r>
                          </w:fldSimple>
                        </w:p>
                      </w:txbxContent>
                    </wps:txbx>
                    <wps:bodyPr vert="horz" wrap="square" lIns="0" tIns="0" rIns="0" bIns="0" anchor="t" anchorCtr="0"/>
                  </wps:wsp>
                </a:graphicData>
              </a:graphic>
            </wp:anchor>
          </w:drawing>
        </mc:Choice>
        <mc:Fallback>
          <w:pict>
            <v:shape w14:anchorId="2579CBD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3C75A51" w14:textId="77777777" w:rsidR="00A36D0D" w:rsidRDefault="000469C0">
                    <w:pPr>
                      <w:pStyle w:val="Referentiegegevensbold"/>
                    </w:pPr>
                    <w:r>
                      <w:t>DG Openbaar Bestuur &amp; Democr Rechtsstaat</w:t>
                    </w:r>
                  </w:p>
                  <w:p w14:paraId="11E088D4" w14:textId="77777777" w:rsidR="00A36D0D" w:rsidRDefault="000469C0">
                    <w:pPr>
                      <w:pStyle w:val="Referentiegegevens"/>
                    </w:pPr>
                    <w:r>
                      <w:t>DGOBDR-BFR-Regelg. Toezicht &amp; Monitoring</w:t>
                    </w:r>
                  </w:p>
                  <w:p w14:paraId="6DEDF7B7" w14:textId="77777777" w:rsidR="00A36D0D" w:rsidRDefault="00A36D0D">
                    <w:pPr>
                      <w:pStyle w:val="WitregelW2"/>
                    </w:pPr>
                  </w:p>
                  <w:p w14:paraId="5D452B5A" w14:textId="77777777" w:rsidR="00A36D0D" w:rsidRDefault="000469C0">
                    <w:pPr>
                      <w:pStyle w:val="Referentiegegevensbold"/>
                    </w:pPr>
                    <w:r>
                      <w:t>Datum</w:t>
                    </w:r>
                  </w:p>
                  <w:p w14:paraId="419D0FE9" w14:textId="2BE29A23" w:rsidR="00AB231C" w:rsidRDefault="00000000">
                    <w:pPr>
                      <w:pStyle w:val="Referentiegegevens"/>
                    </w:pPr>
                    <w:fldSimple w:instr=" DOCPROPERTY  &quot;Datum&quot;  \* MERGEFORMAT ">
                      <w:r w:rsidR="005C09B6">
                        <w:t>4 oktober 2024</w:t>
                      </w:r>
                    </w:fldSimple>
                  </w:p>
                  <w:p w14:paraId="41782CEB" w14:textId="77777777" w:rsidR="00A36D0D" w:rsidRDefault="00A36D0D">
                    <w:pPr>
                      <w:pStyle w:val="WitregelW1"/>
                    </w:pPr>
                  </w:p>
                  <w:p w14:paraId="3A6013F4" w14:textId="77777777" w:rsidR="00A36D0D" w:rsidRDefault="000469C0">
                    <w:pPr>
                      <w:pStyle w:val="Referentiegegevensbold"/>
                    </w:pPr>
                    <w:r>
                      <w:t>Onze referentie</w:t>
                    </w:r>
                  </w:p>
                  <w:p w14:paraId="12EA56A7" w14:textId="46BF3CCF" w:rsidR="00AB231C" w:rsidRDefault="00000000">
                    <w:pPr>
                      <w:pStyle w:val="Referentiegegevens"/>
                    </w:pPr>
                    <w:fldSimple w:instr=" DOCPROPERTY  &quot;Kenmerk&quot;  \* MERGEFORMAT ">
                      <w:r w:rsidR="005C09B6">
                        <w:t>2024-0000817765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76DA61D" wp14:editId="148A60E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B5DFE8" w14:textId="791EDFA9" w:rsidR="00AB231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76DA61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8B5DFE8" w14:textId="791EDFA9" w:rsidR="00AB231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BB46ADE" wp14:editId="73747E2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A35D94" w14:textId="77777777" w:rsidR="00AB231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BB46AD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6A35D94" w14:textId="77777777" w:rsidR="00AB231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D9CE" w14:textId="77777777" w:rsidR="00A36D0D" w:rsidRDefault="000469C0">
    <w:pPr>
      <w:spacing w:after="6377" w:line="14" w:lineRule="exact"/>
    </w:pPr>
    <w:r>
      <w:rPr>
        <w:noProof/>
      </w:rPr>
      <mc:AlternateContent>
        <mc:Choice Requires="wps">
          <w:drawing>
            <wp:anchor distT="0" distB="0" distL="0" distR="0" simplePos="0" relativeHeight="251656192" behindDoc="0" locked="1" layoutInCell="1" allowOverlap="1" wp14:anchorId="57192850" wp14:editId="7B2C661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C67B7EA" w14:textId="77777777" w:rsidR="00A36D0D" w:rsidRDefault="000469C0">
                          <w:pPr>
                            <w:spacing w:line="240" w:lineRule="auto"/>
                          </w:pPr>
                          <w:r>
                            <w:rPr>
                              <w:noProof/>
                            </w:rPr>
                            <w:drawing>
                              <wp:inline distT="0" distB="0" distL="0" distR="0" wp14:anchorId="20625B1D" wp14:editId="784E261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719285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C67B7EA" w14:textId="77777777" w:rsidR="00A36D0D" w:rsidRDefault="000469C0">
                    <w:pPr>
                      <w:spacing w:line="240" w:lineRule="auto"/>
                    </w:pPr>
                    <w:r>
                      <w:rPr>
                        <w:noProof/>
                      </w:rPr>
                      <w:drawing>
                        <wp:inline distT="0" distB="0" distL="0" distR="0" wp14:anchorId="20625B1D" wp14:editId="784E261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155892C" wp14:editId="797C50E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F4BAE7" w14:textId="77777777" w:rsidR="00A36D0D" w:rsidRDefault="000469C0">
                          <w:pPr>
                            <w:spacing w:line="240" w:lineRule="auto"/>
                          </w:pPr>
                          <w:r>
                            <w:rPr>
                              <w:noProof/>
                            </w:rPr>
                            <w:drawing>
                              <wp:inline distT="0" distB="0" distL="0" distR="0" wp14:anchorId="6918809F" wp14:editId="6C0B3132">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55892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1F4BAE7" w14:textId="77777777" w:rsidR="00A36D0D" w:rsidRDefault="000469C0">
                    <w:pPr>
                      <w:spacing w:line="240" w:lineRule="auto"/>
                    </w:pPr>
                    <w:r>
                      <w:rPr>
                        <w:noProof/>
                      </w:rPr>
                      <w:drawing>
                        <wp:inline distT="0" distB="0" distL="0" distR="0" wp14:anchorId="6918809F" wp14:editId="6C0B3132">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1386165" wp14:editId="5AFD3170">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3BDE99" w14:textId="77777777" w:rsidR="00A36D0D" w:rsidRDefault="000469C0">
                          <w:pPr>
                            <w:pStyle w:val="Referentiegegevens"/>
                          </w:pPr>
                          <w:r>
                            <w:t xml:space="preserve">&gt; Retouradres    </w:t>
                          </w:r>
                        </w:p>
                      </w:txbxContent>
                    </wps:txbx>
                    <wps:bodyPr vert="horz" wrap="square" lIns="0" tIns="0" rIns="0" bIns="0" anchor="t" anchorCtr="0"/>
                  </wps:wsp>
                </a:graphicData>
              </a:graphic>
            </wp:anchor>
          </w:drawing>
        </mc:Choice>
        <mc:Fallback>
          <w:pict>
            <v:shape w14:anchorId="31386165"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73BDE99" w14:textId="77777777" w:rsidR="00A36D0D" w:rsidRDefault="000469C0">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E5E760C" wp14:editId="48E3747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450F1A" w14:textId="7821E19B" w:rsidR="00AB231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D611C7A" w14:textId="77777777" w:rsidR="00A36D0D" w:rsidRDefault="000469C0">
                          <w:r>
                            <w:t>Aan de Voorzitter van de Tweede Kamer der Staten-Generaal</w:t>
                          </w:r>
                        </w:p>
                        <w:p w14:paraId="118E71D4" w14:textId="77777777" w:rsidR="00A36D0D" w:rsidRDefault="000469C0">
                          <w:r>
                            <w:t xml:space="preserve">Postbus 20018  </w:t>
                          </w:r>
                        </w:p>
                        <w:p w14:paraId="20B18F16" w14:textId="77777777" w:rsidR="00A36D0D" w:rsidRDefault="000469C0">
                          <w:r>
                            <w:t>2500 EA Den Haag</w:t>
                          </w:r>
                        </w:p>
                      </w:txbxContent>
                    </wps:txbx>
                    <wps:bodyPr vert="horz" wrap="square" lIns="0" tIns="0" rIns="0" bIns="0" anchor="t" anchorCtr="0"/>
                  </wps:wsp>
                </a:graphicData>
              </a:graphic>
            </wp:anchor>
          </w:drawing>
        </mc:Choice>
        <mc:Fallback>
          <w:pict>
            <v:shape w14:anchorId="3E5E760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D450F1A" w14:textId="7821E19B" w:rsidR="00AB231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D611C7A" w14:textId="77777777" w:rsidR="00A36D0D" w:rsidRDefault="000469C0">
                    <w:r>
                      <w:t>Aan de Voorzitter van de Tweede Kamer der Staten-Generaal</w:t>
                    </w:r>
                  </w:p>
                  <w:p w14:paraId="118E71D4" w14:textId="77777777" w:rsidR="00A36D0D" w:rsidRDefault="000469C0">
                    <w:r>
                      <w:t xml:space="preserve">Postbus 20018  </w:t>
                    </w:r>
                  </w:p>
                  <w:p w14:paraId="20B18F16" w14:textId="77777777" w:rsidR="00A36D0D" w:rsidRDefault="000469C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8F7C55B" wp14:editId="345B22E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36D0D" w14:paraId="4D23ABCC" w14:textId="77777777">
                            <w:trPr>
                              <w:trHeight w:val="240"/>
                            </w:trPr>
                            <w:tc>
                              <w:tcPr>
                                <w:tcW w:w="1140" w:type="dxa"/>
                              </w:tcPr>
                              <w:p w14:paraId="42FB54CF" w14:textId="77777777" w:rsidR="00A36D0D" w:rsidRDefault="000469C0">
                                <w:r>
                                  <w:t>Datum</w:t>
                                </w:r>
                              </w:p>
                            </w:tc>
                            <w:tc>
                              <w:tcPr>
                                <w:tcW w:w="5918" w:type="dxa"/>
                              </w:tcPr>
                              <w:p w14:paraId="3EF16104" w14:textId="091876E5" w:rsidR="00AB231C" w:rsidRDefault="00000000">
                                <w:fldSimple w:instr=" DOCPROPERTY  &quot;Datum&quot;  \* MERGEFORMAT ">
                                  <w:r w:rsidR="005C09B6">
                                    <w:t>4 oktober 2024</w:t>
                                  </w:r>
                                </w:fldSimple>
                              </w:p>
                            </w:tc>
                          </w:tr>
                          <w:tr w:rsidR="00A36D0D" w14:paraId="458878F9" w14:textId="77777777">
                            <w:trPr>
                              <w:trHeight w:val="240"/>
                            </w:trPr>
                            <w:tc>
                              <w:tcPr>
                                <w:tcW w:w="1140" w:type="dxa"/>
                              </w:tcPr>
                              <w:p w14:paraId="6C8286AD" w14:textId="77777777" w:rsidR="00A36D0D" w:rsidRDefault="000469C0">
                                <w:r>
                                  <w:t>Betreft</w:t>
                                </w:r>
                              </w:p>
                            </w:tc>
                            <w:tc>
                              <w:tcPr>
                                <w:tcW w:w="5918" w:type="dxa"/>
                              </w:tcPr>
                              <w:p w14:paraId="66758552" w14:textId="33002D7A" w:rsidR="00AB231C" w:rsidRDefault="00000000">
                                <w:fldSimple w:instr=" DOCPROPERTY  &quot;Onderwerp&quot;  \* MERGEFORMAT ">
                                  <w:r w:rsidR="005C09B6">
                                    <w:t>Kamerbrief n.a.v. commissiedebat 1 oktober</w:t>
                                  </w:r>
                                </w:fldSimple>
                              </w:p>
                            </w:tc>
                          </w:tr>
                        </w:tbl>
                        <w:p w14:paraId="1F95CEA9" w14:textId="77777777" w:rsidR="00EA4033" w:rsidRDefault="00EA4033"/>
                      </w:txbxContent>
                    </wps:txbx>
                    <wps:bodyPr vert="horz" wrap="square" lIns="0" tIns="0" rIns="0" bIns="0" anchor="t" anchorCtr="0"/>
                  </wps:wsp>
                </a:graphicData>
              </a:graphic>
            </wp:anchor>
          </w:drawing>
        </mc:Choice>
        <mc:Fallback>
          <w:pict>
            <v:shape w14:anchorId="58F7C55B"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A36D0D" w14:paraId="4D23ABCC" w14:textId="77777777">
                      <w:trPr>
                        <w:trHeight w:val="240"/>
                      </w:trPr>
                      <w:tc>
                        <w:tcPr>
                          <w:tcW w:w="1140" w:type="dxa"/>
                        </w:tcPr>
                        <w:p w14:paraId="42FB54CF" w14:textId="77777777" w:rsidR="00A36D0D" w:rsidRDefault="000469C0">
                          <w:r>
                            <w:t>Datum</w:t>
                          </w:r>
                        </w:p>
                      </w:tc>
                      <w:tc>
                        <w:tcPr>
                          <w:tcW w:w="5918" w:type="dxa"/>
                        </w:tcPr>
                        <w:p w14:paraId="3EF16104" w14:textId="091876E5" w:rsidR="00AB231C" w:rsidRDefault="00000000">
                          <w:fldSimple w:instr=" DOCPROPERTY  &quot;Datum&quot;  \* MERGEFORMAT ">
                            <w:r w:rsidR="005C09B6">
                              <w:t>4 oktober 2024</w:t>
                            </w:r>
                          </w:fldSimple>
                        </w:p>
                      </w:tc>
                    </w:tr>
                    <w:tr w:rsidR="00A36D0D" w14:paraId="458878F9" w14:textId="77777777">
                      <w:trPr>
                        <w:trHeight w:val="240"/>
                      </w:trPr>
                      <w:tc>
                        <w:tcPr>
                          <w:tcW w:w="1140" w:type="dxa"/>
                        </w:tcPr>
                        <w:p w14:paraId="6C8286AD" w14:textId="77777777" w:rsidR="00A36D0D" w:rsidRDefault="000469C0">
                          <w:r>
                            <w:t>Betreft</w:t>
                          </w:r>
                        </w:p>
                      </w:tc>
                      <w:tc>
                        <w:tcPr>
                          <w:tcW w:w="5918" w:type="dxa"/>
                        </w:tcPr>
                        <w:p w14:paraId="66758552" w14:textId="33002D7A" w:rsidR="00AB231C" w:rsidRDefault="00000000">
                          <w:fldSimple w:instr=" DOCPROPERTY  &quot;Onderwerp&quot;  \* MERGEFORMAT ">
                            <w:r w:rsidR="005C09B6">
                              <w:t>Kamerbrief n.a.v. commissiedebat 1 oktober</w:t>
                            </w:r>
                          </w:fldSimple>
                        </w:p>
                      </w:tc>
                    </w:tr>
                  </w:tbl>
                  <w:p w14:paraId="1F95CEA9" w14:textId="77777777" w:rsidR="00EA4033" w:rsidRDefault="00EA403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755DE04" wp14:editId="243315D9">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F27682" w14:textId="77777777" w:rsidR="00A36D0D" w:rsidRDefault="000469C0">
                          <w:pPr>
                            <w:pStyle w:val="Referentiegegevensbold"/>
                          </w:pPr>
                          <w:r>
                            <w:t>DG Openbaar Bestuur &amp; Democr Rechtsstaat</w:t>
                          </w:r>
                        </w:p>
                        <w:p w14:paraId="48B9188A" w14:textId="77777777" w:rsidR="00A36D0D" w:rsidRDefault="000469C0">
                          <w:pPr>
                            <w:pStyle w:val="Referentiegegevens"/>
                          </w:pPr>
                          <w:r>
                            <w:t>DGOBDR-BFR-Regelg. Toezicht &amp; Monitoring</w:t>
                          </w:r>
                        </w:p>
                        <w:p w14:paraId="7FEF52A0" w14:textId="77777777" w:rsidR="00A36D0D" w:rsidRDefault="00A36D0D">
                          <w:pPr>
                            <w:pStyle w:val="WitregelW1"/>
                          </w:pPr>
                        </w:p>
                        <w:p w14:paraId="1B41C4EE" w14:textId="77777777" w:rsidR="00A36D0D" w:rsidRDefault="000469C0">
                          <w:pPr>
                            <w:pStyle w:val="Referentiegegevens"/>
                          </w:pPr>
                          <w:r>
                            <w:t>Turfmarkt 147</w:t>
                          </w:r>
                        </w:p>
                        <w:p w14:paraId="452C9B3A" w14:textId="77777777" w:rsidR="00A36D0D" w:rsidRDefault="000469C0">
                          <w:pPr>
                            <w:pStyle w:val="Referentiegegevens"/>
                          </w:pPr>
                          <w:r>
                            <w:t>2511 DP  Den Haag</w:t>
                          </w:r>
                        </w:p>
                        <w:p w14:paraId="0B3EB84E" w14:textId="77777777" w:rsidR="00A36D0D" w:rsidRDefault="00A36D0D">
                          <w:pPr>
                            <w:pStyle w:val="WitregelW2"/>
                          </w:pPr>
                        </w:p>
                        <w:p w14:paraId="00312F14" w14:textId="77777777" w:rsidR="00A36D0D" w:rsidRDefault="000469C0">
                          <w:pPr>
                            <w:pStyle w:val="Referentiegegevensbold"/>
                          </w:pPr>
                          <w:r>
                            <w:t>Onze referentie</w:t>
                          </w:r>
                        </w:p>
                        <w:p w14:paraId="79E7C237" w14:textId="50412E4E" w:rsidR="00AB231C" w:rsidRDefault="00000000">
                          <w:pPr>
                            <w:pStyle w:val="Referentiegegevens"/>
                          </w:pPr>
                          <w:fldSimple w:instr=" DOCPROPERTY  &quot;Kenmerk&quot;  \* MERGEFORMAT ">
                            <w:r w:rsidR="005C09B6">
                              <w:t>2024-0000817765</w:t>
                            </w:r>
                          </w:fldSimple>
                        </w:p>
                        <w:p w14:paraId="4B12C1C6" w14:textId="77777777" w:rsidR="00A36D0D" w:rsidRDefault="00A36D0D">
                          <w:pPr>
                            <w:pStyle w:val="WitregelW1"/>
                          </w:pPr>
                        </w:p>
                        <w:p w14:paraId="29A0B2A8" w14:textId="77777777" w:rsidR="00A36D0D" w:rsidRDefault="000469C0">
                          <w:pPr>
                            <w:pStyle w:val="Referentiegegevensbold"/>
                          </w:pPr>
                          <w:r>
                            <w:t>Uw referentie</w:t>
                          </w:r>
                        </w:p>
                        <w:p w14:paraId="14F295D3" w14:textId="0A9CFB88" w:rsidR="00AB231C"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755DE04"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8F27682" w14:textId="77777777" w:rsidR="00A36D0D" w:rsidRDefault="000469C0">
                    <w:pPr>
                      <w:pStyle w:val="Referentiegegevensbold"/>
                    </w:pPr>
                    <w:r>
                      <w:t>DG Openbaar Bestuur &amp; Democr Rechtsstaat</w:t>
                    </w:r>
                  </w:p>
                  <w:p w14:paraId="48B9188A" w14:textId="77777777" w:rsidR="00A36D0D" w:rsidRDefault="000469C0">
                    <w:pPr>
                      <w:pStyle w:val="Referentiegegevens"/>
                    </w:pPr>
                    <w:r>
                      <w:t>DGOBDR-BFR-Regelg. Toezicht &amp; Monitoring</w:t>
                    </w:r>
                  </w:p>
                  <w:p w14:paraId="7FEF52A0" w14:textId="77777777" w:rsidR="00A36D0D" w:rsidRDefault="00A36D0D">
                    <w:pPr>
                      <w:pStyle w:val="WitregelW1"/>
                    </w:pPr>
                  </w:p>
                  <w:p w14:paraId="1B41C4EE" w14:textId="77777777" w:rsidR="00A36D0D" w:rsidRDefault="000469C0">
                    <w:pPr>
                      <w:pStyle w:val="Referentiegegevens"/>
                    </w:pPr>
                    <w:r>
                      <w:t>Turfmarkt 147</w:t>
                    </w:r>
                  </w:p>
                  <w:p w14:paraId="452C9B3A" w14:textId="77777777" w:rsidR="00A36D0D" w:rsidRDefault="000469C0">
                    <w:pPr>
                      <w:pStyle w:val="Referentiegegevens"/>
                    </w:pPr>
                    <w:r>
                      <w:t>2511 DP  Den Haag</w:t>
                    </w:r>
                  </w:p>
                  <w:p w14:paraId="0B3EB84E" w14:textId="77777777" w:rsidR="00A36D0D" w:rsidRDefault="00A36D0D">
                    <w:pPr>
                      <w:pStyle w:val="WitregelW2"/>
                    </w:pPr>
                  </w:p>
                  <w:p w14:paraId="00312F14" w14:textId="77777777" w:rsidR="00A36D0D" w:rsidRDefault="000469C0">
                    <w:pPr>
                      <w:pStyle w:val="Referentiegegevensbold"/>
                    </w:pPr>
                    <w:r>
                      <w:t>Onze referentie</w:t>
                    </w:r>
                  </w:p>
                  <w:p w14:paraId="79E7C237" w14:textId="50412E4E" w:rsidR="00AB231C" w:rsidRDefault="00000000">
                    <w:pPr>
                      <w:pStyle w:val="Referentiegegevens"/>
                    </w:pPr>
                    <w:fldSimple w:instr=" DOCPROPERTY  &quot;Kenmerk&quot;  \* MERGEFORMAT ">
                      <w:r w:rsidR="005C09B6">
                        <w:t>2024-0000817765</w:t>
                      </w:r>
                    </w:fldSimple>
                  </w:p>
                  <w:p w14:paraId="4B12C1C6" w14:textId="77777777" w:rsidR="00A36D0D" w:rsidRDefault="00A36D0D">
                    <w:pPr>
                      <w:pStyle w:val="WitregelW1"/>
                    </w:pPr>
                  </w:p>
                  <w:p w14:paraId="29A0B2A8" w14:textId="77777777" w:rsidR="00A36D0D" w:rsidRDefault="000469C0">
                    <w:pPr>
                      <w:pStyle w:val="Referentiegegevensbold"/>
                    </w:pPr>
                    <w:r>
                      <w:t>Uw referentie</w:t>
                    </w:r>
                  </w:p>
                  <w:p w14:paraId="14F295D3" w14:textId="0A9CFB88" w:rsidR="00AB231C"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6D9E9DE" wp14:editId="00EDC0CB">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50BBC6F" w14:textId="77777777" w:rsidR="00AB231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6D9E9DE"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50BBC6F" w14:textId="77777777" w:rsidR="00AB231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C09E8BD" wp14:editId="63326EF4">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30B98C" w14:textId="77777777" w:rsidR="00EA4033" w:rsidRDefault="00EA4033"/>
                      </w:txbxContent>
                    </wps:txbx>
                    <wps:bodyPr vert="horz" wrap="square" lIns="0" tIns="0" rIns="0" bIns="0" anchor="t" anchorCtr="0"/>
                  </wps:wsp>
                </a:graphicData>
              </a:graphic>
            </wp:anchor>
          </w:drawing>
        </mc:Choice>
        <mc:Fallback>
          <w:pict>
            <v:shape w14:anchorId="3C09E8BD"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A30B98C" w14:textId="77777777" w:rsidR="00EA4033" w:rsidRDefault="00EA403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DB3CB8"/>
    <w:multiLevelType w:val="multilevel"/>
    <w:tmpl w:val="EB4B357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308E416"/>
    <w:multiLevelType w:val="multilevel"/>
    <w:tmpl w:val="213DBF5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3980BA5"/>
    <w:multiLevelType w:val="hybridMultilevel"/>
    <w:tmpl w:val="FB4E6E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A6F0C8"/>
    <w:multiLevelType w:val="multilevel"/>
    <w:tmpl w:val="9A16315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BDD1EBD"/>
    <w:multiLevelType w:val="hybridMultilevel"/>
    <w:tmpl w:val="F41EBD1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E7DCA1E"/>
    <w:multiLevelType w:val="multilevel"/>
    <w:tmpl w:val="BF86917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531745E"/>
    <w:multiLevelType w:val="hybridMultilevel"/>
    <w:tmpl w:val="B33A390E"/>
    <w:lvl w:ilvl="0" w:tplc="565C7514">
      <w:start w:val="1"/>
      <w:numFmt w:val="bullet"/>
      <w:lvlText w:val=""/>
      <w:lvlJc w:val="left"/>
      <w:pPr>
        <w:ind w:left="720" w:hanging="360"/>
      </w:pPr>
      <w:rPr>
        <w:rFonts w:ascii="Symbol" w:hAnsi="Symbol" w:hint="default"/>
        <w:color w:val="auto"/>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D542111"/>
    <w:multiLevelType w:val="multilevel"/>
    <w:tmpl w:val="2EDAB5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95271338">
    <w:abstractNumId w:val="3"/>
  </w:num>
  <w:num w:numId="2" w16cid:durableId="1005672594">
    <w:abstractNumId w:val="1"/>
  </w:num>
  <w:num w:numId="3" w16cid:durableId="1241982239">
    <w:abstractNumId w:val="0"/>
  </w:num>
  <w:num w:numId="4" w16cid:durableId="1564608790">
    <w:abstractNumId w:val="5"/>
  </w:num>
  <w:num w:numId="5" w16cid:durableId="88695864">
    <w:abstractNumId w:val="7"/>
  </w:num>
  <w:num w:numId="6" w16cid:durableId="39280688">
    <w:abstractNumId w:val="6"/>
  </w:num>
  <w:num w:numId="7" w16cid:durableId="196427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9617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5D"/>
    <w:rsid w:val="000469C0"/>
    <w:rsid w:val="00066D43"/>
    <w:rsid w:val="000819B6"/>
    <w:rsid w:val="000B1A8C"/>
    <w:rsid w:val="00175CF5"/>
    <w:rsid w:val="00214FD8"/>
    <w:rsid w:val="002868EA"/>
    <w:rsid w:val="00331693"/>
    <w:rsid w:val="00390CF6"/>
    <w:rsid w:val="003A2F0F"/>
    <w:rsid w:val="003D5CA8"/>
    <w:rsid w:val="003E6B71"/>
    <w:rsid w:val="004C2126"/>
    <w:rsid w:val="004C3310"/>
    <w:rsid w:val="00502026"/>
    <w:rsid w:val="00565AD8"/>
    <w:rsid w:val="0058781F"/>
    <w:rsid w:val="005B151D"/>
    <w:rsid w:val="005C09B6"/>
    <w:rsid w:val="005F3FAE"/>
    <w:rsid w:val="007613AA"/>
    <w:rsid w:val="00794366"/>
    <w:rsid w:val="007F5FD3"/>
    <w:rsid w:val="008736AD"/>
    <w:rsid w:val="00876A50"/>
    <w:rsid w:val="008D185A"/>
    <w:rsid w:val="00903E1E"/>
    <w:rsid w:val="009749DD"/>
    <w:rsid w:val="00997D99"/>
    <w:rsid w:val="00A36D0D"/>
    <w:rsid w:val="00A37FAF"/>
    <w:rsid w:val="00AB231C"/>
    <w:rsid w:val="00B02F82"/>
    <w:rsid w:val="00BE5BE3"/>
    <w:rsid w:val="00C50300"/>
    <w:rsid w:val="00CC759F"/>
    <w:rsid w:val="00D42F41"/>
    <w:rsid w:val="00D705D7"/>
    <w:rsid w:val="00E02E5D"/>
    <w:rsid w:val="00E74A9E"/>
    <w:rsid w:val="00EA4033"/>
    <w:rsid w:val="00F31435"/>
    <w:rsid w:val="00F926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E7B1"/>
  <w15:docId w15:val="{91B9D018-68BF-4F63-A437-A91E2B70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02E5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02E5D"/>
    <w:rPr>
      <w:rFonts w:ascii="Verdana" w:hAnsi="Verdana"/>
      <w:color w:val="000000"/>
      <w:sz w:val="18"/>
      <w:szCs w:val="18"/>
    </w:rPr>
  </w:style>
  <w:style w:type="paragraph" w:styleId="Voettekst">
    <w:name w:val="footer"/>
    <w:basedOn w:val="Standaard"/>
    <w:link w:val="VoettekstChar"/>
    <w:uiPriority w:val="99"/>
    <w:unhideWhenUsed/>
    <w:rsid w:val="00E02E5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02E5D"/>
    <w:rPr>
      <w:rFonts w:ascii="Verdana" w:hAnsi="Verdana"/>
      <w:color w:val="000000"/>
      <w:sz w:val="18"/>
      <w:szCs w:val="18"/>
    </w:rPr>
  </w:style>
  <w:style w:type="paragraph" w:styleId="Voetnoottekst">
    <w:name w:val="footnote text"/>
    <w:basedOn w:val="Standaard"/>
    <w:link w:val="VoetnoottekstChar"/>
    <w:uiPriority w:val="99"/>
    <w:semiHidden/>
    <w:unhideWhenUsed/>
    <w:rsid w:val="00C5030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C50300"/>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C50300"/>
    <w:rPr>
      <w:vertAlign w:val="superscript"/>
    </w:rPr>
  </w:style>
  <w:style w:type="character" w:customStyle="1" w:styleId="Kop1Char">
    <w:name w:val="Kop 1 Char"/>
    <w:basedOn w:val="Standaardalinea-lettertype"/>
    <w:link w:val="Kop1"/>
    <w:uiPriority w:val="9"/>
    <w:rsid w:val="00C50300"/>
    <w:rPr>
      <w:rFonts w:ascii="Verdana" w:hAnsi="Verdana"/>
      <w:b/>
      <w:color w:val="000000"/>
      <w:sz w:val="18"/>
      <w:szCs w:val="18"/>
    </w:rPr>
  </w:style>
  <w:style w:type="paragraph" w:styleId="Lijstalinea">
    <w:name w:val="List Paragraph"/>
    <w:basedOn w:val="Standaard"/>
    <w:uiPriority w:val="34"/>
    <w:qFormat/>
    <w:rsid w:val="00C50300"/>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Revisie">
    <w:name w:val="Revision"/>
    <w:hidden/>
    <w:uiPriority w:val="99"/>
    <w:semiHidden/>
    <w:rsid w:val="005C09B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vergaderstukken/2023/11/21/notitie-incidenteel-structureel-voor-het-najaars-bofv-2023" TargetMode="External"/><Relationship Id="rId2" Type="http://schemas.openxmlformats.org/officeDocument/2006/relationships/hyperlink" Target="https://www.rijksoverheid.nl/documenten/rapporten/2022/06/03/overkoepelende-notitie-uitkeringsstelsel" TargetMode="External"/><Relationship Id="rId1" Type="http://schemas.openxmlformats.org/officeDocument/2006/relationships/hyperlink" Target="https://www.ipo.nl/nieuws/provincies-en-gemeenten-dringen-aan-op-minder-specifieke-uitkering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3388</ap:Words>
  <ap:Characters>18639</ap:Characters>
  <ap:DocSecurity>0</ap:DocSecurity>
  <ap:Lines>155</ap:Lines>
  <ap:Paragraphs>43</ap:Paragraphs>
  <ap:ScaleCrop>false</ap:ScaleCrop>
  <ap:HeadingPairs>
    <vt:vector baseType="variant" size="2">
      <vt:variant>
        <vt:lpstr>Titel</vt:lpstr>
      </vt:variant>
      <vt:variant>
        <vt:i4>1</vt:i4>
      </vt:variant>
    </vt:vector>
  </ap:HeadingPairs>
  <ap:TitlesOfParts>
    <vt:vector baseType="lpstr" size="1">
      <vt:lpstr>Brief - Kamerbrief n.a.v. commissiedebat 1 oktober</vt:lpstr>
    </vt:vector>
  </ap:TitlesOfParts>
  <ap:LinksUpToDate>false</ap:LinksUpToDate>
  <ap:CharactersWithSpaces>21984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2024-10-04T08:44:00.0000000Z</dcterms:created>
  <dcterms:modified xsi:type="dcterms:W3CDTF">2024-10-04T14:29:00.0000000Z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Kamerbrief n.a.l.v de vergadering van de commissie voor Binnenlandse Zaken</vt:lpwstr>
  </property>
  <property fmtid="{D5CDD505-2E9C-101B-9397-08002B2CF9AE}" pid="5" name="Publicatiedatum">
    <vt:lpwstr/>
  </property>
  <property fmtid="{D5CDD505-2E9C-101B-9397-08002B2CF9AE}" pid="6" name="Verantwoordelijke organisatie">
    <vt:lpwstr>DGOBDR-BFR-Regelg. Toezicht &amp; Monitoring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oktober 2024</vt:lpwstr>
  </property>
  <property fmtid="{D5CDD505-2E9C-101B-9397-08002B2CF9AE}" pid="13" name="Opgesteld door, Naam">
    <vt:lpwstr>Jan van der Bij</vt:lpwstr>
  </property>
  <property fmtid="{D5CDD505-2E9C-101B-9397-08002B2CF9AE}" pid="14" name="Opgesteld door, Telefoonnummer">
    <vt:lpwstr/>
  </property>
  <property fmtid="{D5CDD505-2E9C-101B-9397-08002B2CF9AE}" pid="15" name="Kenmerk">
    <vt:lpwstr>2024-0000817765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Kamerbrief n.a.v. commissiedebat 1 oktober</vt:lpwstr>
  </property>
  <property fmtid="{D5CDD505-2E9C-101B-9397-08002B2CF9AE}" pid="30" name="UwKenmerk">
    <vt:lpwstr/>
  </property>
</Properties>
</file>