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C55" w:rsidRDefault="00395463" w14:paraId="201D00D5" w14:textId="77777777">
      <w:pPr>
        <w:pStyle w:val="Salutation"/>
      </w:pPr>
      <w:bookmarkStart w:name="_GoBack" w:id="0"/>
      <w:bookmarkEnd w:id="0"/>
      <w:r>
        <w:t>Geachte voorzitter,</w:t>
      </w:r>
    </w:p>
    <w:p w:rsidR="00B17491" w:rsidP="00B17491" w:rsidRDefault="00B17491" w14:paraId="1E9132CA" w14:textId="77777777">
      <w:r>
        <w:t xml:space="preserve">Met deze brief informeer ik de Kamer over het Meerjarenprogramma terugsluis vrachtwagenheffing 2026-2030. Zoals vastgelegd in de Wet vrachtwagenheffing worden de </w:t>
      </w:r>
      <w:r w:rsidRPr="009B697B">
        <w:t xml:space="preserve">netto-opbrengsten van de vrachtwagenheffing </w:t>
      </w:r>
      <w:r>
        <w:t>ingezet</w:t>
      </w:r>
      <w:r w:rsidRPr="009B697B">
        <w:t xml:space="preserve"> voor innovatie</w:t>
      </w:r>
      <w:r w:rsidRPr="00053489">
        <w:t xml:space="preserve"> </w:t>
      </w:r>
      <w:r w:rsidRPr="009B697B">
        <w:t>en verduurzaming</w:t>
      </w:r>
      <w:r>
        <w:t xml:space="preserve"> van de vervoerssector</w:t>
      </w:r>
      <w:r w:rsidRPr="009B697B">
        <w:t xml:space="preserve">. </w:t>
      </w:r>
      <w:r>
        <w:t>Dit meerjarenprogramma beschrijft de besteding van deze terugsluis voor de periode 2026-2030.</w:t>
      </w:r>
    </w:p>
    <w:p w:rsidR="00B17491" w:rsidP="00B17491" w:rsidRDefault="00B17491" w14:paraId="43563F42" w14:textId="77777777"/>
    <w:p w:rsidR="00B17491" w:rsidP="00B17491" w:rsidRDefault="00B17491" w14:paraId="5EC59294" w14:textId="77777777">
      <w:pPr>
        <w:rPr>
          <w:b/>
          <w:bCs/>
        </w:rPr>
      </w:pPr>
      <w:r>
        <w:rPr>
          <w:b/>
          <w:bCs/>
        </w:rPr>
        <w:t>Totstandkoming</w:t>
      </w:r>
    </w:p>
    <w:p w:rsidRPr="006C1A5E" w:rsidR="00B17491" w:rsidP="00B17491" w:rsidRDefault="00B17491" w14:paraId="5C951C2B" w14:textId="77777777">
      <w:r>
        <w:t>Het meerjarenprogramma is door een uitvoerig proces tot stand gekomen. Al in september 2021 tekenden de vervoerspartijen evofenedex, TLN en VERN met de toenmalige minister van Infrastructuur en Waterstaat de bestuursovereenkomst terugsluis vrachtwagenheffing. Deze partijen concludeerden gezamenlijk dat verduurzaming en innovatie van de vervoerssector een maatschappelijk breed onderschreven doel is. In de bestuursovereenkomst zijn afspraken gemaakt over de totstandkoming van het meerjarenprogramma. In de daaropvolgende jaren is in samenwerking met de vervoerspartijen en met nauwe betrokkenheid van andere stakeholders een eerste concept-meerjarenprogramma voor de jaren 2026-2030 opgesteld. Dit concept-meerjarenprogramma is in de zomer van 2023 opengesteld voor een internetconsultatie. Hierop zijn 36 reacties ingediend, waarin in grote mate steun is uitgesproken voor de te nemen maatregelen op het gebied van verduurzaming en innovatie van de vervoerssector.</w:t>
      </w:r>
      <w:r>
        <w:rPr>
          <w:rStyle w:val="FootnoteReference"/>
        </w:rPr>
        <w:footnoteReference w:id="1"/>
      </w:r>
      <w:r>
        <w:t xml:space="preserve"> </w:t>
      </w:r>
    </w:p>
    <w:p w:rsidR="00B17491" w:rsidP="00B17491" w:rsidRDefault="00B17491" w14:paraId="5F6686BE" w14:textId="77777777">
      <w:pPr>
        <w:rPr>
          <w:b/>
          <w:bCs/>
        </w:rPr>
      </w:pPr>
    </w:p>
    <w:p w:rsidRPr="00C15A4E" w:rsidR="00B17491" w:rsidP="00B17491" w:rsidRDefault="00B17491" w14:paraId="7B4C2127" w14:textId="77777777">
      <w:pPr>
        <w:rPr>
          <w:b/>
          <w:bCs/>
        </w:rPr>
      </w:pPr>
      <w:r>
        <w:rPr>
          <w:b/>
          <w:bCs/>
        </w:rPr>
        <w:t>Inhoud Meerjarenprogramma</w:t>
      </w:r>
    </w:p>
    <w:p w:rsidR="00B17491" w:rsidP="00B17491" w:rsidRDefault="00B17491" w14:paraId="32A0D838" w14:textId="77777777">
      <w:r>
        <w:t>De reacties op het concept-meerjarenprogramma gaven geen aanleiding tot grote wijzigingen in het programma. Wel zijn de maatregelen uit het concept-meerjarenprogramma het afgelopen jaar verder uitgewerkt. Het definitieve meerjarenprogramma bestaat uit de volgende vijf maatregelen, die de transitie naar een duurzame en innovatieve vervoerssector ondersteunen:</w:t>
      </w:r>
    </w:p>
    <w:p w:rsidR="00B17491" w:rsidP="00B17491" w:rsidRDefault="00B17491" w14:paraId="5F93AA58" w14:textId="77777777"/>
    <w:p w:rsidR="00B17491" w:rsidP="00B17491" w:rsidRDefault="00B17491" w14:paraId="3EFACF2E" w14:textId="7985B41C">
      <w:pPr>
        <w:pStyle w:val="ListParagraph"/>
        <w:numPr>
          <w:ilvl w:val="0"/>
          <w:numId w:val="22"/>
        </w:numPr>
      </w:pPr>
      <w:r>
        <w:t>Aanschafsubsidieregeling Zero Emissie Trucks (AanZET) – subsidie voor de aanschaf van nieuwe emissievrije vrachtwagens.</w:t>
      </w:r>
      <w:r w:rsidR="00C2613C">
        <w:t xml:space="preserve"> Deze regeling is afgelopen jaren</w:t>
      </w:r>
      <w:r w:rsidR="00E1441D">
        <w:t xml:space="preserve"> </w:t>
      </w:r>
      <w:r w:rsidR="00C2613C">
        <w:t>al meermaals met succes opengesteld.</w:t>
      </w:r>
      <w:r w:rsidR="00E1441D">
        <w:t xml:space="preserve"> </w:t>
      </w:r>
    </w:p>
    <w:p w:rsidR="00B17491" w:rsidP="00B17491" w:rsidRDefault="00B17491" w14:paraId="36EAF00D" w14:textId="47089A30">
      <w:pPr>
        <w:pStyle w:val="ListParagraph"/>
        <w:numPr>
          <w:ilvl w:val="0"/>
          <w:numId w:val="22"/>
        </w:numPr>
      </w:pPr>
      <w:r>
        <w:lastRenderedPageBreak/>
        <w:t>Subsidieregeling Private Laadinfrastructuur bij Bedrijven (SPriLa) – subsidie voor advies over óf de aanleg van laadinfrastructuur voor o.a. elektrische vrachtwagens.</w:t>
      </w:r>
      <w:r w:rsidR="00C2613C">
        <w:t xml:space="preserve"> Deze regeling is afgelopen september voor het eerst opengesteld. </w:t>
      </w:r>
    </w:p>
    <w:p w:rsidR="00B17491" w:rsidP="00B17491" w:rsidRDefault="00B17491" w14:paraId="6E08027B" w14:textId="2D283BB7">
      <w:pPr>
        <w:pStyle w:val="ListParagraph"/>
        <w:numPr>
          <w:ilvl w:val="0"/>
          <w:numId w:val="22"/>
        </w:numPr>
      </w:pPr>
      <w:r>
        <w:t>Subsidieregeling Waterstof in Mobiliteit (SWIM) – subsidie voor het aanschaffen van waterstofvrachtwagens en het aanleggen van waterstof-tankstations.</w:t>
      </w:r>
      <w:r w:rsidR="00C2613C">
        <w:t xml:space="preserve"> Deze regeling is in de zomer van 2024 voor het eerst opengesteld. </w:t>
      </w:r>
    </w:p>
    <w:p w:rsidRPr="00AD644D" w:rsidR="00B17491" w:rsidP="00B17491" w:rsidRDefault="00B17491" w14:paraId="445407C5" w14:textId="77777777">
      <w:pPr>
        <w:pStyle w:val="ListParagraph"/>
        <w:numPr>
          <w:ilvl w:val="0"/>
          <w:numId w:val="22"/>
        </w:numPr>
      </w:pPr>
      <w:r w:rsidRPr="00AD644D">
        <w:t xml:space="preserve">Project Electric Road Systems (ERS) – onderzoek </w:t>
      </w:r>
      <w:r>
        <w:t>naar de haalbaarheid van</w:t>
      </w:r>
      <w:r w:rsidRPr="00AD644D">
        <w:t xml:space="preserve"> ERS</w:t>
      </w:r>
      <w:r>
        <w:t xml:space="preserve"> (al rijdend opladen van een elektrische vrachtwagen, bijvoorbeeld met een bovenleiding)</w:t>
      </w:r>
      <w:r w:rsidRPr="00AD644D">
        <w:t xml:space="preserve"> </w:t>
      </w:r>
      <w:r>
        <w:t>als</w:t>
      </w:r>
      <w:r w:rsidRPr="00AD644D">
        <w:t xml:space="preserve"> aan</w:t>
      </w:r>
      <w:r>
        <w:t>vulling op het stilstaand opladen.</w:t>
      </w:r>
    </w:p>
    <w:p w:rsidR="00B17491" w:rsidP="00B17491" w:rsidRDefault="00B17491" w14:paraId="66BAD75F" w14:textId="77777777">
      <w:pPr>
        <w:pStyle w:val="ListParagraph"/>
        <w:numPr>
          <w:ilvl w:val="0"/>
          <w:numId w:val="22"/>
        </w:numPr>
      </w:pPr>
      <w:r w:rsidRPr="00AD644D">
        <w:t>Stimulering Logistieke Efficiëntie – meerdere m</w:t>
      </w:r>
      <w:r>
        <w:t>aatregelen</w:t>
      </w:r>
      <w:r w:rsidRPr="00223FFE">
        <w:t xml:space="preserve"> </w:t>
      </w:r>
      <w:r>
        <w:t>met als doel de efficiëntie in de logistieke keten te verbeteren, zoals een subsidieregeling en voorbereiding van de toelating van de Super EcoCombi (een extra lange vrachtwagen).</w:t>
      </w:r>
    </w:p>
    <w:p w:rsidR="00B17491" w:rsidP="00B17491" w:rsidRDefault="00B17491" w14:paraId="28E54A4E" w14:textId="77777777"/>
    <w:p w:rsidR="00B17491" w:rsidP="00B17491" w:rsidRDefault="00B17491" w14:paraId="7F60504C" w14:textId="77777777">
      <w:r>
        <w:t xml:space="preserve">Naast een beschrijving van de maatregelen bevat het meerjarenprogramma een verdeling van de netto-opbrengsten van de vrachtwagenheffing over de verschillende maatregelen. In totaal is in de jaren 2026-2030 ruim € 1,6 miljard beschikbaar voor verduurzaming en innovatie van de vervoerssector. Het grootste deel van deze middelen wordt ingezet voor het elektrificeren van vrachtwagens, met de regelingen AanZET en SPriLa. </w:t>
      </w:r>
    </w:p>
    <w:p w:rsidR="00B17491" w:rsidP="00B17491" w:rsidRDefault="00B17491" w14:paraId="2CF57C21" w14:textId="77777777"/>
    <w:p w:rsidR="00B17491" w:rsidP="00B17491" w:rsidRDefault="00B17491" w14:paraId="60A7D607" w14:textId="77777777">
      <w:r w:rsidRPr="00540494">
        <w:t>De voorgestelde budgetreeksen voor de verschillende maatregelen staan in een voorlopig ritme. Bij het opstellen is zo goed als mogelijk rekening gehouden met technologische ontwikkelingen, het absorptievermogen van de markt en andere factoren om een doeltreffende en doelmatige besteding te realiseren. De ontwikkelingen gaan echter snel en zijn lastig te voorspellen. Een aantal maatregelen uit het meerjarenprogramma is bovendien nog in ontwikkeling. Daarom zal bij de budgettaire verwerking van het meerjarenprogramma bij de Voorjaarsnota 2025, in samenspraak met het ministerie van Financiën, bekeken worden of bijstelling van de budgetreeksen naar aanleiding van onder andere de lessen uit de openstellingen of nieuwe ontwikkelingen noodzakelijk is.</w:t>
      </w:r>
    </w:p>
    <w:p w:rsidR="00B17491" w:rsidP="00B17491" w:rsidRDefault="00B17491" w14:paraId="21CAB4CB" w14:textId="77777777"/>
    <w:p w:rsidR="00B17491" w:rsidP="00B17491" w:rsidRDefault="00B17491" w14:paraId="788698F3" w14:textId="77777777">
      <w:r>
        <w:t>In het meerjarenprogramma is ten slotte ook aandacht voor de monitoring en evaluatie van de verschillende maatregelen welke gedurende de looptijd reden kunnen zijn voor aanpassing van het meerjarenprogramma. Een doelmatige en doeltreffende besteding van de middelen staat immers voorop.</w:t>
      </w:r>
      <w:r w:rsidRPr="00707A36">
        <w:t xml:space="preserve"> </w:t>
      </w:r>
    </w:p>
    <w:p w:rsidR="00B17491" w:rsidP="00B17491" w:rsidRDefault="00B17491" w14:paraId="5EA68DDF" w14:textId="77777777"/>
    <w:p w:rsidR="00B17491" w:rsidP="00B17491" w:rsidRDefault="00B17491" w14:paraId="369D9DEC" w14:textId="77777777">
      <w:r>
        <w:t>Conform de Wet vrachtwagenheffing en de afspraken uit de bestuursovereenkomst is het meerjarenprogramma recent besproken met de drie vervoerspartijen. Zij hebben in dat gesprek hun steun uitgesproken voor het meerjarenprogramma.</w:t>
      </w:r>
    </w:p>
    <w:p w:rsidRPr="00A402E7" w:rsidR="00B17491" w:rsidP="00B17491" w:rsidRDefault="00B17491" w14:paraId="57C02E84" w14:textId="77777777"/>
    <w:p w:rsidRPr="00BB4925" w:rsidR="00B17491" w:rsidP="00B17491" w:rsidRDefault="00B17491" w14:paraId="02C5583F" w14:textId="77777777">
      <w:pPr>
        <w:rPr>
          <w:b/>
          <w:bCs/>
        </w:rPr>
      </w:pPr>
      <w:r w:rsidRPr="00BB4925">
        <w:rPr>
          <w:b/>
          <w:bCs/>
        </w:rPr>
        <w:t>Effectstudie</w:t>
      </w:r>
    </w:p>
    <w:p w:rsidR="00B17491" w:rsidP="00B17491" w:rsidRDefault="00B17491" w14:paraId="67D717A4" w14:textId="77777777">
      <w:r>
        <w:t>In de Wet vrachtwagenheffing is vastgelegd dat het meerjarenprogramma zichtbaar moet maken in welke mate de maatregelen bijdragen aan de verduurzaming en innovatie van de vervoerssector. Daarom zijn de effecten van de maatregelen onderzocht door onderzoeksbureau Panteia.</w:t>
      </w:r>
    </w:p>
    <w:p w:rsidR="00B17491" w:rsidP="00B17491" w:rsidRDefault="00B17491" w14:paraId="41B2D59B" w14:textId="77777777"/>
    <w:p w:rsidR="005B4C55" w:rsidP="00C2613C" w:rsidRDefault="00B17491" w14:paraId="3EA3CF4B" w14:textId="062057BE">
      <w:r>
        <w:t>De effectstudie laat zien dat er in 2030 naar verwachting ruim 14.000 emissievrije vrachtwagens extra, bovenop de zelfstandige groei van 13.000 emissievrije vrachtwagens, rondrijden. Daarnaast wordt door de maatregelen in het meerjarenprogramma 1 Mton CO</w:t>
      </w:r>
      <w:r w:rsidRPr="00AE07D9">
        <w:rPr>
          <w:vertAlign w:val="subscript"/>
        </w:rPr>
        <w:t>2</w:t>
      </w:r>
      <w:r>
        <w:t xml:space="preserve"> bespaard, neemt de uitstoot van stikstof (NO</w:t>
      </w:r>
      <w:r w:rsidRPr="00AE07D9">
        <w:rPr>
          <w:vertAlign w:val="subscript"/>
        </w:rPr>
        <w:t>x</w:t>
      </w:r>
      <w:r>
        <w:t>) met 675 ton af en vermindert de uitstoot van fijnstof (PM</w:t>
      </w:r>
      <w:r w:rsidRPr="00AE07D9">
        <w:rPr>
          <w:vertAlign w:val="subscript"/>
        </w:rPr>
        <w:t>10</w:t>
      </w:r>
      <w:r>
        <w:t>) met 19 ton. Als gevolg van de maatregelen voor logistieke efficiëntie worden er 90 miljoen minder voertuigkilometers gereden. Ook na 2030 hebben de maatregelen van het meerjarenprogramma nog effect. Denk bijvoorbeeld aan voertuigen die pas in 2031 op de markt komen, maar wel al in 2030 via AanZET zijn gesubsidieerd of aan de vermindering van gereden kilometers door efficiëntie-inspanningen, die in 2030 of eerder zijn ingezet en waarvan de resultaten na 2030 nog merkbaar zijn. Deze effecten komen bovenop de effecten van de vrachtwagenheffing zelf. Ook de heffing zelf draagt bij aan de verduurzaming van het wagenpark, doordat het tarief wordt gedifferentieerd naar de uitstoot van het voertuig.</w:t>
      </w:r>
    </w:p>
    <w:p w:rsidR="005B4C55" w:rsidRDefault="00395463" w14:paraId="2D5444D7" w14:textId="77777777">
      <w:pPr>
        <w:pStyle w:val="Slotzin"/>
      </w:pPr>
      <w:r>
        <w:t>Hoogachtend,</w:t>
      </w:r>
    </w:p>
    <w:p w:rsidR="005B4C55" w:rsidRDefault="00395463" w14:paraId="14E1C8B8" w14:textId="77777777">
      <w:pPr>
        <w:pStyle w:val="OndertekeningArea1"/>
      </w:pPr>
      <w:r>
        <w:t>DE MINISTER VAN INFRASTRUCTUUR EN WATERSTAAT,</w:t>
      </w:r>
    </w:p>
    <w:p w:rsidR="005B4C55" w:rsidRDefault="005B4C55" w14:paraId="34DE01CD" w14:textId="77777777"/>
    <w:p w:rsidR="005B4C55" w:rsidRDefault="005B4C55" w14:paraId="43F7EFD6" w14:textId="77777777"/>
    <w:p w:rsidR="005B4C55" w:rsidRDefault="005B4C55" w14:paraId="19B8C0D5" w14:textId="77777777"/>
    <w:p w:rsidR="005B4C55" w:rsidRDefault="005B4C55" w14:paraId="5FCA67EB" w14:textId="77777777"/>
    <w:p w:rsidR="005B4C55" w:rsidRDefault="00C2613C" w14:paraId="73019994" w14:textId="19BBB328">
      <w:r>
        <w:t>Barry Madlener</w:t>
      </w:r>
    </w:p>
    <w:sectPr w:rsidR="005B4C55">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42653" w14:textId="77777777" w:rsidR="00B15571" w:rsidRDefault="00B15571">
      <w:pPr>
        <w:spacing w:line="240" w:lineRule="auto"/>
      </w:pPr>
      <w:r>
        <w:separator/>
      </w:r>
    </w:p>
  </w:endnote>
  <w:endnote w:type="continuationSeparator" w:id="0">
    <w:p w14:paraId="2D2D5AF3" w14:textId="77777777" w:rsidR="00B15571" w:rsidRDefault="00B155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8C401" w14:textId="77777777" w:rsidR="00AD0E3F" w:rsidRDefault="00AD0E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C24E3" w14:textId="77777777" w:rsidR="005B4C55" w:rsidRDefault="005B4C55">
    <w:pPr>
      <w:pStyle w:val="MarginlessContain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86BEA" w14:textId="77777777" w:rsidR="005B4C55" w:rsidRDefault="005B4C55">
    <w:pPr>
      <w:pStyle w:val="MarginlessContain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99604" w14:textId="77777777" w:rsidR="00B15571" w:rsidRDefault="00B15571">
      <w:pPr>
        <w:spacing w:line="240" w:lineRule="auto"/>
      </w:pPr>
      <w:r>
        <w:separator/>
      </w:r>
    </w:p>
  </w:footnote>
  <w:footnote w:type="continuationSeparator" w:id="0">
    <w:p w14:paraId="588E7154" w14:textId="77777777" w:rsidR="00B15571" w:rsidRDefault="00B15571">
      <w:pPr>
        <w:spacing w:line="240" w:lineRule="auto"/>
      </w:pPr>
      <w:r>
        <w:continuationSeparator/>
      </w:r>
    </w:p>
  </w:footnote>
  <w:footnote w:id="1">
    <w:p w14:paraId="5BDB2CF0" w14:textId="77777777" w:rsidR="00B17491" w:rsidRPr="00062108" w:rsidRDefault="00B17491" w:rsidP="00B17491">
      <w:pPr>
        <w:pStyle w:val="FootnoteText"/>
        <w:rPr>
          <w:sz w:val="14"/>
          <w:szCs w:val="14"/>
        </w:rPr>
      </w:pPr>
      <w:r w:rsidRPr="00062108">
        <w:rPr>
          <w:rStyle w:val="FootnoteReference"/>
          <w:sz w:val="14"/>
          <w:szCs w:val="14"/>
        </w:rPr>
        <w:footnoteRef/>
      </w:r>
      <w:r w:rsidRPr="00062108">
        <w:rPr>
          <w:sz w:val="14"/>
          <w:szCs w:val="14"/>
        </w:rPr>
        <w:t xml:space="preserve"> www.internetconsultatie.nl/terugsluis_vrachtwagenheffing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06F9C" w14:textId="77777777" w:rsidR="00AD0E3F" w:rsidRDefault="00AD0E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0E925" w14:textId="77777777" w:rsidR="005B4C55" w:rsidRDefault="00395463">
    <w:pPr>
      <w:pStyle w:val="MarginlessContainer"/>
    </w:pPr>
    <w:r>
      <w:rPr>
        <w:noProof/>
        <w:lang w:val="en-GB" w:eastAsia="en-GB"/>
      </w:rPr>
      <mc:AlternateContent>
        <mc:Choice Requires="wps">
          <w:drawing>
            <wp:anchor distT="0" distB="0" distL="0" distR="0" simplePos="0" relativeHeight="251651584" behindDoc="0" locked="1" layoutInCell="1" allowOverlap="1" wp14:anchorId="2C2EC4A2" wp14:editId="193A4C27">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5F88C1A5" w14:textId="77777777" w:rsidR="005B4C55" w:rsidRDefault="00395463">
                          <w:pPr>
                            <w:pStyle w:val="AfzendgegevensKop0"/>
                          </w:pPr>
                          <w:r>
                            <w:t>Ministerie van Infrastructuur en Waterstaat</w:t>
                          </w:r>
                        </w:p>
                        <w:p w14:paraId="1C79B906" w14:textId="77777777" w:rsidR="005B4C55" w:rsidRDefault="005B4C55">
                          <w:pPr>
                            <w:pStyle w:val="WitregelW2"/>
                          </w:pPr>
                        </w:p>
                        <w:p w14:paraId="04BBEC1B" w14:textId="77777777" w:rsidR="005B4C55" w:rsidRDefault="00395463">
                          <w:pPr>
                            <w:pStyle w:val="Referentiegegevenskop"/>
                          </w:pPr>
                          <w:r>
                            <w:t>Ons kenmerk</w:t>
                          </w:r>
                        </w:p>
                        <w:p w14:paraId="385D81E1" w14:textId="77777777" w:rsidR="005B4C55" w:rsidRDefault="00395463">
                          <w:pPr>
                            <w:pStyle w:val="Referentiegegevens"/>
                          </w:pPr>
                          <w:r>
                            <w:t>IENW/BSK-2024/254463</w:t>
                          </w:r>
                        </w:p>
                      </w:txbxContent>
                    </wps:txbx>
                    <wps:bodyPr vert="horz" wrap="square" lIns="0" tIns="0" rIns="0" bIns="0" anchor="t" anchorCtr="0"/>
                  </wps:wsp>
                </a:graphicData>
              </a:graphic>
            </wp:anchor>
          </w:drawing>
        </mc:Choice>
        <mc:Fallback>
          <w:pict>
            <v:shapetype w14:anchorId="2C2EC4A2"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5F88C1A5" w14:textId="77777777" w:rsidR="005B4C55" w:rsidRDefault="00395463">
                    <w:pPr>
                      <w:pStyle w:val="AfzendgegevensKop0"/>
                    </w:pPr>
                    <w:r>
                      <w:t>Ministerie van Infrastructuur en Waterstaat</w:t>
                    </w:r>
                  </w:p>
                  <w:p w14:paraId="1C79B906" w14:textId="77777777" w:rsidR="005B4C55" w:rsidRDefault="005B4C55">
                    <w:pPr>
                      <w:pStyle w:val="WitregelW2"/>
                    </w:pPr>
                  </w:p>
                  <w:p w14:paraId="04BBEC1B" w14:textId="77777777" w:rsidR="005B4C55" w:rsidRDefault="00395463">
                    <w:pPr>
                      <w:pStyle w:val="Referentiegegevenskop"/>
                    </w:pPr>
                    <w:r>
                      <w:t>Ons kenmerk</w:t>
                    </w:r>
                  </w:p>
                  <w:p w14:paraId="385D81E1" w14:textId="77777777" w:rsidR="005B4C55" w:rsidRDefault="00395463">
                    <w:pPr>
                      <w:pStyle w:val="Referentiegegevens"/>
                    </w:pPr>
                    <w:r>
                      <w:t>IENW/BSK-2024/254463</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6C882AB7" wp14:editId="3EDB9150">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BEAA491" w14:textId="3874A884" w:rsidR="005B4C55" w:rsidRDefault="00395463">
                          <w:pPr>
                            <w:pStyle w:val="Referentiegegevens"/>
                          </w:pPr>
                          <w:r>
                            <w:t xml:space="preserve">Pagina </w:t>
                          </w:r>
                          <w:r>
                            <w:fldChar w:fldCharType="begin"/>
                          </w:r>
                          <w:r>
                            <w:instrText>PAGE</w:instrText>
                          </w:r>
                          <w:r>
                            <w:fldChar w:fldCharType="separate"/>
                          </w:r>
                          <w:r w:rsidR="00B17491">
                            <w:rPr>
                              <w:noProof/>
                            </w:rPr>
                            <w:t>2</w:t>
                          </w:r>
                          <w:r>
                            <w:fldChar w:fldCharType="end"/>
                          </w:r>
                          <w:r>
                            <w:t xml:space="preserve"> van </w:t>
                          </w:r>
                          <w:r>
                            <w:fldChar w:fldCharType="begin"/>
                          </w:r>
                          <w:r>
                            <w:instrText>NUMPAGES</w:instrText>
                          </w:r>
                          <w:r>
                            <w:fldChar w:fldCharType="separate"/>
                          </w:r>
                          <w:r w:rsidR="00B17491">
                            <w:rPr>
                              <w:noProof/>
                            </w:rPr>
                            <w:t>1</w:t>
                          </w:r>
                          <w:r>
                            <w:fldChar w:fldCharType="end"/>
                          </w:r>
                        </w:p>
                      </w:txbxContent>
                    </wps:txbx>
                    <wps:bodyPr vert="horz" wrap="square" lIns="0" tIns="0" rIns="0" bIns="0" anchor="t" anchorCtr="0"/>
                  </wps:wsp>
                </a:graphicData>
              </a:graphic>
            </wp:anchor>
          </w:drawing>
        </mc:Choice>
        <mc:Fallback>
          <w:pict>
            <v:shape w14:anchorId="6C882AB7"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6BEAA491" w14:textId="3874A884" w:rsidR="005B4C55" w:rsidRDefault="00395463">
                    <w:pPr>
                      <w:pStyle w:val="Referentiegegevens"/>
                    </w:pPr>
                    <w:r>
                      <w:t xml:space="preserve">Pagina </w:t>
                    </w:r>
                    <w:r>
                      <w:fldChar w:fldCharType="begin"/>
                    </w:r>
                    <w:r>
                      <w:instrText>PAGE</w:instrText>
                    </w:r>
                    <w:r>
                      <w:fldChar w:fldCharType="separate"/>
                    </w:r>
                    <w:r w:rsidR="00B17491">
                      <w:rPr>
                        <w:noProof/>
                      </w:rPr>
                      <w:t>2</w:t>
                    </w:r>
                    <w:r>
                      <w:fldChar w:fldCharType="end"/>
                    </w:r>
                    <w:r>
                      <w:t xml:space="preserve"> van </w:t>
                    </w:r>
                    <w:r>
                      <w:fldChar w:fldCharType="begin"/>
                    </w:r>
                    <w:r>
                      <w:instrText>NUMPAGES</w:instrText>
                    </w:r>
                    <w:r>
                      <w:fldChar w:fldCharType="separate"/>
                    </w:r>
                    <w:r w:rsidR="00B17491">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08627405" wp14:editId="4409A202">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E2D3CB6" w14:textId="77777777" w:rsidR="00CD017F" w:rsidRDefault="00CD017F"/>
                      </w:txbxContent>
                    </wps:txbx>
                    <wps:bodyPr vert="horz" wrap="square" lIns="0" tIns="0" rIns="0" bIns="0" anchor="t" anchorCtr="0"/>
                  </wps:wsp>
                </a:graphicData>
              </a:graphic>
            </wp:anchor>
          </w:drawing>
        </mc:Choice>
        <mc:Fallback>
          <w:pict>
            <v:shape w14:anchorId="08627405"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6E2D3CB6" w14:textId="77777777" w:rsidR="00CD017F" w:rsidRDefault="00CD017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4098F76D" wp14:editId="4758DC20">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AC12A10" w14:textId="77777777" w:rsidR="00CD017F" w:rsidRDefault="00CD017F"/>
                      </w:txbxContent>
                    </wps:txbx>
                    <wps:bodyPr vert="horz" wrap="square" lIns="0" tIns="0" rIns="0" bIns="0" anchor="t" anchorCtr="0"/>
                  </wps:wsp>
                </a:graphicData>
              </a:graphic>
            </wp:anchor>
          </w:drawing>
        </mc:Choice>
        <mc:Fallback>
          <w:pict>
            <v:shape w14:anchorId="4098F76D"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1AC12A10" w14:textId="77777777" w:rsidR="00CD017F" w:rsidRDefault="00CD017F"/>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811C6" w14:textId="77777777" w:rsidR="005B4C55" w:rsidRDefault="00395463">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37019510" wp14:editId="52C04DB2">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331FDD2" w14:textId="77777777" w:rsidR="00CD017F" w:rsidRDefault="00CD017F"/>
                      </w:txbxContent>
                    </wps:txbx>
                    <wps:bodyPr vert="horz" wrap="square" lIns="0" tIns="0" rIns="0" bIns="0" anchor="t" anchorCtr="0"/>
                  </wps:wsp>
                </a:graphicData>
              </a:graphic>
            </wp:anchor>
          </w:drawing>
        </mc:Choice>
        <mc:Fallback>
          <w:pict>
            <v:shapetype w14:anchorId="37019510"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2331FDD2" w14:textId="77777777" w:rsidR="00CD017F" w:rsidRDefault="00CD017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3671790F" wp14:editId="3A3E14A8">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9270C44" w14:textId="50412037" w:rsidR="005B4C55" w:rsidRDefault="00395463">
                          <w:pPr>
                            <w:pStyle w:val="Referentiegegevens"/>
                          </w:pPr>
                          <w:r>
                            <w:t xml:space="preserve">Pagina </w:t>
                          </w:r>
                          <w:r>
                            <w:fldChar w:fldCharType="begin"/>
                          </w:r>
                          <w:r>
                            <w:instrText>PAGE</w:instrText>
                          </w:r>
                          <w:r>
                            <w:fldChar w:fldCharType="separate"/>
                          </w:r>
                          <w:r w:rsidR="007B7D8C">
                            <w:rPr>
                              <w:noProof/>
                            </w:rPr>
                            <w:t>1</w:t>
                          </w:r>
                          <w:r>
                            <w:fldChar w:fldCharType="end"/>
                          </w:r>
                          <w:r>
                            <w:t xml:space="preserve"> van </w:t>
                          </w:r>
                          <w:r>
                            <w:fldChar w:fldCharType="begin"/>
                          </w:r>
                          <w:r>
                            <w:instrText>NUMPAGES</w:instrText>
                          </w:r>
                          <w:r>
                            <w:fldChar w:fldCharType="separate"/>
                          </w:r>
                          <w:r w:rsidR="007B7D8C">
                            <w:rPr>
                              <w:noProof/>
                            </w:rPr>
                            <w:t>1</w:t>
                          </w:r>
                          <w:r>
                            <w:fldChar w:fldCharType="end"/>
                          </w:r>
                        </w:p>
                      </w:txbxContent>
                    </wps:txbx>
                    <wps:bodyPr vert="horz" wrap="square" lIns="0" tIns="0" rIns="0" bIns="0" anchor="t" anchorCtr="0"/>
                  </wps:wsp>
                </a:graphicData>
              </a:graphic>
            </wp:anchor>
          </w:drawing>
        </mc:Choice>
        <mc:Fallback>
          <w:pict>
            <v:shape w14:anchorId="3671790F"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59270C44" w14:textId="50412037" w:rsidR="005B4C55" w:rsidRDefault="00395463">
                    <w:pPr>
                      <w:pStyle w:val="Referentiegegevens"/>
                    </w:pPr>
                    <w:r>
                      <w:t xml:space="preserve">Pagina </w:t>
                    </w:r>
                    <w:r>
                      <w:fldChar w:fldCharType="begin"/>
                    </w:r>
                    <w:r>
                      <w:instrText>PAGE</w:instrText>
                    </w:r>
                    <w:r>
                      <w:fldChar w:fldCharType="separate"/>
                    </w:r>
                    <w:r w:rsidR="007B7D8C">
                      <w:rPr>
                        <w:noProof/>
                      </w:rPr>
                      <w:t>1</w:t>
                    </w:r>
                    <w:r>
                      <w:fldChar w:fldCharType="end"/>
                    </w:r>
                    <w:r>
                      <w:t xml:space="preserve"> van </w:t>
                    </w:r>
                    <w:r>
                      <w:fldChar w:fldCharType="begin"/>
                    </w:r>
                    <w:r>
                      <w:instrText>NUMPAGES</w:instrText>
                    </w:r>
                    <w:r>
                      <w:fldChar w:fldCharType="separate"/>
                    </w:r>
                    <w:r w:rsidR="007B7D8C">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7AAB538F" wp14:editId="19B18FAF">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6FC2319" w14:textId="77777777" w:rsidR="005B4C55" w:rsidRDefault="00395463">
                          <w:pPr>
                            <w:pStyle w:val="AfzendgegevensKop0"/>
                          </w:pPr>
                          <w:r>
                            <w:t>Ministerie van Infrastructuur en Waterstaat</w:t>
                          </w:r>
                        </w:p>
                        <w:p w14:paraId="31DB4894" w14:textId="77777777" w:rsidR="005B4C55" w:rsidRDefault="005B4C55">
                          <w:pPr>
                            <w:pStyle w:val="WitregelW1"/>
                          </w:pPr>
                        </w:p>
                        <w:p w14:paraId="447C2F15" w14:textId="77777777" w:rsidR="005B4C55" w:rsidRDefault="00395463">
                          <w:pPr>
                            <w:pStyle w:val="Afzendgegevens"/>
                          </w:pPr>
                          <w:r>
                            <w:t>Rijnstraat 8</w:t>
                          </w:r>
                        </w:p>
                        <w:p w14:paraId="6B26FFE2" w14:textId="77777777" w:rsidR="005B4C55" w:rsidRPr="00B17491" w:rsidRDefault="00395463">
                          <w:pPr>
                            <w:pStyle w:val="Afzendgegevens"/>
                            <w:rPr>
                              <w:lang w:val="de-DE"/>
                            </w:rPr>
                          </w:pPr>
                          <w:r w:rsidRPr="00B17491">
                            <w:rPr>
                              <w:lang w:val="de-DE"/>
                            </w:rPr>
                            <w:t>2515 XP  Den Haag</w:t>
                          </w:r>
                        </w:p>
                        <w:p w14:paraId="52337756" w14:textId="77777777" w:rsidR="005B4C55" w:rsidRPr="00B17491" w:rsidRDefault="00395463">
                          <w:pPr>
                            <w:pStyle w:val="Afzendgegevens"/>
                            <w:rPr>
                              <w:lang w:val="de-DE"/>
                            </w:rPr>
                          </w:pPr>
                          <w:r w:rsidRPr="00B17491">
                            <w:rPr>
                              <w:lang w:val="de-DE"/>
                            </w:rPr>
                            <w:t>Postbus 20901</w:t>
                          </w:r>
                        </w:p>
                        <w:p w14:paraId="1B76105C" w14:textId="77777777" w:rsidR="005B4C55" w:rsidRPr="00B17491" w:rsidRDefault="00395463">
                          <w:pPr>
                            <w:pStyle w:val="Afzendgegevens"/>
                            <w:rPr>
                              <w:lang w:val="de-DE"/>
                            </w:rPr>
                          </w:pPr>
                          <w:r w:rsidRPr="00B17491">
                            <w:rPr>
                              <w:lang w:val="de-DE"/>
                            </w:rPr>
                            <w:t>2500 EX Den Haag</w:t>
                          </w:r>
                        </w:p>
                        <w:p w14:paraId="1B5E6567" w14:textId="77777777" w:rsidR="005B4C55" w:rsidRPr="00B17491" w:rsidRDefault="005B4C55">
                          <w:pPr>
                            <w:pStyle w:val="WitregelW1"/>
                            <w:rPr>
                              <w:lang w:val="de-DE"/>
                            </w:rPr>
                          </w:pPr>
                        </w:p>
                        <w:p w14:paraId="0F64DAF1" w14:textId="77777777" w:rsidR="005B4C55" w:rsidRPr="00B17491" w:rsidRDefault="00395463">
                          <w:pPr>
                            <w:pStyle w:val="Afzendgegevens"/>
                            <w:rPr>
                              <w:lang w:val="de-DE"/>
                            </w:rPr>
                          </w:pPr>
                          <w:r w:rsidRPr="00B17491">
                            <w:rPr>
                              <w:lang w:val="de-DE"/>
                            </w:rPr>
                            <w:t>T   070-456 0000</w:t>
                          </w:r>
                        </w:p>
                        <w:p w14:paraId="2B2FFDB5" w14:textId="77777777" w:rsidR="005B4C55" w:rsidRDefault="00395463">
                          <w:pPr>
                            <w:pStyle w:val="Afzendgegevens"/>
                          </w:pPr>
                          <w:r>
                            <w:t>F   070-456 1111</w:t>
                          </w:r>
                        </w:p>
                        <w:p w14:paraId="6B24DE65" w14:textId="77777777" w:rsidR="005B4C55" w:rsidRDefault="005B4C55">
                          <w:pPr>
                            <w:pStyle w:val="WitregelW2"/>
                          </w:pPr>
                        </w:p>
                        <w:p w14:paraId="0074BA23" w14:textId="77777777" w:rsidR="005B4C55" w:rsidRDefault="00395463">
                          <w:pPr>
                            <w:pStyle w:val="Referentiegegevenskop"/>
                          </w:pPr>
                          <w:r>
                            <w:t>Ons kenmerk</w:t>
                          </w:r>
                        </w:p>
                        <w:p w14:paraId="1915847E" w14:textId="77777777" w:rsidR="005B4C55" w:rsidRDefault="00395463">
                          <w:pPr>
                            <w:pStyle w:val="Referentiegegevens"/>
                          </w:pPr>
                          <w:r>
                            <w:t>IENW/BSK-2024/254463</w:t>
                          </w:r>
                        </w:p>
                        <w:p w14:paraId="69889CF4" w14:textId="77777777" w:rsidR="005B4C55" w:rsidRDefault="005B4C55">
                          <w:pPr>
                            <w:pStyle w:val="WitregelW1"/>
                          </w:pPr>
                        </w:p>
                        <w:p w14:paraId="38FA3769" w14:textId="77777777" w:rsidR="005B4C55" w:rsidRDefault="00395463">
                          <w:pPr>
                            <w:pStyle w:val="Referentiegegevenskop"/>
                          </w:pPr>
                          <w:r>
                            <w:t>Bijlage(n)</w:t>
                          </w:r>
                        </w:p>
                        <w:p w14:paraId="722C958D" w14:textId="6433B4AE" w:rsidR="005B4C55" w:rsidRDefault="00395463">
                          <w:pPr>
                            <w:pStyle w:val="Referentiegegevens"/>
                          </w:pPr>
                          <w:r>
                            <w:t>4</w:t>
                          </w:r>
                        </w:p>
                      </w:txbxContent>
                    </wps:txbx>
                    <wps:bodyPr vert="horz" wrap="square" lIns="0" tIns="0" rIns="0" bIns="0" anchor="t" anchorCtr="0"/>
                  </wps:wsp>
                </a:graphicData>
              </a:graphic>
            </wp:anchor>
          </w:drawing>
        </mc:Choice>
        <mc:Fallback>
          <w:pict>
            <v:shape w14:anchorId="7AAB538F"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26FC2319" w14:textId="77777777" w:rsidR="005B4C55" w:rsidRDefault="00395463">
                    <w:pPr>
                      <w:pStyle w:val="AfzendgegevensKop0"/>
                    </w:pPr>
                    <w:r>
                      <w:t>Ministerie van Infrastructuur en Waterstaat</w:t>
                    </w:r>
                  </w:p>
                  <w:p w14:paraId="31DB4894" w14:textId="77777777" w:rsidR="005B4C55" w:rsidRDefault="005B4C55">
                    <w:pPr>
                      <w:pStyle w:val="WitregelW1"/>
                    </w:pPr>
                  </w:p>
                  <w:p w14:paraId="447C2F15" w14:textId="77777777" w:rsidR="005B4C55" w:rsidRDefault="00395463">
                    <w:pPr>
                      <w:pStyle w:val="Afzendgegevens"/>
                    </w:pPr>
                    <w:r>
                      <w:t>Rijnstraat 8</w:t>
                    </w:r>
                  </w:p>
                  <w:p w14:paraId="6B26FFE2" w14:textId="77777777" w:rsidR="005B4C55" w:rsidRPr="00B17491" w:rsidRDefault="00395463">
                    <w:pPr>
                      <w:pStyle w:val="Afzendgegevens"/>
                      <w:rPr>
                        <w:lang w:val="de-DE"/>
                      </w:rPr>
                    </w:pPr>
                    <w:r w:rsidRPr="00B17491">
                      <w:rPr>
                        <w:lang w:val="de-DE"/>
                      </w:rPr>
                      <w:t>2515 XP  Den Haag</w:t>
                    </w:r>
                  </w:p>
                  <w:p w14:paraId="52337756" w14:textId="77777777" w:rsidR="005B4C55" w:rsidRPr="00B17491" w:rsidRDefault="00395463">
                    <w:pPr>
                      <w:pStyle w:val="Afzendgegevens"/>
                      <w:rPr>
                        <w:lang w:val="de-DE"/>
                      </w:rPr>
                    </w:pPr>
                    <w:r w:rsidRPr="00B17491">
                      <w:rPr>
                        <w:lang w:val="de-DE"/>
                      </w:rPr>
                      <w:t>Postbus 20901</w:t>
                    </w:r>
                  </w:p>
                  <w:p w14:paraId="1B76105C" w14:textId="77777777" w:rsidR="005B4C55" w:rsidRPr="00B17491" w:rsidRDefault="00395463">
                    <w:pPr>
                      <w:pStyle w:val="Afzendgegevens"/>
                      <w:rPr>
                        <w:lang w:val="de-DE"/>
                      </w:rPr>
                    </w:pPr>
                    <w:r w:rsidRPr="00B17491">
                      <w:rPr>
                        <w:lang w:val="de-DE"/>
                      </w:rPr>
                      <w:t>2500 EX Den Haag</w:t>
                    </w:r>
                  </w:p>
                  <w:p w14:paraId="1B5E6567" w14:textId="77777777" w:rsidR="005B4C55" w:rsidRPr="00B17491" w:rsidRDefault="005B4C55">
                    <w:pPr>
                      <w:pStyle w:val="WitregelW1"/>
                      <w:rPr>
                        <w:lang w:val="de-DE"/>
                      </w:rPr>
                    </w:pPr>
                  </w:p>
                  <w:p w14:paraId="0F64DAF1" w14:textId="77777777" w:rsidR="005B4C55" w:rsidRPr="00B17491" w:rsidRDefault="00395463">
                    <w:pPr>
                      <w:pStyle w:val="Afzendgegevens"/>
                      <w:rPr>
                        <w:lang w:val="de-DE"/>
                      </w:rPr>
                    </w:pPr>
                    <w:r w:rsidRPr="00B17491">
                      <w:rPr>
                        <w:lang w:val="de-DE"/>
                      </w:rPr>
                      <w:t>T   070-456 0000</w:t>
                    </w:r>
                  </w:p>
                  <w:p w14:paraId="2B2FFDB5" w14:textId="77777777" w:rsidR="005B4C55" w:rsidRDefault="00395463">
                    <w:pPr>
                      <w:pStyle w:val="Afzendgegevens"/>
                    </w:pPr>
                    <w:r>
                      <w:t>F   070-456 1111</w:t>
                    </w:r>
                  </w:p>
                  <w:p w14:paraId="6B24DE65" w14:textId="77777777" w:rsidR="005B4C55" w:rsidRDefault="005B4C55">
                    <w:pPr>
                      <w:pStyle w:val="WitregelW2"/>
                    </w:pPr>
                  </w:p>
                  <w:p w14:paraId="0074BA23" w14:textId="77777777" w:rsidR="005B4C55" w:rsidRDefault="00395463">
                    <w:pPr>
                      <w:pStyle w:val="Referentiegegevenskop"/>
                    </w:pPr>
                    <w:r>
                      <w:t>Ons kenmerk</w:t>
                    </w:r>
                  </w:p>
                  <w:p w14:paraId="1915847E" w14:textId="77777777" w:rsidR="005B4C55" w:rsidRDefault="00395463">
                    <w:pPr>
                      <w:pStyle w:val="Referentiegegevens"/>
                    </w:pPr>
                    <w:r>
                      <w:t>IENW/BSK-2024/254463</w:t>
                    </w:r>
                  </w:p>
                  <w:p w14:paraId="69889CF4" w14:textId="77777777" w:rsidR="005B4C55" w:rsidRDefault="005B4C55">
                    <w:pPr>
                      <w:pStyle w:val="WitregelW1"/>
                    </w:pPr>
                  </w:p>
                  <w:p w14:paraId="38FA3769" w14:textId="77777777" w:rsidR="005B4C55" w:rsidRDefault="00395463">
                    <w:pPr>
                      <w:pStyle w:val="Referentiegegevenskop"/>
                    </w:pPr>
                    <w:r>
                      <w:t>Bijlage(n)</w:t>
                    </w:r>
                  </w:p>
                  <w:p w14:paraId="722C958D" w14:textId="6433B4AE" w:rsidR="005B4C55" w:rsidRDefault="00395463">
                    <w:pPr>
                      <w:pStyle w:val="Referentiegegevens"/>
                    </w:pPr>
                    <w:r>
                      <w:t>4</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4BE1F46E" wp14:editId="366B0138">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0A7AA24" w14:textId="77777777" w:rsidR="005B4C55" w:rsidRDefault="00395463">
                          <w:pPr>
                            <w:pStyle w:val="MarginlessContainer"/>
                          </w:pPr>
                          <w:r>
                            <w:rPr>
                              <w:noProof/>
                              <w:lang w:val="en-GB" w:eastAsia="en-GB"/>
                            </w:rPr>
                            <w:drawing>
                              <wp:inline distT="0" distB="0" distL="0" distR="0" wp14:anchorId="5834FBCC" wp14:editId="03ACAAB0">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BE1F46E"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40A7AA24" w14:textId="77777777" w:rsidR="005B4C55" w:rsidRDefault="00395463">
                    <w:pPr>
                      <w:pStyle w:val="MarginlessContainer"/>
                    </w:pPr>
                    <w:r>
                      <w:rPr>
                        <w:noProof/>
                        <w:lang w:val="en-GB" w:eastAsia="en-GB"/>
                      </w:rPr>
                      <w:drawing>
                        <wp:inline distT="0" distB="0" distL="0" distR="0" wp14:anchorId="5834FBCC" wp14:editId="03ACAAB0">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421A9257" wp14:editId="106CFB02">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525CBD6" w14:textId="77777777" w:rsidR="005B4C55" w:rsidRDefault="00395463">
                          <w:pPr>
                            <w:pStyle w:val="MarginlessContainer"/>
                          </w:pPr>
                          <w:r>
                            <w:rPr>
                              <w:noProof/>
                              <w:lang w:val="en-GB" w:eastAsia="en-GB"/>
                            </w:rPr>
                            <w:drawing>
                              <wp:inline distT="0" distB="0" distL="0" distR="0" wp14:anchorId="121CD2CB" wp14:editId="76CF79B4">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21A9257"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0525CBD6" w14:textId="77777777" w:rsidR="005B4C55" w:rsidRDefault="00395463">
                    <w:pPr>
                      <w:pStyle w:val="MarginlessContainer"/>
                    </w:pPr>
                    <w:r>
                      <w:rPr>
                        <w:noProof/>
                        <w:lang w:val="en-GB" w:eastAsia="en-GB"/>
                      </w:rPr>
                      <w:drawing>
                        <wp:inline distT="0" distB="0" distL="0" distR="0" wp14:anchorId="121CD2CB" wp14:editId="76CF79B4">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3FE648AE" wp14:editId="007F0399">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057B7185" w14:textId="77777777" w:rsidR="005B4C55" w:rsidRDefault="00395463">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3FE648AE"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057B7185" w14:textId="77777777" w:rsidR="005B4C55" w:rsidRDefault="00395463">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23B9A388" wp14:editId="23C34C8F">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E8664F0" w14:textId="77777777" w:rsidR="005B4C55" w:rsidRDefault="00395463">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23B9A388"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0E8664F0" w14:textId="77777777" w:rsidR="005B4C55" w:rsidRDefault="00395463">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165CD91D" wp14:editId="0301F07D">
              <wp:simplePos x="0" y="0"/>
              <wp:positionH relativeFrom="page">
                <wp:posOffset>1007744</wp:posOffset>
              </wp:positionH>
              <wp:positionV relativeFrom="page">
                <wp:posOffset>3635375</wp:posOffset>
              </wp:positionV>
              <wp:extent cx="4105275" cy="62992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5B4C55" w14:paraId="3190C0F1" w14:textId="77777777">
                            <w:trPr>
                              <w:trHeight w:val="200"/>
                            </w:trPr>
                            <w:tc>
                              <w:tcPr>
                                <w:tcW w:w="1140" w:type="dxa"/>
                              </w:tcPr>
                              <w:p w14:paraId="702F1403" w14:textId="77777777" w:rsidR="005B4C55" w:rsidRDefault="005B4C55"/>
                            </w:tc>
                            <w:tc>
                              <w:tcPr>
                                <w:tcW w:w="5400" w:type="dxa"/>
                              </w:tcPr>
                              <w:p w14:paraId="591FBC89" w14:textId="77777777" w:rsidR="005B4C55" w:rsidRDefault="005B4C55"/>
                            </w:tc>
                          </w:tr>
                          <w:tr w:rsidR="005B4C55" w14:paraId="101F53F7" w14:textId="77777777">
                            <w:trPr>
                              <w:trHeight w:val="240"/>
                            </w:trPr>
                            <w:tc>
                              <w:tcPr>
                                <w:tcW w:w="1140" w:type="dxa"/>
                              </w:tcPr>
                              <w:p w14:paraId="1946A9FB" w14:textId="77777777" w:rsidR="005B4C55" w:rsidRDefault="00395463">
                                <w:r>
                                  <w:t>Datum</w:t>
                                </w:r>
                              </w:p>
                            </w:tc>
                            <w:tc>
                              <w:tcPr>
                                <w:tcW w:w="5400" w:type="dxa"/>
                              </w:tcPr>
                              <w:p w14:paraId="46F3C026" w14:textId="16830FB4" w:rsidR="005B4C55" w:rsidRDefault="00AD0E3F">
                                <w:r>
                                  <w:t>4 oktober 2024</w:t>
                                </w:r>
                              </w:p>
                            </w:tc>
                          </w:tr>
                          <w:tr w:rsidR="005B4C55" w14:paraId="1CF86455" w14:textId="77777777">
                            <w:trPr>
                              <w:trHeight w:val="240"/>
                            </w:trPr>
                            <w:tc>
                              <w:tcPr>
                                <w:tcW w:w="1140" w:type="dxa"/>
                              </w:tcPr>
                              <w:p w14:paraId="1CE4DC43" w14:textId="77777777" w:rsidR="005B4C55" w:rsidRDefault="00395463">
                                <w:r>
                                  <w:t>Betreft</w:t>
                                </w:r>
                              </w:p>
                            </w:tc>
                            <w:tc>
                              <w:tcPr>
                                <w:tcW w:w="5400" w:type="dxa"/>
                              </w:tcPr>
                              <w:p w14:paraId="12E2AC4B" w14:textId="77777777" w:rsidR="005B4C55" w:rsidRDefault="00395463">
                                <w:r>
                                  <w:t>Meerjarenprogramma Terugsluis VWH 2026-2030</w:t>
                                </w:r>
                              </w:p>
                            </w:tc>
                          </w:tr>
                          <w:tr w:rsidR="005B4C55" w14:paraId="530FCC81" w14:textId="77777777">
                            <w:trPr>
                              <w:trHeight w:val="200"/>
                            </w:trPr>
                            <w:tc>
                              <w:tcPr>
                                <w:tcW w:w="1140" w:type="dxa"/>
                              </w:tcPr>
                              <w:p w14:paraId="002DD55E" w14:textId="77777777" w:rsidR="005B4C55" w:rsidRDefault="005B4C55"/>
                            </w:tc>
                            <w:tc>
                              <w:tcPr>
                                <w:tcW w:w="5400" w:type="dxa"/>
                              </w:tcPr>
                              <w:p w14:paraId="795F2B5F" w14:textId="77777777" w:rsidR="005B4C55" w:rsidRDefault="005B4C55"/>
                            </w:tc>
                          </w:tr>
                        </w:tbl>
                        <w:p w14:paraId="202555CB" w14:textId="77777777" w:rsidR="00CD017F" w:rsidRDefault="00CD017F"/>
                      </w:txbxContent>
                    </wps:txbx>
                    <wps:bodyPr vert="horz" wrap="square" lIns="0" tIns="0" rIns="0" bIns="0" anchor="t" anchorCtr="0"/>
                  </wps:wsp>
                </a:graphicData>
              </a:graphic>
            </wp:anchor>
          </w:drawing>
        </mc:Choice>
        <mc:Fallback>
          <w:pict>
            <v:shape w14:anchorId="165CD91D"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H1TCeutAQAAQQ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5B4C55" w14:paraId="3190C0F1" w14:textId="77777777">
                      <w:trPr>
                        <w:trHeight w:val="200"/>
                      </w:trPr>
                      <w:tc>
                        <w:tcPr>
                          <w:tcW w:w="1140" w:type="dxa"/>
                        </w:tcPr>
                        <w:p w14:paraId="702F1403" w14:textId="77777777" w:rsidR="005B4C55" w:rsidRDefault="005B4C55"/>
                      </w:tc>
                      <w:tc>
                        <w:tcPr>
                          <w:tcW w:w="5400" w:type="dxa"/>
                        </w:tcPr>
                        <w:p w14:paraId="591FBC89" w14:textId="77777777" w:rsidR="005B4C55" w:rsidRDefault="005B4C55"/>
                      </w:tc>
                    </w:tr>
                    <w:tr w:rsidR="005B4C55" w14:paraId="101F53F7" w14:textId="77777777">
                      <w:trPr>
                        <w:trHeight w:val="240"/>
                      </w:trPr>
                      <w:tc>
                        <w:tcPr>
                          <w:tcW w:w="1140" w:type="dxa"/>
                        </w:tcPr>
                        <w:p w14:paraId="1946A9FB" w14:textId="77777777" w:rsidR="005B4C55" w:rsidRDefault="00395463">
                          <w:r>
                            <w:t>Datum</w:t>
                          </w:r>
                        </w:p>
                      </w:tc>
                      <w:tc>
                        <w:tcPr>
                          <w:tcW w:w="5400" w:type="dxa"/>
                        </w:tcPr>
                        <w:p w14:paraId="46F3C026" w14:textId="16830FB4" w:rsidR="005B4C55" w:rsidRDefault="00AD0E3F">
                          <w:r>
                            <w:t>4 oktober 2024</w:t>
                          </w:r>
                        </w:p>
                      </w:tc>
                    </w:tr>
                    <w:tr w:rsidR="005B4C55" w14:paraId="1CF86455" w14:textId="77777777">
                      <w:trPr>
                        <w:trHeight w:val="240"/>
                      </w:trPr>
                      <w:tc>
                        <w:tcPr>
                          <w:tcW w:w="1140" w:type="dxa"/>
                        </w:tcPr>
                        <w:p w14:paraId="1CE4DC43" w14:textId="77777777" w:rsidR="005B4C55" w:rsidRDefault="00395463">
                          <w:r>
                            <w:t>Betreft</w:t>
                          </w:r>
                        </w:p>
                      </w:tc>
                      <w:tc>
                        <w:tcPr>
                          <w:tcW w:w="5400" w:type="dxa"/>
                        </w:tcPr>
                        <w:p w14:paraId="12E2AC4B" w14:textId="77777777" w:rsidR="005B4C55" w:rsidRDefault="00395463">
                          <w:r>
                            <w:t>Meerjarenprogramma Terugsluis VWH 2026-2030</w:t>
                          </w:r>
                        </w:p>
                      </w:tc>
                    </w:tr>
                    <w:tr w:rsidR="005B4C55" w14:paraId="530FCC81" w14:textId="77777777">
                      <w:trPr>
                        <w:trHeight w:val="200"/>
                      </w:trPr>
                      <w:tc>
                        <w:tcPr>
                          <w:tcW w:w="1140" w:type="dxa"/>
                        </w:tcPr>
                        <w:p w14:paraId="002DD55E" w14:textId="77777777" w:rsidR="005B4C55" w:rsidRDefault="005B4C55"/>
                      </w:tc>
                      <w:tc>
                        <w:tcPr>
                          <w:tcW w:w="5400" w:type="dxa"/>
                        </w:tcPr>
                        <w:p w14:paraId="795F2B5F" w14:textId="77777777" w:rsidR="005B4C55" w:rsidRDefault="005B4C55"/>
                      </w:tc>
                    </w:tr>
                  </w:tbl>
                  <w:p w14:paraId="202555CB" w14:textId="77777777" w:rsidR="00CD017F" w:rsidRDefault="00CD017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7C73970D" wp14:editId="7976D9A7">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C445006" w14:textId="77777777" w:rsidR="00CD017F" w:rsidRDefault="00CD017F"/>
                      </w:txbxContent>
                    </wps:txbx>
                    <wps:bodyPr vert="horz" wrap="square" lIns="0" tIns="0" rIns="0" bIns="0" anchor="t" anchorCtr="0"/>
                  </wps:wsp>
                </a:graphicData>
              </a:graphic>
            </wp:anchor>
          </w:drawing>
        </mc:Choice>
        <mc:Fallback>
          <w:pict>
            <v:shape w14:anchorId="7C73970D"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1C445006" w14:textId="77777777" w:rsidR="00CD017F" w:rsidRDefault="00CD017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7F9811"/>
    <w:multiLevelType w:val="multilevel"/>
    <w:tmpl w:val="52DFF1C1"/>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92BF66C"/>
    <w:multiLevelType w:val="multilevel"/>
    <w:tmpl w:val="B251799D"/>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42DFC21"/>
    <w:multiLevelType w:val="multilevel"/>
    <w:tmpl w:val="324EEEC3"/>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EB8710F"/>
    <w:multiLevelType w:val="multilevel"/>
    <w:tmpl w:val="C53CF912"/>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FD2E988"/>
    <w:multiLevelType w:val="multilevel"/>
    <w:tmpl w:val="129DD753"/>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238E5DB"/>
    <w:multiLevelType w:val="multilevel"/>
    <w:tmpl w:val="AFEFDDDC"/>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C3D1868"/>
    <w:multiLevelType w:val="multilevel"/>
    <w:tmpl w:val="FA79F862"/>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BB0C800"/>
    <w:multiLevelType w:val="multilevel"/>
    <w:tmpl w:val="BF85DE5E"/>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0808E80"/>
    <w:multiLevelType w:val="multilevel"/>
    <w:tmpl w:val="2C83E749"/>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2EC48F0"/>
    <w:multiLevelType w:val="multilevel"/>
    <w:tmpl w:val="9E3AE35D"/>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5809653"/>
    <w:multiLevelType w:val="multilevel"/>
    <w:tmpl w:val="8BCCF6CE"/>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C9FF3480"/>
    <w:multiLevelType w:val="multilevel"/>
    <w:tmpl w:val="FCCDDC07"/>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CCFBE14B"/>
    <w:multiLevelType w:val="multilevel"/>
    <w:tmpl w:val="680C0ED8"/>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DFE8F24A"/>
    <w:multiLevelType w:val="multilevel"/>
    <w:tmpl w:val="61B832D6"/>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E568D780"/>
    <w:multiLevelType w:val="multilevel"/>
    <w:tmpl w:val="E9473E3C"/>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F35CEF11"/>
    <w:multiLevelType w:val="multilevel"/>
    <w:tmpl w:val="D8BF67EA"/>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A3C1C8"/>
    <w:multiLevelType w:val="multilevel"/>
    <w:tmpl w:val="0DAF307E"/>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40559C8"/>
    <w:multiLevelType w:val="multilevel"/>
    <w:tmpl w:val="70A044D8"/>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E7CBF5B"/>
    <w:multiLevelType w:val="multilevel"/>
    <w:tmpl w:val="93894B24"/>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73768D"/>
    <w:multiLevelType w:val="multilevel"/>
    <w:tmpl w:val="9F5A0E56"/>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8226E8"/>
    <w:multiLevelType w:val="hybridMultilevel"/>
    <w:tmpl w:val="08CE1214"/>
    <w:lvl w:ilvl="0" w:tplc="0413000F">
      <w:start w:val="1"/>
      <w:numFmt w:val="decimal"/>
      <w:lvlText w:val="%1."/>
      <w:lvlJc w:val="left"/>
      <w:pPr>
        <w:ind w:left="360" w:hanging="360"/>
      </w:pPr>
      <w:rPr>
        <w:rFonts w:hint="default"/>
      </w:rPr>
    </w:lvl>
    <w:lvl w:ilvl="1" w:tplc="0413000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729CD0B9"/>
    <w:multiLevelType w:val="multilevel"/>
    <w:tmpl w:val="4E629812"/>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
  </w:num>
  <w:num w:numId="3">
    <w:abstractNumId w:val="0"/>
  </w:num>
  <w:num w:numId="4">
    <w:abstractNumId w:val="15"/>
  </w:num>
  <w:num w:numId="5">
    <w:abstractNumId w:val="19"/>
  </w:num>
  <w:num w:numId="6">
    <w:abstractNumId w:val="5"/>
  </w:num>
  <w:num w:numId="7">
    <w:abstractNumId w:val="6"/>
  </w:num>
  <w:num w:numId="8">
    <w:abstractNumId w:val="7"/>
  </w:num>
  <w:num w:numId="9">
    <w:abstractNumId w:val="8"/>
  </w:num>
  <w:num w:numId="10">
    <w:abstractNumId w:val="13"/>
  </w:num>
  <w:num w:numId="11">
    <w:abstractNumId w:val="9"/>
  </w:num>
  <w:num w:numId="12">
    <w:abstractNumId w:val="16"/>
  </w:num>
  <w:num w:numId="13">
    <w:abstractNumId w:val="10"/>
  </w:num>
  <w:num w:numId="14">
    <w:abstractNumId w:val="17"/>
  </w:num>
  <w:num w:numId="15">
    <w:abstractNumId w:val="21"/>
  </w:num>
  <w:num w:numId="16">
    <w:abstractNumId w:val="4"/>
  </w:num>
  <w:num w:numId="17">
    <w:abstractNumId w:val="11"/>
  </w:num>
  <w:num w:numId="18">
    <w:abstractNumId w:val="3"/>
  </w:num>
  <w:num w:numId="19">
    <w:abstractNumId w:val="12"/>
  </w:num>
  <w:num w:numId="20">
    <w:abstractNumId w:val="14"/>
  </w:num>
  <w:num w:numId="21">
    <w:abstractNumId w:val="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491"/>
    <w:rsid w:val="00395463"/>
    <w:rsid w:val="005B4C55"/>
    <w:rsid w:val="007B7D8C"/>
    <w:rsid w:val="00AD0E3F"/>
    <w:rsid w:val="00B15571"/>
    <w:rsid w:val="00B17491"/>
    <w:rsid w:val="00B46925"/>
    <w:rsid w:val="00BC008D"/>
    <w:rsid w:val="00C2613C"/>
    <w:rsid w:val="00CD017F"/>
    <w:rsid w:val="00E144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7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ListParagraph">
    <w:name w:val="List Paragraph"/>
    <w:aliases w:val="Lijst meerdere niveaus,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B17491"/>
    <w:pPr>
      <w:ind w:left="720"/>
      <w:contextualSpacing/>
    </w:pPr>
  </w:style>
  <w:style w:type="character" w:customStyle="1" w:styleId="ListParagraphChar">
    <w:name w:val="List Paragraph Char"/>
    <w:aliases w:val="Lijst meerdere niveaus Char,Dot pt Char,F5 List Paragraph Char,List Paragraph1 Char,No Spacing1 Char,List Paragraph Char Char Char Char,Indicator Text Char,Numbered Para 1 Char,Bullet 1 Char,Bullet Points Char,Párrafo de lista Char"/>
    <w:basedOn w:val="DefaultParagraphFont"/>
    <w:link w:val="ListParagraph"/>
    <w:uiPriority w:val="34"/>
    <w:qFormat/>
    <w:locked/>
    <w:rsid w:val="00B17491"/>
    <w:rPr>
      <w:rFonts w:ascii="Verdana" w:hAnsi="Verdana"/>
      <w:color w:val="000000"/>
      <w:sz w:val="18"/>
      <w:szCs w:val="18"/>
    </w:rPr>
  </w:style>
  <w:style w:type="paragraph" w:styleId="FootnoteText">
    <w:name w:val="footnote text"/>
    <w:basedOn w:val="Normal"/>
    <w:link w:val="FootnoteTextChar"/>
    <w:uiPriority w:val="99"/>
    <w:semiHidden/>
    <w:unhideWhenUsed/>
    <w:rsid w:val="00B17491"/>
    <w:pPr>
      <w:spacing w:line="240" w:lineRule="auto"/>
    </w:pPr>
    <w:rPr>
      <w:sz w:val="20"/>
      <w:szCs w:val="20"/>
    </w:rPr>
  </w:style>
  <w:style w:type="character" w:customStyle="1" w:styleId="FootnoteTextChar">
    <w:name w:val="Footnote Text Char"/>
    <w:basedOn w:val="DefaultParagraphFont"/>
    <w:link w:val="FootnoteText"/>
    <w:uiPriority w:val="99"/>
    <w:semiHidden/>
    <w:rsid w:val="00B17491"/>
    <w:rPr>
      <w:rFonts w:ascii="Verdana" w:hAnsi="Verdana"/>
      <w:color w:val="000000"/>
    </w:rPr>
  </w:style>
  <w:style w:type="character" w:styleId="FootnoteReference">
    <w:name w:val="footnote reference"/>
    <w:basedOn w:val="DefaultParagraphFont"/>
    <w:uiPriority w:val="99"/>
    <w:semiHidden/>
    <w:unhideWhenUsed/>
    <w:rsid w:val="00B17491"/>
    <w:rPr>
      <w:vertAlign w:val="superscript"/>
    </w:rPr>
  </w:style>
  <w:style w:type="paragraph" w:styleId="Header">
    <w:name w:val="header"/>
    <w:basedOn w:val="Normal"/>
    <w:link w:val="HeaderChar"/>
    <w:uiPriority w:val="99"/>
    <w:unhideWhenUsed/>
    <w:rsid w:val="00AD0E3F"/>
    <w:pPr>
      <w:tabs>
        <w:tab w:val="center" w:pos="4536"/>
        <w:tab w:val="right" w:pos="9072"/>
      </w:tabs>
      <w:spacing w:line="240" w:lineRule="auto"/>
    </w:pPr>
  </w:style>
  <w:style w:type="character" w:customStyle="1" w:styleId="HeaderChar">
    <w:name w:val="Header Char"/>
    <w:basedOn w:val="DefaultParagraphFont"/>
    <w:link w:val="Header"/>
    <w:uiPriority w:val="99"/>
    <w:rsid w:val="00AD0E3F"/>
    <w:rPr>
      <w:rFonts w:ascii="Verdana" w:hAnsi="Verdana"/>
      <w:color w:val="000000"/>
      <w:sz w:val="18"/>
      <w:szCs w:val="18"/>
    </w:rPr>
  </w:style>
  <w:style w:type="paragraph" w:styleId="Footer">
    <w:name w:val="footer"/>
    <w:basedOn w:val="Normal"/>
    <w:link w:val="FooterChar"/>
    <w:uiPriority w:val="99"/>
    <w:unhideWhenUsed/>
    <w:rsid w:val="00AD0E3F"/>
    <w:pPr>
      <w:tabs>
        <w:tab w:val="center" w:pos="4536"/>
        <w:tab w:val="right" w:pos="9072"/>
      </w:tabs>
      <w:spacing w:line="240" w:lineRule="auto"/>
    </w:pPr>
  </w:style>
  <w:style w:type="character" w:customStyle="1" w:styleId="FooterChar">
    <w:name w:val="Footer Char"/>
    <w:basedOn w:val="DefaultParagraphFont"/>
    <w:link w:val="Footer"/>
    <w:uiPriority w:val="99"/>
    <w:rsid w:val="00AD0E3F"/>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891</ap:Words>
  <ap:Characters>5082</ap:Characters>
  <ap:DocSecurity>0</ap:DocSecurity>
  <ap:Lines>42</ap:Lines>
  <ap:Paragraphs>11</ap:Paragraphs>
  <ap:ScaleCrop>false</ap:ScaleCrop>
  <ap:LinksUpToDate>false</ap:LinksUpToDate>
  <ap:CharactersWithSpaces>5962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2024-10-04T11:27:00.0000000Z</dcterms:created>
  <dcterms:modified xsi:type="dcterms:W3CDTF">2024-10-04T11:27:00.0000000Z</dcterms:modified>
  <dc:description>------------------------</dc:description>
  <dc:subject/>
  <dc:title/>
  <keywords/>
  <version/>
  <category/>
</coreProperties>
</file>