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2B18" w:rsidP="002A2B18" w:rsidRDefault="006841B5" w14:paraId="5039C6ED" w14:textId="204C2763">
      <w:pPr>
        <w:rPr>
          <w:szCs w:val="18"/>
        </w:rPr>
      </w:pPr>
      <w:r>
        <w:t>Geachte Voorzitter,</w:t>
      </w:r>
      <w:r w:rsidR="0034047D">
        <w:br/>
      </w:r>
    </w:p>
    <w:p w:rsidR="00D0029F" w:rsidP="00D0029F" w:rsidRDefault="00D0029F" w14:paraId="0D5A33EF" w14:textId="77777777">
      <w:pPr>
        <w:rPr>
          <w:szCs w:val="18"/>
        </w:rPr>
      </w:pPr>
      <w:r>
        <w:rPr>
          <w:szCs w:val="18"/>
        </w:rPr>
        <w:t xml:space="preserve">Hierbij zend ik u het rapport met betrekking tot de evaluatie van de Regeling Subsidiemodule Agrarische Bedrijfsadvisering en Educatie (SABE) over de periode 2020-2023. </w:t>
      </w:r>
    </w:p>
    <w:p w:rsidR="00D0029F" w:rsidP="00D0029F" w:rsidRDefault="00D0029F" w14:paraId="5886FF89" w14:textId="77777777">
      <w:pPr>
        <w:rPr>
          <w:szCs w:val="18"/>
        </w:rPr>
      </w:pPr>
    </w:p>
    <w:p w:rsidR="00D0029F" w:rsidP="00D0029F" w:rsidRDefault="00D0029F" w14:paraId="4E060EF3" w14:textId="7F923E40">
      <w:pPr>
        <w:rPr>
          <w:szCs w:val="18"/>
        </w:rPr>
      </w:pPr>
      <w:r>
        <w:rPr>
          <w:szCs w:val="18"/>
        </w:rPr>
        <w:t>De SABE stimuleert educatie en advisering van agrariërs met het oog op verduurzaming van de Nederlandse land- en tuinbouw. Het kunnen beschikken over actuele kennis en innovaties wordt door landbouwondernemers noodzakelijk geacht om verdere stappen richting verduurzaming te kunnen zetten. De SABE voorziet in deze behoefte door het aanbieden van onafhankelijk individueel bedrijfsadvies, educatie in de vorm van cursussen en opleidingen voor agrarische ondernemers en adviseurs en subsidies voor groepsgewijze kennisdeling in de vorm van praktijkleernetwerken en demonstratiebedrijven. Sinds de start van de SABE (2020) hebben duizenden agrariërs al gebruik gemaakt van deze subsidiemogelijkheid.</w:t>
      </w:r>
    </w:p>
    <w:p w:rsidR="00D0029F" w:rsidP="00D0029F" w:rsidRDefault="00D0029F" w14:paraId="5978547F" w14:textId="77777777">
      <w:pPr>
        <w:rPr>
          <w:szCs w:val="18"/>
        </w:rPr>
      </w:pPr>
    </w:p>
    <w:p w:rsidR="00D0029F" w:rsidP="00D0029F" w:rsidRDefault="00D0029F" w14:paraId="784E6C44" w14:textId="77777777">
      <w:pPr>
        <w:rPr>
          <w:szCs w:val="18"/>
        </w:rPr>
      </w:pPr>
      <w:r>
        <w:rPr>
          <w:szCs w:val="18"/>
        </w:rPr>
        <w:t>De evaluatie betreft de periode 2020 tot en met eind 2023 en richt zich op de doeltreffendheid en doelmatigheid van de regeling en de bijdrage hiervan aan het versterken van het Nederlands AKIS</w:t>
      </w:r>
      <w:r>
        <w:rPr>
          <w:rStyle w:val="Voetnootmarkering"/>
          <w:szCs w:val="18"/>
        </w:rPr>
        <w:footnoteReference w:id="1"/>
      </w:r>
      <w:r>
        <w:rPr>
          <w:szCs w:val="18"/>
        </w:rPr>
        <w:t xml:space="preserve"> systeem. In deze periode was de SABE een nationale regeling. </w:t>
      </w:r>
    </w:p>
    <w:p w:rsidR="00D0029F" w:rsidP="00D0029F" w:rsidRDefault="00D0029F" w14:paraId="739C6EA0" w14:textId="77777777">
      <w:pPr>
        <w:rPr>
          <w:szCs w:val="18"/>
        </w:rPr>
      </w:pPr>
    </w:p>
    <w:p w:rsidR="00D0029F" w:rsidP="00D0029F" w:rsidRDefault="00D0029F" w14:paraId="534CEF21" w14:textId="77777777">
      <w:pPr>
        <w:rPr>
          <w:b/>
          <w:bCs/>
          <w:szCs w:val="18"/>
        </w:rPr>
      </w:pPr>
      <w:r>
        <w:rPr>
          <w:b/>
          <w:bCs/>
          <w:szCs w:val="18"/>
        </w:rPr>
        <w:t>Voornaamste conclusies en aanbevelingen</w:t>
      </w:r>
    </w:p>
    <w:p w:rsidR="00D0029F" w:rsidP="00D0029F" w:rsidRDefault="00D0029F" w14:paraId="497E9A55" w14:textId="77777777">
      <w:pPr>
        <w:rPr>
          <w:szCs w:val="18"/>
        </w:rPr>
      </w:pPr>
    </w:p>
    <w:p w:rsidR="00D0029F" w:rsidP="00D0029F" w:rsidRDefault="00D0029F" w14:paraId="18F38473" w14:textId="77777777">
      <w:pPr>
        <w:rPr>
          <w:szCs w:val="18"/>
          <w:u w:val="single"/>
        </w:rPr>
      </w:pPr>
      <w:r w:rsidRPr="007546DB">
        <w:rPr>
          <w:szCs w:val="18"/>
          <w:u w:val="single"/>
        </w:rPr>
        <w:t>Doeltreffendheid</w:t>
      </w:r>
      <w:r>
        <w:rPr>
          <w:szCs w:val="18"/>
          <w:u w:val="single"/>
        </w:rPr>
        <w:t xml:space="preserve"> algemeen</w:t>
      </w:r>
    </w:p>
    <w:p w:rsidR="00D0029F" w:rsidP="00D0029F" w:rsidRDefault="00D0029F" w14:paraId="2968CBA3" w14:textId="610061C3">
      <w:pPr>
        <w:rPr>
          <w:szCs w:val="18"/>
        </w:rPr>
      </w:pPr>
      <w:r>
        <w:rPr>
          <w:szCs w:val="18"/>
        </w:rPr>
        <w:t xml:space="preserve">Het onderzoeksbureau concludeert dat de SABE-regeling in de breedte doeltreffend is als het gaat om het bijdragen aan beschikbaarheid van kennis en versnelling van kennisoverdracht naar het boerenerf, het verhogen van het kennisniveau en het bieden van handelingsperspectieven aan landbouwers om te </w:t>
      </w:r>
      <w:r>
        <w:rPr>
          <w:szCs w:val="18"/>
        </w:rPr>
        <w:lastRenderedPageBreak/>
        <w:t xml:space="preserve">komen tot duurzame bedrijfsaanpassingen. Als gevolg hiervan vinden in de praktijk ook daadwerkelijk aanpassingen in de bedrijfsvoering plaats. </w:t>
      </w:r>
    </w:p>
    <w:p w:rsidR="009A103F" w:rsidP="00D0029F" w:rsidRDefault="009A103F" w14:paraId="0F9E3C8C" w14:textId="77777777">
      <w:pPr>
        <w:rPr>
          <w:szCs w:val="18"/>
        </w:rPr>
      </w:pPr>
    </w:p>
    <w:p w:rsidR="00D0029F" w:rsidP="00D0029F" w:rsidRDefault="00D0029F" w14:paraId="345900E3" w14:textId="7257066B">
      <w:pPr>
        <w:rPr>
          <w:szCs w:val="18"/>
        </w:rPr>
      </w:pPr>
      <w:r>
        <w:rPr>
          <w:szCs w:val="18"/>
        </w:rPr>
        <w:t>Verder wordt geconstateerd dat de verschillende onderdelen van de SABE (individueel advies, educatie en groepsgewijze kennisdeling) elkaar goed aanvullen en leiden tot de beoogde effecten, te weten versnellen van kennisoverdracht naar het boerenerf en vergroten van handelingsperspectieven.</w:t>
      </w:r>
    </w:p>
    <w:p w:rsidR="00D0029F" w:rsidP="00D0029F" w:rsidRDefault="00D0029F" w14:paraId="5583C1AE" w14:textId="77777777">
      <w:pPr>
        <w:rPr>
          <w:szCs w:val="18"/>
        </w:rPr>
      </w:pPr>
    </w:p>
    <w:p w:rsidRPr="007546DB" w:rsidR="00D0029F" w:rsidP="00D0029F" w:rsidRDefault="00D0029F" w14:paraId="3AAA1969" w14:textId="77777777">
      <w:pPr>
        <w:rPr>
          <w:szCs w:val="18"/>
          <w:u w:val="single"/>
        </w:rPr>
      </w:pPr>
      <w:r w:rsidRPr="007546DB">
        <w:rPr>
          <w:szCs w:val="18"/>
          <w:u w:val="single"/>
        </w:rPr>
        <w:t>Doeltreffendheid educatie vouchers</w:t>
      </w:r>
    </w:p>
    <w:p w:rsidR="00D0029F" w:rsidP="00D0029F" w:rsidRDefault="00D0029F" w14:paraId="2A9DABE2" w14:textId="594EB83A">
      <w:pPr>
        <w:rPr>
          <w:szCs w:val="18"/>
        </w:rPr>
      </w:pPr>
      <w:r>
        <w:rPr>
          <w:szCs w:val="18"/>
        </w:rPr>
        <w:t>Met betrekking tot het SABE-onderdeel educatie, bestaande uit cursusvouchers voor agrariërs en opleidingsvouchers voor adviseurs, wordt de doeltreffendheid beperkt geacht. Weliswaar leiden deze, daar waar er gebruik van is gemaakt, tot meer kennis en handelingsperspectieven, maar met name de cursusvouchers voor agrariërs worden beperkt verzilverd. Het onderzoeksbureau beveelt aan om te kijken naar andere onderwijs- en leervormen voor agrariërs die meer zullen aanslaan. Voor wat betreft de opleidingsvouchers voor bedrijfsadviseurs is de aanbeveling om het opleidingsaanbod uit te breiden met meer thema’s en te bevorderen dat deze opleidingen erkend worden voor permanente educatie ten behoeve van het BAS-register (Bedrijfsadviseringssysteem voor onafhankelijke adviseurs). Daarmee wordt het volgen van deze opleidingen, volgens het onderzoeksbureau, aantrekkelijker gemaakt.</w:t>
      </w:r>
      <w:r>
        <w:rPr>
          <w:szCs w:val="18"/>
        </w:rPr>
        <w:br/>
        <w:t xml:space="preserve">Ik zal deze aanbevelingen bespreken met </w:t>
      </w:r>
      <w:r w:rsidR="00EC2473">
        <w:rPr>
          <w:szCs w:val="18"/>
        </w:rPr>
        <w:t>de</w:t>
      </w:r>
      <w:r>
        <w:rPr>
          <w:szCs w:val="18"/>
        </w:rPr>
        <w:t xml:space="preserve"> </w:t>
      </w:r>
      <w:r w:rsidR="00EC2473">
        <w:rPr>
          <w:szCs w:val="18"/>
        </w:rPr>
        <w:t>g</w:t>
      </w:r>
      <w:r>
        <w:rPr>
          <w:szCs w:val="18"/>
        </w:rPr>
        <w:t>roen</w:t>
      </w:r>
      <w:r w:rsidR="00EC2473">
        <w:rPr>
          <w:szCs w:val="18"/>
        </w:rPr>
        <w:t>e</w:t>
      </w:r>
      <w:r>
        <w:rPr>
          <w:szCs w:val="18"/>
        </w:rPr>
        <w:t xml:space="preserve"> </w:t>
      </w:r>
      <w:proofErr w:type="spellStart"/>
      <w:r w:rsidR="00EC2473">
        <w:rPr>
          <w:szCs w:val="18"/>
        </w:rPr>
        <w:t>h</w:t>
      </w:r>
      <w:r>
        <w:rPr>
          <w:szCs w:val="18"/>
        </w:rPr>
        <w:t>oger</w:t>
      </w:r>
      <w:r w:rsidR="00EC2473">
        <w:rPr>
          <w:szCs w:val="18"/>
        </w:rPr>
        <w:t>o</w:t>
      </w:r>
      <w:r>
        <w:rPr>
          <w:szCs w:val="18"/>
        </w:rPr>
        <w:t>nderwijs</w:t>
      </w:r>
      <w:r w:rsidR="00EC2473">
        <w:rPr>
          <w:szCs w:val="18"/>
        </w:rPr>
        <w:t>instellingen</w:t>
      </w:r>
      <w:proofErr w:type="spellEnd"/>
      <w:r>
        <w:rPr>
          <w:szCs w:val="18"/>
        </w:rPr>
        <w:t xml:space="preserve"> en de Vereniging van Agrarisch Bedrijfsadviseurs (VAB) die het BAS-register beheert.</w:t>
      </w:r>
    </w:p>
    <w:p w:rsidR="00D0029F" w:rsidP="00D0029F" w:rsidRDefault="00D0029F" w14:paraId="7DD7D5AA" w14:textId="77777777">
      <w:pPr>
        <w:rPr>
          <w:szCs w:val="18"/>
        </w:rPr>
      </w:pPr>
    </w:p>
    <w:p w:rsidRPr="007546DB" w:rsidR="00D0029F" w:rsidP="00D0029F" w:rsidRDefault="00D0029F" w14:paraId="5C2CCF6B" w14:textId="77777777">
      <w:pPr>
        <w:rPr>
          <w:szCs w:val="18"/>
          <w:u w:val="single"/>
        </w:rPr>
      </w:pPr>
      <w:r w:rsidRPr="007546DB">
        <w:rPr>
          <w:szCs w:val="18"/>
          <w:u w:val="single"/>
        </w:rPr>
        <w:t>Doeltreffendheid projectsubsidies (groepsgerichte kennisdeling)</w:t>
      </w:r>
    </w:p>
    <w:p w:rsidR="00D0029F" w:rsidP="00D0029F" w:rsidRDefault="00D0029F" w14:paraId="3E1E3508" w14:textId="3BFE605D">
      <w:pPr>
        <w:rPr>
          <w:szCs w:val="18"/>
        </w:rPr>
      </w:pPr>
      <w:r>
        <w:rPr>
          <w:szCs w:val="18"/>
        </w:rPr>
        <w:t xml:space="preserve">De doeltreffendheid van de projectsubsidies voor het SABE-onderdeel groepsgewijze kennisdeling (praktijkleernetwerken en demonstratiebedrijven) wordt positief beoordeeld. Er wordt meer aangevraagd dan kan worden gegund en </w:t>
      </w:r>
      <w:r w:rsidR="00EC2473">
        <w:rPr>
          <w:szCs w:val="18"/>
        </w:rPr>
        <w:t>dit onderdeel</w:t>
      </w:r>
      <w:r>
        <w:rPr>
          <w:szCs w:val="18"/>
        </w:rPr>
        <w:t xml:space="preserve"> sluit duidelijk aan bij de behoefte van agrariërs om te leren van andere agrariërs en elkaar te inspireren. De verworven kennis en inzichten leiden ook daadwerkelijk tot duurzame bedrijfsaanpassingen. De aanbeveling om groepsgewijze kennisdeling onverminderd door te zetten, neem ik dan ook graag over.</w:t>
      </w:r>
    </w:p>
    <w:p w:rsidR="00D0029F" w:rsidP="00D0029F" w:rsidRDefault="00D0029F" w14:paraId="27E542BC" w14:textId="77777777">
      <w:pPr>
        <w:rPr>
          <w:szCs w:val="18"/>
        </w:rPr>
      </w:pPr>
    </w:p>
    <w:p w:rsidR="00D0029F" w:rsidP="00D0029F" w:rsidRDefault="00D0029F" w14:paraId="213DDD12" w14:textId="73132A88">
      <w:pPr>
        <w:rPr>
          <w:szCs w:val="18"/>
        </w:rPr>
      </w:pPr>
      <w:r>
        <w:rPr>
          <w:szCs w:val="18"/>
        </w:rPr>
        <w:t>Groen Kennisnet is een belangrijke faciliteit voor kennisoverdracht die wordt gebruikt als informatiebron door zowel adviseurs als ook agrariërs. Wel lijkt er verbetering mogelijk als het gaat om doorstroom van informatie van SABE</w:t>
      </w:r>
      <w:r w:rsidR="00EC2473">
        <w:rPr>
          <w:szCs w:val="18"/>
        </w:rPr>
        <w:t>-</w:t>
      </w:r>
      <w:r>
        <w:rPr>
          <w:szCs w:val="18"/>
        </w:rPr>
        <w:t xml:space="preserve">projecten naar het platform. Ik zal met Groen Kennisnet en RVO, verantwoordelijk voor de uitvoering van de SABE, bespreken wat nodig is om de doorstroom van informatie beter en sneller te </w:t>
      </w:r>
      <w:r w:rsidR="00714F12">
        <w:rPr>
          <w:szCs w:val="18"/>
        </w:rPr>
        <w:t>maken</w:t>
      </w:r>
      <w:r>
        <w:rPr>
          <w:szCs w:val="18"/>
        </w:rPr>
        <w:t>.</w:t>
      </w:r>
    </w:p>
    <w:p w:rsidR="00D0029F" w:rsidP="00D0029F" w:rsidRDefault="00D0029F" w14:paraId="5D56CCE9" w14:textId="77777777">
      <w:pPr>
        <w:rPr>
          <w:szCs w:val="18"/>
        </w:rPr>
      </w:pPr>
    </w:p>
    <w:p w:rsidRPr="007546DB" w:rsidR="00D0029F" w:rsidP="00D0029F" w:rsidRDefault="00D0029F" w14:paraId="65FFEA86" w14:textId="77777777">
      <w:pPr>
        <w:rPr>
          <w:szCs w:val="18"/>
          <w:u w:val="single"/>
        </w:rPr>
      </w:pPr>
      <w:r w:rsidRPr="007546DB">
        <w:rPr>
          <w:szCs w:val="18"/>
          <w:u w:val="single"/>
        </w:rPr>
        <w:t>Versterking AKIS</w:t>
      </w:r>
    </w:p>
    <w:p w:rsidR="00D0029F" w:rsidP="00D0029F" w:rsidRDefault="00D0029F" w14:paraId="25D4F564" w14:textId="41538B42">
      <w:pPr>
        <w:rPr>
          <w:szCs w:val="18"/>
        </w:rPr>
      </w:pPr>
      <w:r>
        <w:rPr>
          <w:szCs w:val="18"/>
        </w:rPr>
        <w:t xml:space="preserve">Het Agrarisch Kennis en Innovatie Systeem (AKIS) is met de komst van de SABE-regeling en het </w:t>
      </w:r>
      <w:bookmarkStart w:name="_Hlk174627004" w:id="0"/>
      <w:r>
        <w:rPr>
          <w:szCs w:val="18"/>
        </w:rPr>
        <w:t xml:space="preserve">BAS-register voor onafhankelijke adviseurs </w:t>
      </w:r>
      <w:bookmarkEnd w:id="0"/>
      <w:r>
        <w:rPr>
          <w:szCs w:val="18"/>
        </w:rPr>
        <w:t xml:space="preserve">versterkt. Er is een duidelijke toename van het aantal geregistreerde adviseurs vastgesteld in de onderzochte periode, waardoor de beschikbaarheid en toegankelijkheid van onafhankelijk advies over diverse aspecten van duurzame landbouw voor agrariërs aanzienlijk is vergroot. Ook is de beschikbaarheid en toegankelijkheid van bestaande praktische kennis en innovaties (vertaald naar de eigen bedrijfssituatie) </w:t>
      </w:r>
      <w:r>
        <w:rPr>
          <w:szCs w:val="18"/>
        </w:rPr>
        <w:lastRenderedPageBreak/>
        <w:t xml:space="preserve">dankzij de SABE sterk toegenomen voor de agrarische ondernemers in de onderzochte periode. </w:t>
      </w:r>
    </w:p>
    <w:p w:rsidR="00D0029F" w:rsidP="00D0029F" w:rsidRDefault="00D0029F" w14:paraId="75D6C794" w14:textId="77777777">
      <w:pPr>
        <w:rPr>
          <w:szCs w:val="18"/>
        </w:rPr>
      </w:pPr>
    </w:p>
    <w:p w:rsidRPr="007546DB" w:rsidR="00D0029F" w:rsidP="00D0029F" w:rsidRDefault="00D0029F" w14:paraId="4BB37931" w14:textId="77777777">
      <w:pPr>
        <w:rPr>
          <w:szCs w:val="18"/>
          <w:u w:val="single"/>
        </w:rPr>
      </w:pPr>
      <w:r w:rsidRPr="007546DB">
        <w:rPr>
          <w:szCs w:val="18"/>
          <w:u w:val="single"/>
        </w:rPr>
        <w:t>Doelmatigheid</w:t>
      </w:r>
    </w:p>
    <w:p w:rsidR="00D0029F" w:rsidP="00D0029F" w:rsidRDefault="00D0029F" w14:paraId="3F3D3387" w14:textId="0FB3BFFD">
      <w:pPr>
        <w:rPr>
          <w:szCs w:val="18"/>
        </w:rPr>
      </w:pPr>
      <w:r>
        <w:rPr>
          <w:szCs w:val="18"/>
        </w:rPr>
        <w:t>De uitvoering van de SABE</w:t>
      </w:r>
      <w:r w:rsidR="00714F12">
        <w:rPr>
          <w:szCs w:val="18"/>
        </w:rPr>
        <w:t>-</w:t>
      </w:r>
      <w:r>
        <w:rPr>
          <w:szCs w:val="18"/>
        </w:rPr>
        <w:t>regeling is redelijk tot goed verlopen. De verschillende onderdelen van de SABE</w:t>
      </w:r>
      <w:r w:rsidR="00714F12">
        <w:rPr>
          <w:szCs w:val="18"/>
        </w:rPr>
        <w:t>-</w:t>
      </w:r>
      <w:r>
        <w:rPr>
          <w:szCs w:val="18"/>
        </w:rPr>
        <w:t>regeling kennen verschillende uitvoeringsregimes. Een groot deel van het onderdeel vouchers is geautomatiseerd, terwijl de projectsubsidies naast automatisering ook inzet vra</w:t>
      </w:r>
      <w:r w:rsidR="00714F12">
        <w:rPr>
          <w:szCs w:val="18"/>
        </w:rPr>
        <w:t>gen</w:t>
      </w:r>
      <w:r>
        <w:rPr>
          <w:szCs w:val="18"/>
        </w:rPr>
        <w:t xml:space="preserve"> van experts om te komen tot beoordelingen. Er zijn ook initi</w:t>
      </w:r>
      <w:r w:rsidR="00714F12">
        <w:rPr>
          <w:szCs w:val="18"/>
        </w:rPr>
        <w:t>ë</w:t>
      </w:r>
      <w:r>
        <w:rPr>
          <w:szCs w:val="18"/>
        </w:rPr>
        <w:t>le investeringen gedaan in de ICT om de SABE</w:t>
      </w:r>
      <w:r w:rsidR="00714F12">
        <w:rPr>
          <w:szCs w:val="18"/>
        </w:rPr>
        <w:t>-</w:t>
      </w:r>
      <w:r>
        <w:rPr>
          <w:szCs w:val="18"/>
        </w:rPr>
        <w:t xml:space="preserve">onderdelen zo goed mogelijk te implementeren. Verder is bij de vouchers sprake geweest van een onderbesteding als gevolg van niet verzilverde vouchers, </w:t>
      </w:r>
      <w:r w:rsidR="00714F12">
        <w:rPr>
          <w:szCs w:val="18"/>
        </w:rPr>
        <w:t xml:space="preserve">vouchers </w:t>
      </w:r>
      <w:r>
        <w:rPr>
          <w:szCs w:val="18"/>
        </w:rPr>
        <w:t>die zijn verlopen en een minder succesvol beroep op de specifieke eenmalige piekbelasters variant van de SABE</w:t>
      </w:r>
      <w:r w:rsidR="00714F12">
        <w:rPr>
          <w:szCs w:val="18"/>
        </w:rPr>
        <w:t>-</w:t>
      </w:r>
      <w:r>
        <w:rPr>
          <w:szCs w:val="18"/>
        </w:rPr>
        <w:t xml:space="preserve">regeling. </w:t>
      </w:r>
      <w:bookmarkStart w:name="_Hlk176795427" w:id="1"/>
      <w:r>
        <w:rPr>
          <w:szCs w:val="18"/>
        </w:rPr>
        <w:t xml:space="preserve">Bij deze specifieke openstelling is budget beschikbaar gesteld voor de totale ingeschatte omvang van de doelgroep veehouderijen met piekbelasting met een garantie op een voucher voor </w:t>
      </w:r>
      <w:proofErr w:type="spellStart"/>
      <w:r>
        <w:rPr>
          <w:szCs w:val="18"/>
        </w:rPr>
        <w:t>sociaal-economisch</w:t>
      </w:r>
      <w:proofErr w:type="spellEnd"/>
      <w:r>
        <w:rPr>
          <w:szCs w:val="18"/>
        </w:rPr>
        <w:t xml:space="preserve"> advies. Hier is beperkt gebruik van gemaakt. </w:t>
      </w:r>
    </w:p>
    <w:bookmarkEnd w:id="1"/>
    <w:p w:rsidR="00D0029F" w:rsidP="00D0029F" w:rsidRDefault="00D0029F" w14:paraId="29EE9D02" w14:textId="77777777">
      <w:pPr>
        <w:rPr>
          <w:szCs w:val="18"/>
        </w:rPr>
      </w:pPr>
    </w:p>
    <w:p w:rsidR="00D0029F" w:rsidP="00D0029F" w:rsidRDefault="00D0029F" w14:paraId="420A1CD5" w14:textId="7DD905B4">
      <w:pPr>
        <w:rPr>
          <w:szCs w:val="18"/>
        </w:rPr>
      </w:pPr>
      <w:r>
        <w:rPr>
          <w:szCs w:val="18"/>
        </w:rPr>
        <w:t>Met betrekking tot de doelmatigheid stelt het onderzoeksbureau dat deze aanvaardbaar is qua uitvoeringskosten, maar wel hoger is dan voorzien. Dit is mede veroorzaakt als gevolg van bovenstaande ontwikkelingen. Doelmatigheid van de uitvoering blijft een belangrijk aandachtspunt. Ook in de nieuwe context van de SABE</w:t>
      </w:r>
      <w:r w:rsidR="00714F12">
        <w:rPr>
          <w:szCs w:val="18"/>
        </w:rPr>
        <w:t>-</w:t>
      </w:r>
      <w:r>
        <w:rPr>
          <w:szCs w:val="18"/>
        </w:rPr>
        <w:t>regeling (het huidig GLB/NSP) met veelal extra controle- en verantwoordingseisen blijft dit aandachtspunt op de agenda staan. Ik zal hierover ook in overleg treden met RVO om te bezien waar verbeteringen mogelijk zijn.</w:t>
      </w:r>
    </w:p>
    <w:p w:rsidR="00D0029F" w:rsidP="00D0029F" w:rsidRDefault="00D0029F" w14:paraId="1900FFAF" w14:textId="77777777">
      <w:pPr>
        <w:rPr>
          <w:szCs w:val="18"/>
        </w:rPr>
      </w:pPr>
    </w:p>
    <w:p w:rsidR="00D0029F" w:rsidP="00D0029F" w:rsidRDefault="00D0029F" w14:paraId="565D8A0E" w14:textId="77777777">
      <w:pPr>
        <w:rPr>
          <w:b/>
          <w:bCs/>
          <w:szCs w:val="18"/>
        </w:rPr>
      </w:pPr>
      <w:r>
        <w:rPr>
          <w:b/>
          <w:bCs/>
          <w:szCs w:val="18"/>
        </w:rPr>
        <w:t>Vervolg</w:t>
      </w:r>
    </w:p>
    <w:p w:rsidR="00D0029F" w:rsidP="00D0029F" w:rsidRDefault="00D0029F" w14:paraId="5D861EBD" w14:textId="77777777">
      <w:pPr>
        <w:rPr>
          <w:szCs w:val="18"/>
        </w:rPr>
      </w:pPr>
    </w:p>
    <w:p w:rsidR="00D0029F" w:rsidP="00D0029F" w:rsidRDefault="00D0029F" w14:paraId="7D5628D3" w14:textId="77777777">
      <w:pPr>
        <w:rPr>
          <w:szCs w:val="18"/>
        </w:rPr>
      </w:pPr>
      <w:r>
        <w:rPr>
          <w:szCs w:val="18"/>
        </w:rPr>
        <w:t>Ik beschouw het stimuleren van kennisoverdracht naar het boerenerf als een belangrijke aanjager om op bedrijfsniveau de eerste stappen te kunnen zetten naar verdere verduurzaming van de landbouw. De SABE-regeling voorziet duidelijk in een behoefte om dit mogelijk te maken.</w:t>
      </w:r>
    </w:p>
    <w:p w:rsidR="00D0029F" w:rsidP="00D0029F" w:rsidRDefault="00D0029F" w14:paraId="6D6923A1" w14:textId="77777777">
      <w:pPr>
        <w:rPr>
          <w:szCs w:val="18"/>
        </w:rPr>
      </w:pPr>
    </w:p>
    <w:p w:rsidR="00D0029F" w:rsidP="00D0029F" w:rsidRDefault="00D0029F" w14:paraId="7588D6CA" w14:textId="77777777">
      <w:pPr>
        <w:rPr>
          <w:szCs w:val="18"/>
        </w:rPr>
      </w:pPr>
      <w:r>
        <w:rPr>
          <w:szCs w:val="18"/>
        </w:rPr>
        <w:t xml:space="preserve">Sinds januari 2023 is de SABE onderdeel geworden van het Nationaal Strategisch Plan (NSP) binnen het nieuwe Gemeenschappelijk Landbouwbeleid 2023-2027 en daarmee een Europese regeling. Voor deze periode zijn ook Europese middelen beschikbaar gesteld, naast de nationale </w:t>
      </w:r>
      <w:proofErr w:type="spellStart"/>
      <w:r>
        <w:rPr>
          <w:szCs w:val="18"/>
        </w:rPr>
        <w:t>co-financiering</w:t>
      </w:r>
      <w:proofErr w:type="spellEnd"/>
      <w:r>
        <w:rPr>
          <w:szCs w:val="18"/>
        </w:rPr>
        <w:t>.</w:t>
      </w:r>
    </w:p>
    <w:p w:rsidR="00D0029F" w:rsidP="00D0029F" w:rsidRDefault="00D0029F" w14:paraId="1DA4F49A" w14:textId="77777777">
      <w:pPr>
        <w:rPr>
          <w:szCs w:val="18"/>
        </w:rPr>
      </w:pPr>
    </w:p>
    <w:p w:rsidR="00D0029F" w:rsidP="00D0029F" w:rsidRDefault="00D0029F" w14:paraId="5C487D1A" w14:textId="77777777">
      <w:pPr>
        <w:rPr>
          <w:szCs w:val="18"/>
        </w:rPr>
      </w:pPr>
      <w:r>
        <w:rPr>
          <w:szCs w:val="18"/>
        </w:rPr>
        <w:t xml:space="preserve">Ik zal met de </w:t>
      </w:r>
      <w:proofErr w:type="spellStart"/>
      <w:r>
        <w:rPr>
          <w:szCs w:val="18"/>
        </w:rPr>
        <w:t>lessons-learned</w:t>
      </w:r>
      <w:proofErr w:type="spellEnd"/>
      <w:r>
        <w:rPr>
          <w:szCs w:val="18"/>
        </w:rPr>
        <w:t xml:space="preserve"> uit de evaluatie aan de slag gaan en waar mogelijk ook verbeteringen doorvoeren in de regeling en of uitvoeringspraktijk om ervoor te zorgen dat de SABE ook binnen het NSP goed tot zijn recht komt en blijft aansluiten op de behoeften van onze agrarische ondernemers.</w:t>
      </w:r>
    </w:p>
    <w:p w:rsidR="00D0029F" w:rsidP="00D0029F" w:rsidRDefault="00D0029F" w14:paraId="63F44162" w14:textId="77777777"/>
    <w:p w:rsidR="00F30820" w:rsidP="002A2B18" w:rsidRDefault="00D7237C" w14:paraId="2A8DFEC9" w14:textId="5B560710">
      <w:r>
        <w:t>Hoogachtend,</w:t>
      </w:r>
    </w:p>
    <w:p w:rsidR="00D7237C" w:rsidP="002A2B18" w:rsidRDefault="00D7237C" w14:paraId="20F771A0" w14:textId="77777777"/>
    <w:p w:rsidR="00D7237C" w:rsidP="002A2B18" w:rsidRDefault="00D7237C" w14:paraId="03E99F98" w14:textId="77777777"/>
    <w:p w:rsidR="00D7237C" w:rsidP="00D7237C" w:rsidRDefault="00D7237C" w14:paraId="7152CA8B" w14:textId="77777777"/>
    <w:p w:rsidRPr="00153A39" w:rsidR="00D7237C" w:rsidP="00D7237C" w:rsidRDefault="00D7237C" w14:paraId="7D8696CB" w14:textId="77777777"/>
    <w:p w:rsidRPr="00153A39" w:rsidR="00D7237C" w:rsidP="00D7237C" w:rsidRDefault="00D7237C" w14:paraId="10312CBC" w14:textId="77777777">
      <w:pPr>
        <w:rPr>
          <w:szCs w:val="18"/>
        </w:rPr>
      </w:pPr>
      <w:r w:rsidRPr="00153A39">
        <w:t>Femke Marije Wiersma</w:t>
      </w:r>
    </w:p>
    <w:p w:rsidRPr="00CB109C" w:rsidR="00D7237C" w:rsidP="00D7237C" w:rsidRDefault="00D7237C" w14:paraId="498DF40D" w14:textId="77777777">
      <w:r w:rsidRPr="00153A39">
        <w:t xml:space="preserve">Minister van </w:t>
      </w:r>
      <w:r w:rsidRPr="00153A39">
        <w:rPr>
          <w:rFonts w:cs="Calibri"/>
          <w:szCs w:val="18"/>
        </w:rPr>
        <w:t>Landbouw, Visserij, Voedselzekerheid en Natuur</w:t>
      </w:r>
    </w:p>
    <w:p w:rsidR="00F30820" w:rsidP="002A2B18" w:rsidRDefault="00F30820" w14:paraId="153FD5EF" w14:textId="77777777"/>
    <w:sectPr w:rsidR="00F30820"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1AA36" w14:textId="77777777" w:rsidR="00672A39" w:rsidRDefault="00672A39">
      <w:r>
        <w:separator/>
      </w:r>
    </w:p>
    <w:p w14:paraId="1BAB9A22" w14:textId="77777777" w:rsidR="00672A39" w:rsidRDefault="00672A39"/>
  </w:endnote>
  <w:endnote w:type="continuationSeparator" w:id="0">
    <w:p w14:paraId="677505B1" w14:textId="77777777" w:rsidR="00672A39" w:rsidRDefault="00672A39">
      <w:r>
        <w:continuationSeparator/>
      </w:r>
    </w:p>
    <w:p w14:paraId="0F68405B" w14:textId="77777777" w:rsidR="00672A39" w:rsidRDefault="00672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5FC5" w14:textId="77777777" w:rsidR="00E01945" w:rsidRDefault="00E019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E9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B39CE" w14:paraId="139E4D78" w14:textId="77777777" w:rsidTr="00CA6A25">
      <w:trPr>
        <w:trHeight w:hRule="exact" w:val="240"/>
      </w:trPr>
      <w:tc>
        <w:tcPr>
          <w:tcW w:w="7601" w:type="dxa"/>
          <w:shd w:val="clear" w:color="auto" w:fill="auto"/>
        </w:tcPr>
        <w:p w14:paraId="34E7C18A" w14:textId="77777777" w:rsidR="00527BD4" w:rsidRDefault="00527BD4" w:rsidP="003F1F6B">
          <w:pPr>
            <w:pStyle w:val="Huisstijl-Rubricering"/>
          </w:pPr>
        </w:p>
      </w:tc>
      <w:tc>
        <w:tcPr>
          <w:tcW w:w="2156" w:type="dxa"/>
        </w:tcPr>
        <w:p w14:paraId="39F8A9FE" w14:textId="4163B9BE" w:rsidR="00527BD4" w:rsidRPr="00645414" w:rsidRDefault="0034047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01945">
              <w:t>3</w:t>
            </w:r>
          </w:fldSimple>
        </w:p>
      </w:tc>
    </w:tr>
  </w:tbl>
  <w:p w14:paraId="3B0EA00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B39CE" w14:paraId="29F3566E" w14:textId="77777777" w:rsidTr="00CA6A25">
      <w:trPr>
        <w:trHeight w:hRule="exact" w:val="240"/>
      </w:trPr>
      <w:tc>
        <w:tcPr>
          <w:tcW w:w="7601" w:type="dxa"/>
          <w:shd w:val="clear" w:color="auto" w:fill="auto"/>
        </w:tcPr>
        <w:p w14:paraId="5F815C78" w14:textId="77777777" w:rsidR="00527BD4" w:rsidRDefault="00527BD4" w:rsidP="008C356D">
          <w:pPr>
            <w:pStyle w:val="Huisstijl-Rubricering"/>
          </w:pPr>
        </w:p>
      </w:tc>
      <w:tc>
        <w:tcPr>
          <w:tcW w:w="2170" w:type="dxa"/>
        </w:tcPr>
        <w:p w14:paraId="00C53E4A" w14:textId="08AFCAFA" w:rsidR="00527BD4" w:rsidRPr="00ED539E" w:rsidRDefault="0034047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E01945">
              <w:t>3</w:t>
            </w:r>
          </w:fldSimple>
        </w:p>
      </w:tc>
    </w:tr>
  </w:tbl>
  <w:p w14:paraId="7747809E" w14:textId="77777777" w:rsidR="00527BD4" w:rsidRPr="00BC3B53" w:rsidRDefault="00527BD4" w:rsidP="008C356D">
    <w:pPr>
      <w:pStyle w:val="Voettekst"/>
      <w:spacing w:line="240" w:lineRule="auto"/>
      <w:rPr>
        <w:sz w:val="2"/>
        <w:szCs w:val="2"/>
      </w:rPr>
    </w:pPr>
  </w:p>
  <w:p w14:paraId="0D1E1DC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CB507" w14:textId="77777777" w:rsidR="00672A39" w:rsidRDefault="00672A39">
      <w:r>
        <w:separator/>
      </w:r>
    </w:p>
    <w:p w14:paraId="0309BADE" w14:textId="77777777" w:rsidR="00672A39" w:rsidRDefault="00672A39"/>
  </w:footnote>
  <w:footnote w:type="continuationSeparator" w:id="0">
    <w:p w14:paraId="24A0BE44" w14:textId="77777777" w:rsidR="00672A39" w:rsidRDefault="00672A39">
      <w:r>
        <w:continuationSeparator/>
      </w:r>
    </w:p>
    <w:p w14:paraId="45B00621" w14:textId="77777777" w:rsidR="00672A39" w:rsidRDefault="00672A39"/>
  </w:footnote>
  <w:footnote w:id="1">
    <w:p w14:paraId="2C7D3EDE" w14:textId="397CE338" w:rsidR="00D0029F" w:rsidRPr="00D7237C" w:rsidRDefault="00D0029F" w:rsidP="00D0029F">
      <w:pPr>
        <w:pStyle w:val="pf0"/>
        <w:rPr>
          <w:rFonts w:ascii="Verdana" w:hAnsi="Verdana" w:cs="Arial"/>
          <w:sz w:val="13"/>
          <w:szCs w:val="13"/>
        </w:rPr>
      </w:pPr>
      <w:r w:rsidRPr="00D7237C">
        <w:rPr>
          <w:rStyle w:val="Voetnootmarkering"/>
          <w:rFonts w:ascii="Verdana" w:hAnsi="Verdana"/>
          <w:sz w:val="13"/>
          <w:szCs w:val="13"/>
        </w:rPr>
        <w:footnoteRef/>
      </w:r>
      <w:r w:rsidRPr="00D7237C">
        <w:rPr>
          <w:sz w:val="13"/>
          <w:szCs w:val="13"/>
        </w:rPr>
        <w:t xml:space="preserve"> </w:t>
      </w:r>
      <w:r w:rsidRPr="00D7237C">
        <w:rPr>
          <w:rStyle w:val="cf01"/>
          <w:rFonts w:ascii="Verdana" w:hAnsi="Verdana"/>
          <w:sz w:val="13"/>
          <w:szCs w:val="13"/>
        </w:rPr>
        <w:t>Agrarisch Kennis en Innovatie Systeem</w:t>
      </w:r>
      <w:r w:rsidR="00EC2473" w:rsidRPr="00D7237C">
        <w:rPr>
          <w:rStyle w:val="cf01"/>
          <w:rFonts w:ascii="Verdana" w:hAnsi="Verdana"/>
          <w:sz w:val="13"/>
          <w:szCs w:val="13"/>
        </w:rPr>
        <w:t>;</w:t>
      </w:r>
      <w:r w:rsidRPr="00D7237C">
        <w:rPr>
          <w:rStyle w:val="cf01"/>
          <w:rFonts w:ascii="Verdana" w:hAnsi="Verdana"/>
          <w:sz w:val="13"/>
          <w:szCs w:val="13"/>
        </w:rPr>
        <w:t xml:space="preserve"> </w:t>
      </w:r>
      <w:r w:rsidR="00EC2473" w:rsidRPr="00D7237C">
        <w:rPr>
          <w:rStyle w:val="cf01"/>
          <w:rFonts w:ascii="Verdana" w:hAnsi="Verdana"/>
          <w:sz w:val="13"/>
          <w:szCs w:val="13"/>
        </w:rPr>
        <w:t xml:space="preserve">het versterken van </w:t>
      </w:r>
      <w:r w:rsidR="00876124" w:rsidRPr="00D7237C">
        <w:rPr>
          <w:rStyle w:val="cf01"/>
          <w:rFonts w:ascii="Verdana" w:hAnsi="Verdana"/>
          <w:sz w:val="13"/>
          <w:szCs w:val="13"/>
        </w:rPr>
        <w:t xml:space="preserve">het AKIS </w:t>
      </w:r>
      <w:r w:rsidR="00EC2473" w:rsidRPr="00D7237C">
        <w:rPr>
          <w:rStyle w:val="cf01"/>
          <w:rFonts w:ascii="Verdana" w:hAnsi="Verdana"/>
          <w:sz w:val="13"/>
          <w:szCs w:val="13"/>
        </w:rPr>
        <w:t xml:space="preserve">betreft </w:t>
      </w:r>
      <w:r w:rsidRPr="00D7237C">
        <w:rPr>
          <w:rStyle w:val="cf01"/>
          <w:rFonts w:ascii="Verdana" w:hAnsi="Verdana"/>
          <w:sz w:val="13"/>
          <w:szCs w:val="13"/>
        </w:rPr>
        <w:t xml:space="preserve">de ambitie om meer structurele samenhang te organiseren tussen de verschillende partijen die zich bezig houden met </w:t>
      </w:r>
      <w:r w:rsidR="00EC2473" w:rsidRPr="00D7237C">
        <w:rPr>
          <w:rStyle w:val="cf01"/>
          <w:rFonts w:ascii="Verdana" w:hAnsi="Verdana"/>
          <w:sz w:val="13"/>
          <w:szCs w:val="13"/>
        </w:rPr>
        <w:t>k</w:t>
      </w:r>
      <w:r w:rsidRPr="00D7237C">
        <w:rPr>
          <w:rStyle w:val="cf01"/>
          <w:rFonts w:ascii="Verdana" w:hAnsi="Verdana"/>
          <w:sz w:val="13"/>
          <w:szCs w:val="13"/>
        </w:rPr>
        <w:t xml:space="preserve">ennis en </w:t>
      </w:r>
      <w:r w:rsidR="00EC2473" w:rsidRPr="00D7237C">
        <w:rPr>
          <w:rStyle w:val="cf01"/>
          <w:rFonts w:ascii="Verdana" w:hAnsi="Verdana"/>
          <w:sz w:val="13"/>
          <w:szCs w:val="13"/>
        </w:rPr>
        <w:t>i</w:t>
      </w:r>
      <w:r w:rsidRPr="00D7237C">
        <w:rPr>
          <w:rStyle w:val="cf01"/>
          <w:rFonts w:ascii="Verdana" w:hAnsi="Verdana"/>
          <w:sz w:val="13"/>
          <w:szCs w:val="13"/>
        </w:rPr>
        <w:t>nnovatie</w:t>
      </w:r>
      <w:r w:rsidR="00EC2473" w:rsidRPr="00D7237C">
        <w:rPr>
          <w:rStyle w:val="cf01"/>
          <w:rFonts w:ascii="Verdana" w:hAnsi="Verdana"/>
          <w:sz w:val="13"/>
          <w:szCs w:val="13"/>
        </w:rPr>
        <w:t xml:space="preserve"> (inclusief onderwijs)</w:t>
      </w:r>
      <w:r w:rsidRPr="00D7237C">
        <w:rPr>
          <w:rStyle w:val="cf01"/>
          <w:rFonts w:ascii="Verdana" w:hAnsi="Verdana"/>
          <w:sz w:val="13"/>
          <w:szCs w:val="13"/>
        </w:rPr>
        <w:t>.</w:t>
      </w:r>
    </w:p>
    <w:p w14:paraId="5BE1A490" w14:textId="77777777" w:rsidR="00D0029F" w:rsidRPr="00D7237C" w:rsidRDefault="00D0029F" w:rsidP="00D0029F">
      <w:pPr>
        <w:pStyle w:val="Voetnoottekst"/>
        <w:rPr>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0A13" w14:textId="77777777" w:rsidR="00E01945" w:rsidRDefault="00E019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B39CE" w14:paraId="6530C664" w14:textId="77777777" w:rsidTr="00A50CF6">
      <w:tc>
        <w:tcPr>
          <w:tcW w:w="2156" w:type="dxa"/>
          <w:shd w:val="clear" w:color="auto" w:fill="auto"/>
        </w:tcPr>
        <w:p w14:paraId="608B906E" w14:textId="77777777" w:rsidR="00527BD4" w:rsidRPr="005819CE" w:rsidRDefault="0034047D" w:rsidP="00A50CF6">
          <w:pPr>
            <w:pStyle w:val="Huisstijl-Adres"/>
            <w:rPr>
              <w:b/>
            </w:rPr>
          </w:pPr>
          <w:r>
            <w:rPr>
              <w:b/>
            </w:rPr>
            <w:t>Directie Strategie, Kennis en Innovatie</w:t>
          </w:r>
          <w:r w:rsidRPr="005819CE">
            <w:rPr>
              <w:b/>
            </w:rPr>
            <w:br/>
          </w:r>
        </w:p>
      </w:tc>
    </w:tr>
    <w:tr w:rsidR="008B39CE" w14:paraId="4A080245" w14:textId="77777777" w:rsidTr="00A50CF6">
      <w:trPr>
        <w:trHeight w:hRule="exact" w:val="200"/>
      </w:trPr>
      <w:tc>
        <w:tcPr>
          <w:tcW w:w="2156" w:type="dxa"/>
          <w:shd w:val="clear" w:color="auto" w:fill="auto"/>
        </w:tcPr>
        <w:p w14:paraId="1B37E2E4" w14:textId="77777777" w:rsidR="00527BD4" w:rsidRPr="005819CE" w:rsidRDefault="00527BD4" w:rsidP="00A50CF6"/>
      </w:tc>
    </w:tr>
    <w:tr w:rsidR="008B39CE" w14:paraId="0941B018" w14:textId="77777777" w:rsidTr="00502512">
      <w:trPr>
        <w:trHeight w:hRule="exact" w:val="774"/>
      </w:trPr>
      <w:tc>
        <w:tcPr>
          <w:tcW w:w="2156" w:type="dxa"/>
          <w:shd w:val="clear" w:color="auto" w:fill="auto"/>
        </w:tcPr>
        <w:p w14:paraId="304BE8CF" w14:textId="77777777" w:rsidR="00527BD4" w:rsidRDefault="0034047D" w:rsidP="003A5290">
          <w:pPr>
            <w:pStyle w:val="Huisstijl-Kopje"/>
          </w:pPr>
          <w:r>
            <w:t>Ons kenmerk</w:t>
          </w:r>
        </w:p>
        <w:p w14:paraId="6B2F1B92" w14:textId="4342E980" w:rsidR="00527BD4" w:rsidRPr="005819CE" w:rsidRDefault="0034047D" w:rsidP="00812E54">
          <w:pPr>
            <w:pStyle w:val="Huisstijl-Kopje"/>
          </w:pPr>
          <w:r>
            <w:rPr>
              <w:b w:val="0"/>
            </w:rPr>
            <w:t>SKI</w:t>
          </w:r>
          <w:r w:rsidRPr="00502512">
            <w:rPr>
              <w:b w:val="0"/>
            </w:rPr>
            <w:t xml:space="preserve"> /</w:t>
          </w:r>
          <w:r w:rsidR="00E01945">
            <w:rPr>
              <w:b w:val="0"/>
            </w:rPr>
            <w:t xml:space="preserve"> </w:t>
          </w:r>
          <w:r w:rsidR="00A7196E" w:rsidRPr="00A7196E">
            <w:rPr>
              <w:b w:val="0"/>
              <w:bCs/>
            </w:rPr>
            <w:t>86273822</w:t>
          </w:r>
        </w:p>
      </w:tc>
    </w:tr>
  </w:tbl>
  <w:p w14:paraId="380D4C88" w14:textId="77777777" w:rsidR="00527BD4" w:rsidRDefault="00527BD4" w:rsidP="008C356D"/>
  <w:p w14:paraId="713DBFA4" w14:textId="77777777" w:rsidR="00527BD4" w:rsidRPr="00740712" w:rsidRDefault="00527BD4" w:rsidP="008C356D"/>
  <w:p w14:paraId="68EDE64B" w14:textId="77777777" w:rsidR="00527BD4" w:rsidRPr="00217880" w:rsidRDefault="00527BD4" w:rsidP="008C356D">
    <w:pPr>
      <w:spacing w:line="0" w:lineRule="atLeast"/>
      <w:rPr>
        <w:sz w:val="2"/>
        <w:szCs w:val="2"/>
      </w:rPr>
    </w:pPr>
  </w:p>
  <w:p w14:paraId="09A8C4DC" w14:textId="77777777" w:rsidR="00527BD4" w:rsidRDefault="00527BD4" w:rsidP="004F44C2">
    <w:pPr>
      <w:pStyle w:val="Koptekst"/>
      <w:rPr>
        <w:rFonts w:cs="Verdana-Bold"/>
        <w:b/>
        <w:bCs/>
        <w:smallCaps/>
        <w:szCs w:val="18"/>
      </w:rPr>
    </w:pPr>
  </w:p>
  <w:p w14:paraId="2A94D7D5" w14:textId="77777777" w:rsidR="00527BD4" w:rsidRDefault="00527BD4" w:rsidP="004F44C2"/>
  <w:p w14:paraId="2B28CACA" w14:textId="77777777" w:rsidR="00527BD4" w:rsidRPr="00740712" w:rsidRDefault="00527BD4" w:rsidP="004F44C2"/>
  <w:p w14:paraId="56F87B0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B39CE" w14:paraId="32F0BEE9" w14:textId="77777777" w:rsidTr="00751A6A">
      <w:trPr>
        <w:trHeight w:val="2636"/>
      </w:trPr>
      <w:tc>
        <w:tcPr>
          <w:tcW w:w="737" w:type="dxa"/>
          <w:shd w:val="clear" w:color="auto" w:fill="auto"/>
        </w:tcPr>
        <w:p w14:paraId="2E6B8A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B50E41" w14:textId="77777777" w:rsidR="00527BD4" w:rsidRDefault="0034047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6E961AB" wp14:editId="3254B8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8D8CEAE" w14:textId="77777777" w:rsidR="00527BD4" w:rsidRDefault="00527BD4" w:rsidP="00D0609E">
    <w:pPr>
      <w:framePr w:w="6340" w:h="2750" w:hRule="exact" w:hSpace="180" w:wrap="around" w:vAnchor="page" w:hAnchor="text" w:x="3873" w:y="-140"/>
    </w:pPr>
  </w:p>
  <w:p w14:paraId="107DC17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B39CE" w:rsidRPr="00933C5D" w14:paraId="4C9B8DD8" w14:textId="77777777" w:rsidTr="00A50CF6">
      <w:tc>
        <w:tcPr>
          <w:tcW w:w="2160" w:type="dxa"/>
          <w:shd w:val="clear" w:color="auto" w:fill="auto"/>
        </w:tcPr>
        <w:p w14:paraId="43743E1C" w14:textId="77777777" w:rsidR="00527BD4" w:rsidRPr="005819CE" w:rsidRDefault="0034047D" w:rsidP="00A50CF6">
          <w:pPr>
            <w:pStyle w:val="Huisstijl-Adres"/>
            <w:rPr>
              <w:b/>
            </w:rPr>
          </w:pPr>
          <w:r>
            <w:rPr>
              <w:b/>
            </w:rPr>
            <w:t>Directie Strategie, Kennis en Innovatie</w:t>
          </w:r>
          <w:r w:rsidRPr="005819CE">
            <w:rPr>
              <w:b/>
            </w:rPr>
            <w:br/>
          </w:r>
        </w:p>
        <w:p w14:paraId="5D7F9B60" w14:textId="77777777" w:rsidR="00527BD4" w:rsidRPr="00BE5ED9" w:rsidRDefault="0034047D" w:rsidP="00A50CF6">
          <w:pPr>
            <w:pStyle w:val="Huisstijl-Adres"/>
          </w:pPr>
          <w:r>
            <w:rPr>
              <w:b/>
            </w:rPr>
            <w:t>Bezoekadres</w:t>
          </w:r>
          <w:r>
            <w:rPr>
              <w:b/>
            </w:rPr>
            <w:br/>
          </w:r>
          <w:r>
            <w:t>Bezuidenhoutseweg 73</w:t>
          </w:r>
          <w:r w:rsidRPr="005819CE">
            <w:br/>
          </w:r>
          <w:r>
            <w:t>2594 AC Den Haag</w:t>
          </w:r>
        </w:p>
        <w:p w14:paraId="03789E9A" w14:textId="77777777" w:rsidR="00EF495B" w:rsidRDefault="0034047D" w:rsidP="0098788A">
          <w:pPr>
            <w:pStyle w:val="Huisstijl-Adres"/>
          </w:pPr>
          <w:r>
            <w:rPr>
              <w:b/>
            </w:rPr>
            <w:t>Postadres</w:t>
          </w:r>
          <w:r>
            <w:rPr>
              <w:b/>
            </w:rPr>
            <w:br/>
          </w:r>
          <w:r>
            <w:t>Postbus 20401</w:t>
          </w:r>
          <w:r w:rsidRPr="005819CE">
            <w:br/>
            <w:t>2500 E</w:t>
          </w:r>
          <w:r>
            <w:t>K</w:t>
          </w:r>
          <w:r w:rsidRPr="005819CE">
            <w:t xml:space="preserve"> Den Haag</w:t>
          </w:r>
        </w:p>
        <w:p w14:paraId="45691C90" w14:textId="77777777" w:rsidR="00556BEE" w:rsidRPr="005B3814" w:rsidRDefault="0034047D" w:rsidP="0098788A">
          <w:pPr>
            <w:pStyle w:val="Huisstijl-Adres"/>
          </w:pPr>
          <w:r>
            <w:rPr>
              <w:b/>
            </w:rPr>
            <w:t>Overheidsidentificatienr</w:t>
          </w:r>
          <w:r>
            <w:rPr>
              <w:b/>
            </w:rPr>
            <w:br/>
          </w:r>
          <w:r w:rsidR="00BA129E">
            <w:rPr>
              <w:rFonts w:cs="Agrofont"/>
              <w:iCs/>
            </w:rPr>
            <w:t>00000001858272854000</w:t>
          </w:r>
        </w:p>
        <w:p w14:paraId="76A90116" w14:textId="7D92322C" w:rsidR="00527BD4" w:rsidRPr="006841B5" w:rsidRDefault="0034047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B39CE" w:rsidRPr="00933C5D" w14:paraId="63E514C7" w14:textId="77777777" w:rsidTr="008C1E5B">
      <w:trPr>
        <w:trHeight w:hRule="exact" w:val="80"/>
      </w:trPr>
      <w:tc>
        <w:tcPr>
          <w:tcW w:w="2160" w:type="dxa"/>
          <w:shd w:val="clear" w:color="auto" w:fill="auto"/>
        </w:tcPr>
        <w:p w14:paraId="069D8432" w14:textId="77777777" w:rsidR="00527BD4" w:rsidRPr="004C11A4" w:rsidRDefault="00527BD4" w:rsidP="00A50CF6"/>
      </w:tc>
    </w:tr>
    <w:tr w:rsidR="008B39CE" w14:paraId="5F95C408" w14:textId="77777777" w:rsidTr="00A50CF6">
      <w:tc>
        <w:tcPr>
          <w:tcW w:w="2160" w:type="dxa"/>
          <w:shd w:val="clear" w:color="auto" w:fill="auto"/>
        </w:tcPr>
        <w:p w14:paraId="665B1359" w14:textId="77777777" w:rsidR="000C0163" w:rsidRPr="005819CE" w:rsidRDefault="0034047D" w:rsidP="000C0163">
          <w:pPr>
            <w:pStyle w:val="Huisstijl-Kopje"/>
          </w:pPr>
          <w:r>
            <w:t>Ons kenmerk</w:t>
          </w:r>
          <w:r w:rsidRPr="005819CE">
            <w:t xml:space="preserve"> </w:t>
          </w:r>
        </w:p>
        <w:p w14:paraId="73AFBB90" w14:textId="6D661417" w:rsidR="00527BD4" w:rsidRPr="005819CE" w:rsidRDefault="0034047D" w:rsidP="00A50CF6">
          <w:pPr>
            <w:pStyle w:val="Huisstijl-Gegeven"/>
          </w:pPr>
          <w:r>
            <w:t>SKI /</w:t>
          </w:r>
          <w:r w:rsidR="00486354">
            <w:t xml:space="preserve"> </w:t>
          </w:r>
          <w:r w:rsidR="00A7196E" w:rsidRPr="00A7196E">
            <w:t>86273822</w:t>
          </w:r>
        </w:p>
        <w:p w14:paraId="37BB6FE2" w14:textId="77777777" w:rsidR="00527BD4" w:rsidRPr="005819CE" w:rsidRDefault="0034047D" w:rsidP="00A50CF6">
          <w:pPr>
            <w:pStyle w:val="Huisstijl-Kopje"/>
          </w:pPr>
          <w:r>
            <w:t>Bijlage(n)</w:t>
          </w:r>
        </w:p>
        <w:p w14:paraId="2CC01296" w14:textId="77777777" w:rsidR="00527BD4" w:rsidRPr="005819CE" w:rsidRDefault="0034047D" w:rsidP="00A50CF6">
          <w:pPr>
            <w:pStyle w:val="Huisstijl-Gegeven"/>
          </w:pPr>
          <w:r>
            <w:t>1</w:t>
          </w:r>
        </w:p>
      </w:tc>
    </w:tr>
  </w:tbl>
  <w:p w14:paraId="0F8E41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B39CE" w14:paraId="003A0418" w14:textId="77777777" w:rsidTr="009E2051">
      <w:trPr>
        <w:trHeight w:val="400"/>
      </w:trPr>
      <w:tc>
        <w:tcPr>
          <w:tcW w:w="7520" w:type="dxa"/>
          <w:gridSpan w:val="2"/>
          <w:shd w:val="clear" w:color="auto" w:fill="auto"/>
        </w:tcPr>
        <w:p w14:paraId="5F84AEFD" w14:textId="77777777" w:rsidR="00527BD4" w:rsidRPr="00BC3B53" w:rsidRDefault="0034047D" w:rsidP="00A50CF6">
          <w:pPr>
            <w:pStyle w:val="Huisstijl-Retouradres"/>
          </w:pPr>
          <w:r>
            <w:t>&gt; Retouradres Postbus 20401 2500 EK Den Haag</w:t>
          </w:r>
        </w:p>
      </w:tc>
    </w:tr>
    <w:tr w:rsidR="008B39CE" w14:paraId="58F17989" w14:textId="77777777" w:rsidTr="009E2051">
      <w:tc>
        <w:tcPr>
          <w:tcW w:w="7520" w:type="dxa"/>
          <w:gridSpan w:val="2"/>
          <w:shd w:val="clear" w:color="auto" w:fill="auto"/>
        </w:tcPr>
        <w:p w14:paraId="4CBBBA93" w14:textId="77777777" w:rsidR="00527BD4" w:rsidRPr="00983E8F" w:rsidRDefault="00527BD4" w:rsidP="00A50CF6">
          <w:pPr>
            <w:pStyle w:val="Huisstijl-Rubricering"/>
          </w:pPr>
        </w:p>
      </w:tc>
    </w:tr>
    <w:tr w:rsidR="008B39CE" w14:paraId="5F94283D" w14:textId="77777777" w:rsidTr="009E2051">
      <w:trPr>
        <w:trHeight w:hRule="exact" w:val="2440"/>
      </w:trPr>
      <w:tc>
        <w:tcPr>
          <w:tcW w:w="7520" w:type="dxa"/>
          <w:gridSpan w:val="2"/>
          <w:shd w:val="clear" w:color="auto" w:fill="auto"/>
        </w:tcPr>
        <w:p w14:paraId="649C45FC" w14:textId="77777777" w:rsidR="006841B5" w:rsidRDefault="006841B5" w:rsidP="006841B5">
          <w:pPr>
            <w:pStyle w:val="Huisstijl-NAW"/>
          </w:pPr>
          <w:r w:rsidRPr="00D24199">
            <w:t xml:space="preserve">De </w:t>
          </w:r>
          <w:r>
            <w:t>V</w:t>
          </w:r>
          <w:r w:rsidRPr="00D24199">
            <w:t xml:space="preserve">oorzitter van de Tweede Kamer </w:t>
          </w:r>
        </w:p>
        <w:p w14:paraId="5A35CEE7" w14:textId="77777777" w:rsidR="006841B5" w:rsidRDefault="006841B5" w:rsidP="006841B5">
          <w:pPr>
            <w:pStyle w:val="Huisstijl-NAW"/>
          </w:pPr>
          <w:r w:rsidRPr="00D24199">
            <w:t>der Staten-Generaal</w:t>
          </w:r>
        </w:p>
        <w:p w14:paraId="5D4F6582" w14:textId="77777777" w:rsidR="006841B5" w:rsidRPr="00EE5E84" w:rsidRDefault="006841B5" w:rsidP="006841B5">
          <w:pPr>
            <w:rPr>
              <w:lang w:val="de-DE"/>
            </w:rPr>
          </w:pPr>
          <w:proofErr w:type="spellStart"/>
          <w:r w:rsidRPr="00EE5E84">
            <w:rPr>
              <w:lang w:val="de-DE"/>
            </w:rPr>
            <w:t>Prinses</w:t>
          </w:r>
          <w:proofErr w:type="spellEnd"/>
          <w:r w:rsidRPr="00EE5E84">
            <w:rPr>
              <w:lang w:val="de-DE"/>
            </w:rPr>
            <w:t xml:space="preserve"> </w:t>
          </w:r>
          <w:proofErr w:type="spellStart"/>
          <w:r w:rsidRPr="00EE5E84">
            <w:rPr>
              <w:lang w:val="de-DE"/>
            </w:rPr>
            <w:t>Irenestraat</w:t>
          </w:r>
          <w:proofErr w:type="spellEnd"/>
          <w:r w:rsidRPr="00EE5E84">
            <w:rPr>
              <w:lang w:val="de-DE"/>
            </w:rPr>
            <w:t xml:space="preserve"> 6</w:t>
          </w:r>
        </w:p>
        <w:p w14:paraId="49F61427" w14:textId="77777777" w:rsidR="006841B5" w:rsidRDefault="006841B5" w:rsidP="006841B5">
          <w:pPr>
            <w:rPr>
              <w:lang w:val="de-DE"/>
            </w:rPr>
          </w:pPr>
          <w:r w:rsidRPr="00EE5E84">
            <w:rPr>
              <w:lang w:val="de-DE"/>
            </w:rPr>
            <w:t>2595 BD  DEN H</w:t>
          </w:r>
          <w:r>
            <w:rPr>
              <w:lang w:val="de-DE"/>
            </w:rPr>
            <w:t>AAG</w:t>
          </w:r>
        </w:p>
        <w:p w14:paraId="62E0A7D9" w14:textId="58197B4E" w:rsidR="008B39CE" w:rsidRDefault="008B39CE">
          <w:pPr>
            <w:pStyle w:val="Huisstijl-NAW"/>
          </w:pPr>
        </w:p>
      </w:tc>
    </w:tr>
    <w:tr w:rsidR="008B39CE" w14:paraId="7FC0E44F" w14:textId="77777777" w:rsidTr="009E2051">
      <w:trPr>
        <w:trHeight w:hRule="exact" w:val="400"/>
      </w:trPr>
      <w:tc>
        <w:tcPr>
          <w:tcW w:w="7520" w:type="dxa"/>
          <w:gridSpan w:val="2"/>
          <w:shd w:val="clear" w:color="auto" w:fill="auto"/>
        </w:tcPr>
        <w:p w14:paraId="51D8A86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B39CE" w14:paraId="3265DB11" w14:textId="77777777" w:rsidTr="009E2051">
      <w:trPr>
        <w:trHeight w:val="240"/>
      </w:trPr>
      <w:tc>
        <w:tcPr>
          <w:tcW w:w="900" w:type="dxa"/>
          <w:shd w:val="clear" w:color="auto" w:fill="auto"/>
        </w:tcPr>
        <w:p w14:paraId="26039EB1" w14:textId="77777777" w:rsidR="00527BD4" w:rsidRPr="007709EF" w:rsidRDefault="0034047D" w:rsidP="00A50CF6">
          <w:pPr>
            <w:rPr>
              <w:szCs w:val="18"/>
            </w:rPr>
          </w:pPr>
          <w:r>
            <w:rPr>
              <w:szCs w:val="18"/>
            </w:rPr>
            <w:t>Datum</w:t>
          </w:r>
        </w:p>
      </w:tc>
      <w:tc>
        <w:tcPr>
          <w:tcW w:w="6620" w:type="dxa"/>
          <w:shd w:val="clear" w:color="auto" w:fill="auto"/>
        </w:tcPr>
        <w:p w14:paraId="73EBA6AB" w14:textId="23E5B885" w:rsidR="00527BD4" w:rsidRPr="007709EF" w:rsidRDefault="00E01945" w:rsidP="00A50CF6">
          <w:r>
            <w:t>3 oktober 2024</w:t>
          </w:r>
        </w:p>
      </w:tc>
    </w:tr>
    <w:tr w:rsidR="008B39CE" w14:paraId="53B50AE4" w14:textId="77777777" w:rsidTr="009E2051">
      <w:trPr>
        <w:trHeight w:val="240"/>
      </w:trPr>
      <w:tc>
        <w:tcPr>
          <w:tcW w:w="900" w:type="dxa"/>
          <w:shd w:val="clear" w:color="auto" w:fill="auto"/>
        </w:tcPr>
        <w:p w14:paraId="0891F937" w14:textId="77777777" w:rsidR="00527BD4" w:rsidRPr="007709EF" w:rsidRDefault="0034047D" w:rsidP="00A50CF6">
          <w:pPr>
            <w:rPr>
              <w:szCs w:val="18"/>
            </w:rPr>
          </w:pPr>
          <w:r>
            <w:rPr>
              <w:szCs w:val="18"/>
            </w:rPr>
            <w:t>Betreft</w:t>
          </w:r>
        </w:p>
      </w:tc>
      <w:tc>
        <w:tcPr>
          <w:tcW w:w="6620" w:type="dxa"/>
          <w:shd w:val="clear" w:color="auto" w:fill="auto"/>
        </w:tcPr>
        <w:p w14:paraId="631264E2" w14:textId="77777777" w:rsidR="00527BD4" w:rsidRPr="007709EF" w:rsidRDefault="0034047D" w:rsidP="00A50CF6">
          <w:r>
            <w:t>Evaluatierapport Subsidiemodule Agrarische Bedrijfsadvisering en Educatie (SABE) 2020-2023</w:t>
          </w:r>
        </w:p>
      </w:tc>
    </w:tr>
  </w:tbl>
  <w:p w14:paraId="636FB0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E22CA14">
      <w:start w:val="1"/>
      <w:numFmt w:val="bullet"/>
      <w:pStyle w:val="Lijstopsomteken"/>
      <w:lvlText w:val="•"/>
      <w:lvlJc w:val="left"/>
      <w:pPr>
        <w:tabs>
          <w:tab w:val="num" w:pos="227"/>
        </w:tabs>
        <w:ind w:left="227" w:hanging="227"/>
      </w:pPr>
      <w:rPr>
        <w:rFonts w:ascii="Verdana" w:hAnsi="Verdana" w:hint="default"/>
        <w:sz w:val="18"/>
        <w:szCs w:val="18"/>
      </w:rPr>
    </w:lvl>
    <w:lvl w:ilvl="1" w:tplc="1F98782C" w:tentative="1">
      <w:start w:val="1"/>
      <w:numFmt w:val="bullet"/>
      <w:lvlText w:val="o"/>
      <w:lvlJc w:val="left"/>
      <w:pPr>
        <w:tabs>
          <w:tab w:val="num" w:pos="1440"/>
        </w:tabs>
        <w:ind w:left="1440" w:hanging="360"/>
      </w:pPr>
      <w:rPr>
        <w:rFonts w:ascii="Courier New" w:hAnsi="Courier New" w:cs="Courier New" w:hint="default"/>
      </w:rPr>
    </w:lvl>
    <w:lvl w:ilvl="2" w:tplc="B6B61976" w:tentative="1">
      <w:start w:val="1"/>
      <w:numFmt w:val="bullet"/>
      <w:lvlText w:val=""/>
      <w:lvlJc w:val="left"/>
      <w:pPr>
        <w:tabs>
          <w:tab w:val="num" w:pos="2160"/>
        </w:tabs>
        <w:ind w:left="2160" w:hanging="360"/>
      </w:pPr>
      <w:rPr>
        <w:rFonts w:ascii="Wingdings" w:hAnsi="Wingdings" w:hint="default"/>
      </w:rPr>
    </w:lvl>
    <w:lvl w:ilvl="3" w:tplc="01EE8274" w:tentative="1">
      <w:start w:val="1"/>
      <w:numFmt w:val="bullet"/>
      <w:lvlText w:val=""/>
      <w:lvlJc w:val="left"/>
      <w:pPr>
        <w:tabs>
          <w:tab w:val="num" w:pos="2880"/>
        </w:tabs>
        <w:ind w:left="2880" w:hanging="360"/>
      </w:pPr>
      <w:rPr>
        <w:rFonts w:ascii="Symbol" w:hAnsi="Symbol" w:hint="default"/>
      </w:rPr>
    </w:lvl>
    <w:lvl w:ilvl="4" w:tplc="04069D08" w:tentative="1">
      <w:start w:val="1"/>
      <w:numFmt w:val="bullet"/>
      <w:lvlText w:val="o"/>
      <w:lvlJc w:val="left"/>
      <w:pPr>
        <w:tabs>
          <w:tab w:val="num" w:pos="3600"/>
        </w:tabs>
        <w:ind w:left="3600" w:hanging="360"/>
      </w:pPr>
      <w:rPr>
        <w:rFonts w:ascii="Courier New" w:hAnsi="Courier New" w:cs="Courier New" w:hint="default"/>
      </w:rPr>
    </w:lvl>
    <w:lvl w:ilvl="5" w:tplc="E18426D8" w:tentative="1">
      <w:start w:val="1"/>
      <w:numFmt w:val="bullet"/>
      <w:lvlText w:val=""/>
      <w:lvlJc w:val="left"/>
      <w:pPr>
        <w:tabs>
          <w:tab w:val="num" w:pos="4320"/>
        </w:tabs>
        <w:ind w:left="4320" w:hanging="360"/>
      </w:pPr>
      <w:rPr>
        <w:rFonts w:ascii="Wingdings" w:hAnsi="Wingdings" w:hint="default"/>
      </w:rPr>
    </w:lvl>
    <w:lvl w:ilvl="6" w:tplc="8102A2A4" w:tentative="1">
      <w:start w:val="1"/>
      <w:numFmt w:val="bullet"/>
      <w:lvlText w:val=""/>
      <w:lvlJc w:val="left"/>
      <w:pPr>
        <w:tabs>
          <w:tab w:val="num" w:pos="5040"/>
        </w:tabs>
        <w:ind w:left="5040" w:hanging="360"/>
      </w:pPr>
      <w:rPr>
        <w:rFonts w:ascii="Symbol" w:hAnsi="Symbol" w:hint="default"/>
      </w:rPr>
    </w:lvl>
    <w:lvl w:ilvl="7" w:tplc="20E2EA9E" w:tentative="1">
      <w:start w:val="1"/>
      <w:numFmt w:val="bullet"/>
      <w:lvlText w:val="o"/>
      <w:lvlJc w:val="left"/>
      <w:pPr>
        <w:tabs>
          <w:tab w:val="num" w:pos="5760"/>
        </w:tabs>
        <w:ind w:left="5760" w:hanging="360"/>
      </w:pPr>
      <w:rPr>
        <w:rFonts w:ascii="Courier New" w:hAnsi="Courier New" w:cs="Courier New" w:hint="default"/>
      </w:rPr>
    </w:lvl>
    <w:lvl w:ilvl="8" w:tplc="4C20F3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49AD21A">
      <w:start w:val="1"/>
      <w:numFmt w:val="bullet"/>
      <w:pStyle w:val="Lijstopsomteken2"/>
      <w:lvlText w:val="–"/>
      <w:lvlJc w:val="left"/>
      <w:pPr>
        <w:tabs>
          <w:tab w:val="num" w:pos="227"/>
        </w:tabs>
        <w:ind w:left="227" w:firstLine="0"/>
      </w:pPr>
      <w:rPr>
        <w:rFonts w:ascii="Verdana" w:hAnsi="Verdana" w:hint="default"/>
      </w:rPr>
    </w:lvl>
    <w:lvl w:ilvl="1" w:tplc="D02A6CF8" w:tentative="1">
      <w:start w:val="1"/>
      <w:numFmt w:val="bullet"/>
      <w:lvlText w:val="o"/>
      <w:lvlJc w:val="left"/>
      <w:pPr>
        <w:tabs>
          <w:tab w:val="num" w:pos="1440"/>
        </w:tabs>
        <w:ind w:left="1440" w:hanging="360"/>
      </w:pPr>
      <w:rPr>
        <w:rFonts w:ascii="Courier New" w:hAnsi="Courier New" w:cs="Courier New" w:hint="default"/>
      </w:rPr>
    </w:lvl>
    <w:lvl w:ilvl="2" w:tplc="F3F23388" w:tentative="1">
      <w:start w:val="1"/>
      <w:numFmt w:val="bullet"/>
      <w:lvlText w:val=""/>
      <w:lvlJc w:val="left"/>
      <w:pPr>
        <w:tabs>
          <w:tab w:val="num" w:pos="2160"/>
        </w:tabs>
        <w:ind w:left="2160" w:hanging="360"/>
      </w:pPr>
      <w:rPr>
        <w:rFonts w:ascii="Wingdings" w:hAnsi="Wingdings" w:hint="default"/>
      </w:rPr>
    </w:lvl>
    <w:lvl w:ilvl="3" w:tplc="50F060EE" w:tentative="1">
      <w:start w:val="1"/>
      <w:numFmt w:val="bullet"/>
      <w:lvlText w:val=""/>
      <w:lvlJc w:val="left"/>
      <w:pPr>
        <w:tabs>
          <w:tab w:val="num" w:pos="2880"/>
        </w:tabs>
        <w:ind w:left="2880" w:hanging="360"/>
      </w:pPr>
      <w:rPr>
        <w:rFonts w:ascii="Symbol" w:hAnsi="Symbol" w:hint="default"/>
      </w:rPr>
    </w:lvl>
    <w:lvl w:ilvl="4" w:tplc="0E24FE0C" w:tentative="1">
      <w:start w:val="1"/>
      <w:numFmt w:val="bullet"/>
      <w:lvlText w:val="o"/>
      <w:lvlJc w:val="left"/>
      <w:pPr>
        <w:tabs>
          <w:tab w:val="num" w:pos="3600"/>
        </w:tabs>
        <w:ind w:left="3600" w:hanging="360"/>
      </w:pPr>
      <w:rPr>
        <w:rFonts w:ascii="Courier New" w:hAnsi="Courier New" w:cs="Courier New" w:hint="default"/>
      </w:rPr>
    </w:lvl>
    <w:lvl w:ilvl="5" w:tplc="9530BDC4" w:tentative="1">
      <w:start w:val="1"/>
      <w:numFmt w:val="bullet"/>
      <w:lvlText w:val=""/>
      <w:lvlJc w:val="left"/>
      <w:pPr>
        <w:tabs>
          <w:tab w:val="num" w:pos="4320"/>
        </w:tabs>
        <w:ind w:left="4320" w:hanging="360"/>
      </w:pPr>
      <w:rPr>
        <w:rFonts w:ascii="Wingdings" w:hAnsi="Wingdings" w:hint="default"/>
      </w:rPr>
    </w:lvl>
    <w:lvl w:ilvl="6" w:tplc="AAE82CAA" w:tentative="1">
      <w:start w:val="1"/>
      <w:numFmt w:val="bullet"/>
      <w:lvlText w:val=""/>
      <w:lvlJc w:val="left"/>
      <w:pPr>
        <w:tabs>
          <w:tab w:val="num" w:pos="5040"/>
        </w:tabs>
        <w:ind w:left="5040" w:hanging="360"/>
      </w:pPr>
      <w:rPr>
        <w:rFonts w:ascii="Symbol" w:hAnsi="Symbol" w:hint="default"/>
      </w:rPr>
    </w:lvl>
    <w:lvl w:ilvl="7" w:tplc="042A383A" w:tentative="1">
      <w:start w:val="1"/>
      <w:numFmt w:val="bullet"/>
      <w:lvlText w:val="o"/>
      <w:lvlJc w:val="left"/>
      <w:pPr>
        <w:tabs>
          <w:tab w:val="num" w:pos="5760"/>
        </w:tabs>
        <w:ind w:left="5760" w:hanging="360"/>
      </w:pPr>
      <w:rPr>
        <w:rFonts w:ascii="Courier New" w:hAnsi="Courier New" w:cs="Courier New" w:hint="default"/>
      </w:rPr>
    </w:lvl>
    <w:lvl w:ilvl="8" w:tplc="906035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12225320">
    <w:abstractNumId w:val="10"/>
  </w:num>
  <w:num w:numId="2" w16cid:durableId="1132210528">
    <w:abstractNumId w:val="7"/>
  </w:num>
  <w:num w:numId="3" w16cid:durableId="652022647">
    <w:abstractNumId w:val="6"/>
  </w:num>
  <w:num w:numId="4" w16cid:durableId="1066564690">
    <w:abstractNumId w:val="5"/>
  </w:num>
  <w:num w:numId="5" w16cid:durableId="1673332802">
    <w:abstractNumId w:val="4"/>
  </w:num>
  <w:num w:numId="6" w16cid:durableId="59179745">
    <w:abstractNumId w:val="8"/>
  </w:num>
  <w:num w:numId="7" w16cid:durableId="45615573">
    <w:abstractNumId w:val="3"/>
  </w:num>
  <w:num w:numId="8" w16cid:durableId="841238676">
    <w:abstractNumId w:val="2"/>
  </w:num>
  <w:num w:numId="9" w16cid:durableId="1228614879">
    <w:abstractNumId w:val="1"/>
  </w:num>
  <w:num w:numId="10" w16cid:durableId="1393236519">
    <w:abstractNumId w:val="0"/>
  </w:num>
  <w:num w:numId="11" w16cid:durableId="1094209171">
    <w:abstractNumId w:val="9"/>
  </w:num>
  <w:num w:numId="12" w16cid:durableId="510681909">
    <w:abstractNumId w:val="11"/>
  </w:num>
  <w:num w:numId="13" w16cid:durableId="395395952">
    <w:abstractNumId w:val="13"/>
  </w:num>
  <w:num w:numId="14" w16cid:durableId="171049490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5590"/>
    <w:rsid w:val="000301C7"/>
    <w:rsid w:val="00033CDD"/>
    <w:rsid w:val="00034A84"/>
    <w:rsid w:val="00035E67"/>
    <w:rsid w:val="000366F3"/>
    <w:rsid w:val="00053C30"/>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4EB6"/>
    <w:rsid w:val="0016725C"/>
    <w:rsid w:val="001726F3"/>
    <w:rsid w:val="00173C51"/>
    <w:rsid w:val="00174CC2"/>
    <w:rsid w:val="00176CC6"/>
    <w:rsid w:val="00181BE4"/>
    <w:rsid w:val="00185576"/>
    <w:rsid w:val="00185951"/>
    <w:rsid w:val="00192202"/>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3740"/>
    <w:rsid w:val="002650F7"/>
    <w:rsid w:val="002720A9"/>
    <w:rsid w:val="00273F3B"/>
    <w:rsid w:val="00274DB7"/>
    <w:rsid w:val="00275984"/>
    <w:rsid w:val="00280F74"/>
    <w:rsid w:val="00286998"/>
    <w:rsid w:val="00291AB7"/>
    <w:rsid w:val="0029422B"/>
    <w:rsid w:val="002A2B18"/>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47D"/>
    <w:rsid w:val="00340ECA"/>
    <w:rsid w:val="00341FA0"/>
    <w:rsid w:val="00344F3D"/>
    <w:rsid w:val="00345299"/>
    <w:rsid w:val="00351A8D"/>
    <w:rsid w:val="003526BB"/>
    <w:rsid w:val="00352BCF"/>
    <w:rsid w:val="00353932"/>
    <w:rsid w:val="0035459D"/>
    <w:rsid w:val="0035464B"/>
    <w:rsid w:val="0035550C"/>
    <w:rsid w:val="00361A56"/>
    <w:rsid w:val="0036252A"/>
    <w:rsid w:val="00364D9D"/>
    <w:rsid w:val="00365CFE"/>
    <w:rsid w:val="00371048"/>
    <w:rsid w:val="0037396C"/>
    <w:rsid w:val="0037421D"/>
    <w:rsid w:val="00376093"/>
    <w:rsid w:val="00377C58"/>
    <w:rsid w:val="0038181A"/>
    <w:rsid w:val="00383DA1"/>
    <w:rsid w:val="00385F30"/>
    <w:rsid w:val="0039201D"/>
    <w:rsid w:val="00393696"/>
    <w:rsid w:val="00393963"/>
    <w:rsid w:val="00395575"/>
    <w:rsid w:val="003955CF"/>
    <w:rsid w:val="00395672"/>
    <w:rsid w:val="003A06C8"/>
    <w:rsid w:val="003A0D7C"/>
    <w:rsid w:val="003A1B16"/>
    <w:rsid w:val="003A5290"/>
    <w:rsid w:val="003B0155"/>
    <w:rsid w:val="003B7EE7"/>
    <w:rsid w:val="003C2CCB"/>
    <w:rsid w:val="003C30D7"/>
    <w:rsid w:val="003D39EC"/>
    <w:rsid w:val="003E3DD5"/>
    <w:rsid w:val="003F07C6"/>
    <w:rsid w:val="003F1F6B"/>
    <w:rsid w:val="003F3757"/>
    <w:rsid w:val="003F38BD"/>
    <w:rsid w:val="003F44B7"/>
    <w:rsid w:val="004008E9"/>
    <w:rsid w:val="00411556"/>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3F2E"/>
    <w:rsid w:val="004B5465"/>
    <w:rsid w:val="004B70F0"/>
    <w:rsid w:val="004C11A4"/>
    <w:rsid w:val="004D505E"/>
    <w:rsid w:val="004D72CA"/>
    <w:rsid w:val="004E2242"/>
    <w:rsid w:val="004E505E"/>
    <w:rsid w:val="004F42FF"/>
    <w:rsid w:val="004F44C2"/>
    <w:rsid w:val="00502512"/>
    <w:rsid w:val="00505262"/>
    <w:rsid w:val="0051132F"/>
    <w:rsid w:val="00516022"/>
    <w:rsid w:val="0052000B"/>
    <w:rsid w:val="00521CEE"/>
    <w:rsid w:val="00524FB4"/>
    <w:rsid w:val="00527BD4"/>
    <w:rsid w:val="005372A2"/>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17E3"/>
    <w:rsid w:val="005B3814"/>
    <w:rsid w:val="005B463E"/>
    <w:rsid w:val="005C34E1"/>
    <w:rsid w:val="005C3FE0"/>
    <w:rsid w:val="005C740C"/>
    <w:rsid w:val="005D51C5"/>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708B"/>
    <w:rsid w:val="006610E9"/>
    <w:rsid w:val="00661591"/>
    <w:rsid w:val="0066632F"/>
    <w:rsid w:val="00666D72"/>
    <w:rsid w:val="00672A39"/>
    <w:rsid w:val="00674A89"/>
    <w:rsid w:val="00674F3D"/>
    <w:rsid w:val="006841B5"/>
    <w:rsid w:val="00685545"/>
    <w:rsid w:val="006864B3"/>
    <w:rsid w:val="00692D64"/>
    <w:rsid w:val="006A10F8"/>
    <w:rsid w:val="006A15A5"/>
    <w:rsid w:val="006A2100"/>
    <w:rsid w:val="006A5C3B"/>
    <w:rsid w:val="006A72E0"/>
    <w:rsid w:val="006B0BF3"/>
    <w:rsid w:val="006B4233"/>
    <w:rsid w:val="006B775E"/>
    <w:rsid w:val="006B7BC7"/>
    <w:rsid w:val="006C04DB"/>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4F12"/>
    <w:rsid w:val="00715237"/>
    <w:rsid w:val="007239A1"/>
    <w:rsid w:val="007254A5"/>
    <w:rsid w:val="007255FC"/>
    <w:rsid w:val="00725748"/>
    <w:rsid w:val="00730A3C"/>
    <w:rsid w:val="00735D88"/>
    <w:rsid w:val="0073720D"/>
    <w:rsid w:val="00737507"/>
    <w:rsid w:val="00740712"/>
    <w:rsid w:val="007426AA"/>
    <w:rsid w:val="00742AB9"/>
    <w:rsid w:val="00751A6A"/>
    <w:rsid w:val="00754FBF"/>
    <w:rsid w:val="007709EF"/>
    <w:rsid w:val="007727C5"/>
    <w:rsid w:val="00783559"/>
    <w:rsid w:val="0079551B"/>
    <w:rsid w:val="00797AA5"/>
    <w:rsid w:val="007A26BD"/>
    <w:rsid w:val="007A4105"/>
    <w:rsid w:val="007B4503"/>
    <w:rsid w:val="007C406E"/>
    <w:rsid w:val="007C5183"/>
    <w:rsid w:val="007C7573"/>
    <w:rsid w:val="007E2B20"/>
    <w:rsid w:val="007E2B88"/>
    <w:rsid w:val="007F5331"/>
    <w:rsid w:val="00800B49"/>
    <w:rsid w:val="00800CCA"/>
    <w:rsid w:val="00806120"/>
    <w:rsid w:val="00810C93"/>
    <w:rsid w:val="00812028"/>
    <w:rsid w:val="00812DD8"/>
    <w:rsid w:val="00812E54"/>
    <w:rsid w:val="00813082"/>
    <w:rsid w:val="008131C3"/>
    <w:rsid w:val="00814D03"/>
    <w:rsid w:val="00821FC1"/>
    <w:rsid w:val="00823AE2"/>
    <w:rsid w:val="0083178B"/>
    <w:rsid w:val="00833695"/>
    <w:rsid w:val="008336B7"/>
    <w:rsid w:val="00833A8E"/>
    <w:rsid w:val="00842A6E"/>
    <w:rsid w:val="00842CD8"/>
    <w:rsid w:val="008431FA"/>
    <w:rsid w:val="00846BAA"/>
    <w:rsid w:val="00847444"/>
    <w:rsid w:val="008528B8"/>
    <w:rsid w:val="008547BA"/>
    <w:rsid w:val="008553C7"/>
    <w:rsid w:val="00857FEB"/>
    <w:rsid w:val="008601AF"/>
    <w:rsid w:val="00872271"/>
    <w:rsid w:val="00876124"/>
    <w:rsid w:val="00883137"/>
    <w:rsid w:val="008A1F5D"/>
    <w:rsid w:val="008A28F5"/>
    <w:rsid w:val="008B1198"/>
    <w:rsid w:val="008B3471"/>
    <w:rsid w:val="008B3929"/>
    <w:rsid w:val="008B39CE"/>
    <w:rsid w:val="008B4125"/>
    <w:rsid w:val="008B4CB3"/>
    <w:rsid w:val="008B567B"/>
    <w:rsid w:val="008B7B24"/>
    <w:rsid w:val="008C1E5B"/>
    <w:rsid w:val="008C29E3"/>
    <w:rsid w:val="008C356D"/>
    <w:rsid w:val="008D2CF5"/>
    <w:rsid w:val="008E0B3F"/>
    <w:rsid w:val="008E49AD"/>
    <w:rsid w:val="008E51E7"/>
    <w:rsid w:val="008E698E"/>
    <w:rsid w:val="008F2584"/>
    <w:rsid w:val="008F3246"/>
    <w:rsid w:val="008F3C1B"/>
    <w:rsid w:val="008F508C"/>
    <w:rsid w:val="0090271B"/>
    <w:rsid w:val="00910642"/>
    <w:rsid w:val="00910DDF"/>
    <w:rsid w:val="009143D7"/>
    <w:rsid w:val="00930B13"/>
    <w:rsid w:val="009311C8"/>
    <w:rsid w:val="00933376"/>
    <w:rsid w:val="00933A2F"/>
    <w:rsid w:val="00933C5D"/>
    <w:rsid w:val="00954DD5"/>
    <w:rsid w:val="009716D8"/>
    <w:rsid w:val="009718F9"/>
    <w:rsid w:val="00972FB9"/>
    <w:rsid w:val="00975112"/>
    <w:rsid w:val="00981768"/>
    <w:rsid w:val="00983E8F"/>
    <w:rsid w:val="0098788A"/>
    <w:rsid w:val="00994FDA"/>
    <w:rsid w:val="009A103F"/>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6261"/>
    <w:rsid w:val="00A30E68"/>
    <w:rsid w:val="00A31933"/>
    <w:rsid w:val="00A329D2"/>
    <w:rsid w:val="00A34AA0"/>
    <w:rsid w:val="00A3715C"/>
    <w:rsid w:val="00A41FE2"/>
    <w:rsid w:val="00A452B0"/>
    <w:rsid w:val="00A46FEF"/>
    <w:rsid w:val="00A47948"/>
    <w:rsid w:val="00A50CF6"/>
    <w:rsid w:val="00A56946"/>
    <w:rsid w:val="00A6170E"/>
    <w:rsid w:val="00A63B8C"/>
    <w:rsid w:val="00A6737E"/>
    <w:rsid w:val="00A715F8"/>
    <w:rsid w:val="00A7196E"/>
    <w:rsid w:val="00A75525"/>
    <w:rsid w:val="00A77F6F"/>
    <w:rsid w:val="00A831FD"/>
    <w:rsid w:val="00A83352"/>
    <w:rsid w:val="00A850A2"/>
    <w:rsid w:val="00A91FA3"/>
    <w:rsid w:val="00A927D3"/>
    <w:rsid w:val="00AA7FC9"/>
    <w:rsid w:val="00AB237D"/>
    <w:rsid w:val="00AB5933"/>
    <w:rsid w:val="00AC73B4"/>
    <w:rsid w:val="00AD01E4"/>
    <w:rsid w:val="00AE013D"/>
    <w:rsid w:val="00AE11B7"/>
    <w:rsid w:val="00AE7F68"/>
    <w:rsid w:val="00AF2321"/>
    <w:rsid w:val="00AF52F6"/>
    <w:rsid w:val="00AF52FD"/>
    <w:rsid w:val="00AF54A8"/>
    <w:rsid w:val="00AF7237"/>
    <w:rsid w:val="00B0043A"/>
    <w:rsid w:val="00B00D75"/>
    <w:rsid w:val="00B06A11"/>
    <w:rsid w:val="00B070CB"/>
    <w:rsid w:val="00B07E2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0B6B"/>
    <w:rsid w:val="00C217E1"/>
    <w:rsid w:val="00C219B1"/>
    <w:rsid w:val="00C4015B"/>
    <w:rsid w:val="00C40C60"/>
    <w:rsid w:val="00C5258E"/>
    <w:rsid w:val="00C530C9"/>
    <w:rsid w:val="00C619A7"/>
    <w:rsid w:val="00C73D5F"/>
    <w:rsid w:val="00C8584E"/>
    <w:rsid w:val="00C93108"/>
    <w:rsid w:val="00C97C80"/>
    <w:rsid w:val="00CA1B03"/>
    <w:rsid w:val="00CA47D3"/>
    <w:rsid w:val="00CA6533"/>
    <w:rsid w:val="00CA6A25"/>
    <w:rsid w:val="00CA6A3F"/>
    <w:rsid w:val="00CA7C99"/>
    <w:rsid w:val="00CC6290"/>
    <w:rsid w:val="00CC7BA8"/>
    <w:rsid w:val="00CD233D"/>
    <w:rsid w:val="00CD362D"/>
    <w:rsid w:val="00CE101D"/>
    <w:rsid w:val="00CE1814"/>
    <w:rsid w:val="00CE1C84"/>
    <w:rsid w:val="00CE3FB5"/>
    <w:rsid w:val="00CE5055"/>
    <w:rsid w:val="00CF053F"/>
    <w:rsid w:val="00CF1A17"/>
    <w:rsid w:val="00D0029F"/>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237C"/>
    <w:rsid w:val="00D72D19"/>
    <w:rsid w:val="00D73070"/>
    <w:rsid w:val="00D75078"/>
    <w:rsid w:val="00D77870"/>
    <w:rsid w:val="00D80977"/>
    <w:rsid w:val="00D80CCE"/>
    <w:rsid w:val="00D86EEA"/>
    <w:rsid w:val="00D86F49"/>
    <w:rsid w:val="00D87D03"/>
    <w:rsid w:val="00D95C88"/>
    <w:rsid w:val="00D97B2E"/>
    <w:rsid w:val="00DA1FAE"/>
    <w:rsid w:val="00DA241E"/>
    <w:rsid w:val="00DB36FE"/>
    <w:rsid w:val="00DB4F4E"/>
    <w:rsid w:val="00DB533A"/>
    <w:rsid w:val="00DB6307"/>
    <w:rsid w:val="00DD1DCD"/>
    <w:rsid w:val="00DD338F"/>
    <w:rsid w:val="00DD66F2"/>
    <w:rsid w:val="00DE35B7"/>
    <w:rsid w:val="00DE3FE0"/>
    <w:rsid w:val="00DE578A"/>
    <w:rsid w:val="00DE62C9"/>
    <w:rsid w:val="00DF2583"/>
    <w:rsid w:val="00DF54D9"/>
    <w:rsid w:val="00DF7283"/>
    <w:rsid w:val="00E01945"/>
    <w:rsid w:val="00E01A59"/>
    <w:rsid w:val="00E10DC6"/>
    <w:rsid w:val="00E11F8E"/>
    <w:rsid w:val="00E13AB5"/>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5DC2"/>
    <w:rsid w:val="00E876B9"/>
    <w:rsid w:val="00EC0DFF"/>
    <w:rsid w:val="00EC237D"/>
    <w:rsid w:val="00EC2473"/>
    <w:rsid w:val="00EC4D0E"/>
    <w:rsid w:val="00EC4E2B"/>
    <w:rsid w:val="00EC58D9"/>
    <w:rsid w:val="00ED003A"/>
    <w:rsid w:val="00ED072A"/>
    <w:rsid w:val="00ED539E"/>
    <w:rsid w:val="00ED62CF"/>
    <w:rsid w:val="00EE4A1F"/>
    <w:rsid w:val="00EE4C2D"/>
    <w:rsid w:val="00EF1B5A"/>
    <w:rsid w:val="00EF24FB"/>
    <w:rsid w:val="00EF2CCA"/>
    <w:rsid w:val="00EF46F0"/>
    <w:rsid w:val="00EF495B"/>
    <w:rsid w:val="00EF60DC"/>
    <w:rsid w:val="00F00F54"/>
    <w:rsid w:val="00F03963"/>
    <w:rsid w:val="00F109AC"/>
    <w:rsid w:val="00F11068"/>
    <w:rsid w:val="00F1256D"/>
    <w:rsid w:val="00F13A4E"/>
    <w:rsid w:val="00F172BB"/>
    <w:rsid w:val="00F17B10"/>
    <w:rsid w:val="00F21107"/>
    <w:rsid w:val="00F21BEF"/>
    <w:rsid w:val="00F2315B"/>
    <w:rsid w:val="00F26322"/>
    <w:rsid w:val="00F30820"/>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0F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2FD12"/>
  <w15:docId w15:val="{1BEB68BF-B1B4-4919-A88C-5C8D1EF8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C11A4"/>
    <w:rPr>
      <w:vertAlign w:val="superscript"/>
    </w:rPr>
  </w:style>
  <w:style w:type="paragraph" w:customStyle="1" w:styleId="pf0">
    <w:name w:val="pf0"/>
    <w:basedOn w:val="Standaard"/>
    <w:rsid w:val="00800B49"/>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800B49"/>
    <w:rPr>
      <w:rFonts w:ascii="Segoe UI" w:hAnsi="Segoe UI" w:cs="Segoe UI" w:hint="default"/>
      <w:sz w:val="18"/>
      <w:szCs w:val="18"/>
    </w:rPr>
  </w:style>
  <w:style w:type="paragraph" w:styleId="Revisie">
    <w:name w:val="Revision"/>
    <w:hidden/>
    <w:uiPriority w:val="99"/>
    <w:semiHidden/>
    <w:rsid w:val="00DE62C9"/>
    <w:rPr>
      <w:rFonts w:ascii="Verdana" w:hAnsi="Verdana"/>
      <w:sz w:val="18"/>
      <w:szCs w:val="24"/>
      <w:lang w:val="nl-NL" w:eastAsia="nl-NL"/>
    </w:rPr>
  </w:style>
  <w:style w:type="character" w:styleId="Verwijzingopmerking">
    <w:name w:val="annotation reference"/>
    <w:basedOn w:val="Standaardalinea-lettertype"/>
    <w:semiHidden/>
    <w:unhideWhenUsed/>
    <w:rsid w:val="00714F12"/>
    <w:rPr>
      <w:sz w:val="16"/>
      <w:szCs w:val="16"/>
    </w:rPr>
  </w:style>
  <w:style w:type="paragraph" w:styleId="Tekstopmerking">
    <w:name w:val="annotation text"/>
    <w:basedOn w:val="Standaard"/>
    <w:link w:val="TekstopmerkingChar"/>
    <w:unhideWhenUsed/>
    <w:rsid w:val="00714F12"/>
    <w:pPr>
      <w:spacing w:line="240" w:lineRule="auto"/>
    </w:pPr>
    <w:rPr>
      <w:sz w:val="20"/>
      <w:szCs w:val="20"/>
    </w:rPr>
  </w:style>
  <w:style w:type="character" w:customStyle="1" w:styleId="TekstopmerkingChar">
    <w:name w:val="Tekst opmerking Char"/>
    <w:basedOn w:val="Standaardalinea-lettertype"/>
    <w:link w:val="Tekstopmerking"/>
    <w:rsid w:val="00714F1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14F12"/>
    <w:rPr>
      <w:b/>
      <w:bCs/>
    </w:rPr>
  </w:style>
  <w:style w:type="character" w:customStyle="1" w:styleId="OnderwerpvanopmerkingChar">
    <w:name w:val="Onderwerp van opmerking Char"/>
    <w:basedOn w:val="TekstopmerkingChar"/>
    <w:link w:val="Onderwerpvanopmerking"/>
    <w:semiHidden/>
    <w:rsid w:val="00714F1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3594">
      <w:bodyDiv w:val="1"/>
      <w:marLeft w:val="0"/>
      <w:marRight w:val="0"/>
      <w:marTop w:val="0"/>
      <w:marBottom w:val="0"/>
      <w:divBdr>
        <w:top w:val="none" w:sz="0" w:space="0" w:color="auto"/>
        <w:left w:val="none" w:sz="0" w:space="0" w:color="auto"/>
        <w:bottom w:val="none" w:sz="0" w:space="0" w:color="auto"/>
        <w:right w:val="none" w:sz="0" w:space="0" w:color="auto"/>
      </w:divBdr>
    </w:div>
    <w:div w:id="161941187">
      <w:bodyDiv w:val="1"/>
      <w:marLeft w:val="0"/>
      <w:marRight w:val="0"/>
      <w:marTop w:val="0"/>
      <w:marBottom w:val="0"/>
      <w:divBdr>
        <w:top w:val="none" w:sz="0" w:space="0" w:color="auto"/>
        <w:left w:val="none" w:sz="0" w:space="0" w:color="auto"/>
        <w:bottom w:val="none" w:sz="0" w:space="0" w:color="auto"/>
        <w:right w:val="none" w:sz="0" w:space="0" w:color="auto"/>
      </w:divBdr>
    </w:div>
    <w:div w:id="415513765">
      <w:bodyDiv w:val="1"/>
      <w:marLeft w:val="0"/>
      <w:marRight w:val="0"/>
      <w:marTop w:val="0"/>
      <w:marBottom w:val="0"/>
      <w:divBdr>
        <w:top w:val="none" w:sz="0" w:space="0" w:color="auto"/>
        <w:left w:val="none" w:sz="0" w:space="0" w:color="auto"/>
        <w:bottom w:val="none" w:sz="0" w:space="0" w:color="auto"/>
        <w:right w:val="none" w:sz="0" w:space="0" w:color="auto"/>
      </w:divBdr>
    </w:div>
    <w:div w:id="421874339">
      <w:bodyDiv w:val="1"/>
      <w:marLeft w:val="0"/>
      <w:marRight w:val="0"/>
      <w:marTop w:val="0"/>
      <w:marBottom w:val="0"/>
      <w:divBdr>
        <w:top w:val="none" w:sz="0" w:space="0" w:color="auto"/>
        <w:left w:val="none" w:sz="0" w:space="0" w:color="auto"/>
        <w:bottom w:val="none" w:sz="0" w:space="0" w:color="auto"/>
        <w:right w:val="none" w:sz="0" w:space="0" w:color="auto"/>
      </w:divBdr>
    </w:div>
    <w:div w:id="433788346">
      <w:bodyDiv w:val="1"/>
      <w:marLeft w:val="0"/>
      <w:marRight w:val="0"/>
      <w:marTop w:val="0"/>
      <w:marBottom w:val="0"/>
      <w:divBdr>
        <w:top w:val="none" w:sz="0" w:space="0" w:color="auto"/>
        <w:left w:val="none" w:sz="0" w:space="0" w:color="auto"/>
        <w:bottom w:val="none" w:sz="0" w:space="0" w:color="auto"/>
        <w:right w:val="none" w:sz="0" w:space="0" w:color="auto"/>
      </w:divBdr>
    </w:div>
    <w:div w:id="766190171">
      <w:bodyDiv w:val="1"/>
      <w:marLeft w:val="0"/>
      <w:marRight w:val="0"/>
      <w:marTop w:val="0"/>
      <w:marBottom w:val="0"/>
      <w:divBdr>
        <w:top w:val="none" w:sz="0" w:space="0" w:color="auto"/>
        <w:left w:val="none" w:sz="0" w:space="0" w:color="auto"/>
        <w:bottom w:val="none" w:sz="0" w:space="0" w:color="auto"/>
        <w:right w:val="none" w:sz="0" w:space="0" w:color="auto"/>
      </w:divBdr>
    </w:div>
    <w:div w:id="932322297">
      <w:bodyDiv w:val="1"/>
      <w:marLeft w:val="0"/>
      <w:marRight w:val="0"/>
      <w:marTop w:val="0"/>
      <w:marBottom w:val="0"/>
      <w:divBdr>
        <w:top w:val="none" w:sz="0" w:space="0" w:color="auto"/>
        <w:left w:val="none" w:sz="0" w:space="0" w:color="auto"/>
        <w:bottom w:val="none" w:sz="0" w:space="0" w:color="auto"/>
        <w:right w:val="none" w:sz="0" w:space="0" w:color="auto"/>
      </w:divBdr>
    </w:div>
    <w:div w:id="1309436481">
      <w:bodyDiv w:val="1"/>
      <w:marLeft w:val="0"/>
      <w:marRight w:val="0"/>
      <w:marTop w:val="0"/>
      <w:marBottom w:val="0"/>
      <w:divBdr>
        <w:top w:val="none" w:sz="0" w:space="0" w:color="auto"/>
        <w:left w:val="none" w:sz="0" w:space="0" w:color="auto"/>
        <w:bottom w:val="none" w:sz="0" w:space="0" w:color="auto"/>
        <w:right w:val="none" w:sz="0" w:space="0" w:color="auto"/>
      </w:divBdr>
    </w:div>
    <w:div w:id="1552614750">
      <w:bodyDiv w:val="1"/>
      <w:marLeft w:val="0"/>
      <w:marRight w:val="0"/>
      <w:marTop w:val="0"/>
      <w:marBottom w:val="0"/>
      <w:divBdr>
        <w:top w:val="none" w:sz="0" w:space="0" w:color="auto"/>
        <w:left w:val="none" w:sz="0" w:space="0" w:color="auto"/>
        <w:bottom w:val="none" w:sz="0" w:space="0" w:color="auto"/>
        <w:right w:val="none" w:sz="0" w:space="0" w:color="auto"/>
      </w:divBdr>
    </w:div>
    <w:div w:id="1763454784">
      <w:bodyDiv w:val="1"/>
      <w:marLeft w:val="0"/>
      <w:marRight w:val="0"/>
      <w:marTop w:val="0"/>
      <w:marBottom w:val="0"/>
      <w:divBdr>
        <w:top w:val="none" w:sz="0" w:space="0" w:color="auto"/>
        <w:left w:val="none" w:sz="0" w:space="0" w:color="auto"/>
        <w:bottom w:val="none" w:sz="0" w:space="0" w:color="auto"/>
        <w:right w:val="none" w:sz="0" w:space="0" w:color="auto"/>
      </w:divBdr>
    </w:div>
    <w:div w:id="1794015001">
      <w:bodyDiv w:val="1"/>
      <w:marLeft w:val="0"/>
      <w:marRight w:val="0"/>
      <w:marTop w:val="0"/>
      <w:marBottom w:val="0"/>
      <w:divBdr>
        <w:top w:val="none" w:sz="0" w:space="0" w:color="auto"/>
        <w:left w:val="none" w:sz="0" w:space="0" w:color="auto"/>
        <w:bottom w:val="none" w:sz="0" w:space="0" w:color="auto"/>
        <w:right w:val="none" w:sz="0" w:space="0" w:color="auto"/>
      </w:divBdr>
    </w:div>
    <w:div w:id="18043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975</ap:Words>
  <ap:Characters>6184</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2024-09-25T09:15:00.0000000Z</dcterms:created>
  <dcterms:modified xsi:type="dcterms:W3CDTF">2024-10-03T12:07:00.0000000Z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ThioJ</vt:lpwstr>
  </property>
  <property fmtid="{D5CDD505-2E9C-101B-9397-08002B2CF9AE}" pid="3" name="AUTHOR_ID">
    <vt:lpwstr>ThioJ</vt:lpwstr>
  </property>
  <property fmtid="{D5CDD505-2E9C-101B-9397-08002B2CF9AE}" pid="4" name="A_ADRES">
    <vt:lpwstr>Voorzitter van de Tweede Kamer der Staten-Generaal
Postbus 20018
2500 EA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Evaluatierapport Subsidiemodule Agrarische Bedrijfsadvisering en Educatie (SABE) 2020-2023</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ThioJ</vt:lpwstr>
  </property>
</Properties>
</file>