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16" w:rsidRDefault="00547316" w14:paraId="0D129E73" w14:textId="77777777">
      <w:pPr>
        <w:pStyle w:val="WitregelW1bodytekst"/>
      </w:pPr>
      <w:bookmarkStart w:name="_GoBack" w:id="0"/>
      <w:bookmarkEnd w:id="0"/>
    </w:p>
    <w:p w:rsidR="0072536E" w:rsidP="0072536E" w:rsidRDefault="0072536E" w14:paraId="1119D3CD" w14:textId="77777777"/>
    <w:p w:rsidR="0072536E" w:rsidP="0072536E" w:rsidRDefault="0072536E" w14:paraId="041EBD03" w14:textId="77777777"/>
    <w:p w:rsidR="0072536E" w:rsidP="0072536E" w:rsidRDefault="0072536E" w14:paraId="5380A79C" w14:textId="77777777"/>
    <w:p w:rsidR="0072536E" w:rsidP="0072536E" w:rsidRDefault="0072536E" w14:paraId="7EFDF415" w14:textId="77777777"/>
    <w:p w:rsidR="0072536E" w:rsidP="0072536E" w:rsidRDefault="0072536E" w14:paraId="153BB4AE" w14:textId="77777777"/>
    <w:p w:rsidR="0072536E" w:rsidP="0072536E" w:rsidRDefault="0072536E" w14:paraId="4565739C" w14:textId="77777777"/>
    <w:p w:rsidRPr="0072536E" w:rsidR="0072536E" w:rsidP="0072536E" w:rsidRDefault="0072536E" w14:paraId="5751212A" w14:textId="2E8F2AB0">
      <w:pPr>
        <w:rPr>
          <w:b/>
          <w:bCs/>
          <w:sz w:val="20"/>
          <w:szCs w:val="20"/>
        </w:rPr>
      </w:pPr>
      <w:r w:rsidRPr="0072536E">
        <w:rPr>
          <w:b/>
          <w:bCs/>
          <w:sz w:val="20"/>
          <w:szCs w:val="20"/>
        </w:rPr>
        <w:t xml:space="preserve">Minister van Justitie en Veiligheid </w:t>
      </w:r>
    </w:p>
    <w:p w:rsidR="0072536E" w:rsidP="0072536E" w:rsidRDefault="0072536E" w14:paraId="1A595190" w14:textId="77777777"/>
    <w:tbl>
      <w:tblPr>
        <w:tblStyle w:val="Kader"/>
        <w:tblW w:w="13320" w:type="dxa"/>
        <w:tblInd w:w="-5" w:type="dxa"/>
        <w:tblLook w:val="04A0" w:firstRow="1" w:lastRow="0" w:firstColumn="1" w:lastColumn="0" w:noHBand="0" w:noVBand="1"/>
      </w:tblPr>
      <w:tblGrid>
        <w:gridCol w:w="13320"/>
      </w:tblGrid>
      <w:tr w:rsidRPr="0072536E" w:rsidR="00AA6926" w:rsidTr="00AA6926" w14:paraId="47887D5E" w14:textId="77777777">
        <w:trPr>
          <w:trHeight w:val="315"/>
        </w:trPr>
        <w:tc>
          <w:tcPr>
            <w:tcW w:w="13320" w:type="dxa"/>
            <w:hideMark/>
          </w:tcPr>
          <w:p w:rsidRPr="0072536E" w:rsidR="00AA6926" w:rsidP="0072536E" w:rsidRDefault="00AA6926" w14:paraId="77746661" w14:textId="77777777">
            <w:pPr>
              <w:autoSpaceDN/>
              <w:spacing w:line="240" w:lineRule="auto"/>
              <w:textAlignment w:val="auto"/>
              <w:rPr>
                <w:rFonts w:eastAsia="Times New Roman" w:cs="Calibri"/>
              </w:rPr>
            </w:pPr>
            <w:r w:rsidRPr="0072536E">
              <w:rPr>
                <w:rFonts w:eastAsia="Times New Roman" w:cs="Calibri"/>
              </w:rPr>
              <w:t>Wet grondslag verwerking bijzondere en strafrechtelijke persoonsgegevens Nationaal rapporteur mensenhandel</w:t>
            </w:r>
          </w:p>
        </w:tc>
      </w:tr>
      <w:tr w:rsidRPr="0072536E" w:rsidR="00AA6926" w:rsidTr="00AA6926" w14:paraId="02D4DC24" w14:textId="77777777">
        <w:trPr>
          <w:trHeight w:val="315"/>
        </w:trPr>
        <w:tc>
          <w:tcPr>
            <w:tcW w:w="13320" w:type="dxa"/>
            <w:hideMark/>
          </w:tcPr>
          <w:p w:rsidRPr="0072536E" w:rsidR="00AA6926" w:rsidP="0072536E" w:rsidRDefault="00AA6926" w14:paraId="227BCF85" w14:textId="77777777">
            <w:pPr>
              <w:autoSpaceDN/>
              <w:spacing w:line="240" w:lineRule="auto"/>
              <w:textAlignment w:val="auto"/>
              <w:rPr>
                <w:rFonts w:eastAsia="Times New Roman" w:cs="Calibri"/>
              </w:rPr>
            </w:pPr>
            <w:r w:rsidRPr="0072536E">
              <w:rPr>
                <w:rFonts w:eastAsia="Times New Roman" w:cs="Calibri"/>
              </w:rPr>
              <w:t>Cyberbeveiligingswet</w:t>
            </w:r>
          </w:p>
        </w:tc>
      </w:tr>
      <w:tr w:rsidRPr="0072536E" w:rsidR="00AA6926" w:rsidTr="00AA6926" w14:paraId="551BC670" w14:textId="77777777">
        <w:trPr>
          <w:trHeight w:val="315"/>
        </w:trPr>
        <w:tc>
          <w:tcPr>
            <w:tcW w:w="13320" w:type="dxa"/>
            <w:hideMark/>
          </w:tcPr>
          <w:p w:rsidRPr="0072536E" w:rsidR="00AA6926" w:rsidP="0072536E" w:rsidRDefault="00AA6926" w14:paraId="2173088D" w14:textId="77777777">
            <w:pPr>
              <w:autoSpaceDN/>
              <w:spacing w:line="240" w:lineRule="auto"/>
              <w:textAlignment w:val="auto"/>
              <w:rPr>
                <w:rFonts w:eastAsia="Times New Roman" w:cs="Calibri"/>
              </w:rPr>
            </w:pPr>
            <w:r w:rsidRPr="0072536E">
              <w:rPr>
                <w:rFonts w:eastAsia="Times New Roman" w:cs="Calibri"/>
              </w:rPr>
              <w:t>Regels over zoekmiddelen bij urgente persoonsvermissingen waarbij geen sprake is van een verdenking van een strafbaar feit</w:t>
            </w:r>
          </w:p>
        </w:tc>
      </w:tr>
      <w:tr w:rsidRPr="0072536E" w:rsidR="00AA6926" w:rsidTr="00AA6926" w14:paraId="436D7D75" w14:textId="77777777">
        <w:trPr>
          <w:trHeight w:val="630"/>
        </w:trPr>
        <w:tc>
          <w:tcPr>
            <w:tcW w:w="13320" w:type="dxa"/>
            <w:hideMark/>
          </w:tcPr>
          <w:p w:rsidRPr="0072536E" w:rsidR="00AA6926" w:rsidP="0072536E" w:rsidRDefault="00AA6926" w14:paraId="6B3AA233" w14:textId="77777777">
            <w:pPr>
              <w:autoSpaceDN/>
              <w:spacing w:line="240" w:lineRule="auto"/>
              <w:textAlignment w:val="auto"/>
              <w:rPr>
                <w:rFonts w:eastAsia="Times New Roman" w:cs="Calibri"/>
              </w:rPr>
            </w:pPr>
            <w:r w:rsidRPr="0072536E">
              <w:rPr>
                <w:rFonts w:eastAsia="Times New Roman" w:cs="Calibri"/>
              </w:rPr>
              <w:t>Wijziging Wet wapens en munitie i.v.m. de invoering van een verbod op de verkoop van gebruiksmessen aan minderjarigen en het dragen daarvan in de openbare ruimte</w:t>
            </w:r>
          </w:p>
        </w:tc>
      </w:tr>
      <w:tr w:rsidRPr="0072536E" w:rsidR="00AA6926" w:rsidTr="00AA6926" w14:paraId="0EEF4D97" w14:textId="77777777">
        <w:trPr>
          <w:trHeight w:val="315"/>
        </w:trPr>
        <w:tc>
          <w:tcPr>
            <w:tcW w:w="13320" w:type="dxa"/>
            <w:hideMark/>
          </w:tcPr>
          <w:p w:rsidRPr="0072536E" w:rsidR="00AA6926" w:rsidP="0072536E" w:rsidRDefault="00AA6926" w14:paraId="7F3AD44B" w14:textId="77777777">
            <w:pPr>
              <w:autoSpaceDN/>
              <w:spacing w:line="240" w:lineRule="auto"/>
              <w:textAlignment w:val="auto"/>
              <w:rPr>
                <w:rFonts w:eastAsia="Times New Roman" w:cs="Calibri"/>
              </w:rPr>
            </w:pPr>
            <w:r w:rsidRPr="0072536E">
              <w:rPr>
                <w:rFonts w:eastAsia="Times New Roman" w:cs="Calibri"/>
              </w:rPr>
              <w:t>Wet weerbaarheid kritieke entiteiten</w:t>
            </w:r>
          </w:p>
        </w:tc>
      </w:tr>
      <w:tr w:rsidRPr="0072536E" w:rsidR="00AA6926" w:rsidTr="00AA6926" w14:paraId="66558595" w14:textId="77777777">
        <w:trPr>
          <w:trHeight w:val="315"/>
        </w:trPr>
        <w:tc>
          <w:tcPr>
            <w:tcW w:w="13320" w:type="dxa"/>
            <w:hideMark/>
          </w:tcPr>
          <w:p w:rsidRPr="0072536E" w:rsidR="00AA6926" w:rsidP="0072536E" w:rsidRDefault="00AA6926" w14:paraId="0F5FB954" w14:textId="77777777">
            <w:pPr>
              <w:autoSpaceDN/>
              <w:spacing w:line="240" w:lineRule="auto"/>
              <w:textAlignment w:val="auto"/>
              <w:rPr>
                <w:rFonts w:eastAsia="Times New Roman" w:cs="Calibri"/>
              </w:rPr>
            </w:pPr>
            <w:r w:rsidRPr="0072536E">
              <w:rPr>
                <w:rFonts w:eastAsia="Times New Roman" w:cs="Calibri"/>
              </w:rPr>
              <w:t>Wijziging van de Wet DNA-onderzoek bij veroordeelden en het Wetboek van Strafvordering</w:t>
            </w:r>
          </w:p>
        </w:tc>
      </w:tr>
      <w:tr w:rsidRPr="0072536E" w:rsidR="00AA6926" w:rsidTr="00AA6926" w14:paraId="56A4B87A" w14:textId="77777777">
        <w:trPr>
          <w:trHeight w:val="315"/>
        </w:trPr>
        <w:tc>
          <w:tcPr>
            <w:tcW w:w="13320" w:type="dxa"/>
            <w:hideMark/>
          </w:tcPr>
          <w:p w:rsidRPr="0072536E" w:rsidR="00AA6926" w:rsidP="0072536E" w:rsidRDefault="00AA6926" w14:paraId="6B6D2EAE" w14:textId="77777777">
            <w:pPr>
              <w:autoSpaceDN/>
              <w:spacing w:line="240" w:lineRule="auto"/>
              <w:textAlignment w:val="auto"/>
              <w:rPr>
                <w:rFonts w:eastAsia="Times New Roman" w:cs="Calibri"/>
              </w:rPr>
            </w:pPr>
            <w:r w:rsidRPr="0072536E">
              <w:rPr>
                <w:rFonts w:eastAsia="Times New Roman" w:cs="Calibri"/>
              </w:rPr>
              <w:t>Rijkswet goedkeuring Verdrag tussen het Koninkrijk der Nederlanden en het Koninkrijk Marokko betreffende uitlevering</w:t>
            </w:r>
          </w:p>
        </w:tc>
      </w:tr>
      <w:tr w:rsidRPr="0072536E" w:rsidR="00AA6926" w:rsidTr="00AA6926" w14:paraId="440596BC" w14:textId="77777777">
        <w:trPr>
          <w:trHeight w:val="315"/>
        </w:trPr>
        <w:tc>
          <w:tcPr>
            <w:tcW w:w="13320" w:type="dxa"/>
            <w:hideMark/>
          </w:tcPr>
          <w:p w:rsidRPr="0072536E" w:rsidR="00AA6926" w:rsidP="0072536E" w:rsidRDefault="00AA6926" w14:paraId="03D957AF" w14:textId="77777777">
            <w:pPr>
              <w:autoSpaceDN/>
              <w:spacing w:line="240" w:lineRule="auto"/>
              <w:textAlignment w:val="auto"/>
              <w:rPr>
                <w:rFonts w:eastAsia="Times New Roman" w:cs="Calibri"/>
              </w:rPr>
            </w:pPr>
            <w:r w:rsidRPr="0072536E">
              <w:rPr>
                <w:rFonts w:eastAsia="Times New Roman" w:cs="Calibri"/>
              </w:rPr>
              <w:t>Strafmaatverhoging grootschalige in- en uitvoer, grootschalige productie en grootschalig bezit van harddrugs</w:t>
            </w:r>
          </w:p>
        </w:tc>
      </w:tr>
      <w:tr w:rsidRPr="0072536E" w:rsidR="00AA6926" w:rsidTr="00AA6926" w14:paraId="41B77399" w14:textId="77777777">
        <w:trPr>
          <w:trHeight w:val="315"/>
        </w:trPr>
        <w:tc>
          <w:tcPr>
            <w:tcW w:w="13320" w:type="dxa"/>
            <w:hideMark/>
          </w:tcPr>
          <w:p w:rsidRPr="0072536E" w:rsidR="00AA6926" w:rsidP="0072536E" w:rsidRDefault="00AA6926" w14:paraId="043A0AA8" w14:textId="77777777">
            <w:pPr>
              <w:autoSpaceDN/>
              <w:spacing w:line="240" w:lineRule="auto"/>
              <w:textAlignment w:val="auto"/>
              <w:rPr>
                <w:rFonts w:eastAsia="Times New Roman" w:cs="Calibri"/>
              </w:rPr>
            </w:pPr>
            <w:r w:rsidRPr="0072536E">
              <w:rPr>
                <w:rFonts w:eastAsia="Times New Roman" w:cs="Calibri"/>
              </w:rPr>
              <w:t>Novelle strafbaarstelling verblijf terroristisch gebied</w:t>
            </w:r>
          </w:p>
        </w:tc>
      </w:tr>
      <w:tr w:rsidRPr="0072536E" w:rsidR="00AA6926" w:rsidTr="00AA6926" w14:paraId="158BFFCB" w14:textId="77777777">
        <w:trPr>
          <w:trHeight w:val="315"/>
        </w:trPr>
        <w:tc>
          <w:tcPr>
            <w:tcW w:w="13320" w:type="dxa"/>
            <w:hideMark/>
          </w:tcPr>
          <w:p w:rsidRPr="0072536E" w:rsidR="00AA6926" w:rsidP="0072536E" w:rsidRDefault="00AA6926" w14:paraId="1A85AEB4" w14:textId="77777777">
            <w:pPr>
              <w:autoSpaceDN/>
              <w:spacing w:line="240" w:lineRule="auto"/>
              <w:textAlignment w:val="auto"/>
              <w:rPr>
                <w:rFonts w:eastAsia="Times New Roman" w:cs="Calibri"/>
              </w:rPr>
            </w:pPr>
            <w:r w:rsidRPr="0072536E">
              <w:rPr>
                <w:rFonts w:eastAsia="Times New Roman" w:cs="Calibri"/>
              </w:rPr>
              <w:t>Verzamelwet Justitie en Veiligheid</w:t>
            </w:r>
          </w:p>
        </w:tc>
      </w:tr>
      <w:tr w:rsidRPr="0072536E" w:rsidR="00AA6926" w:rsidTr="00AA6926" w14:paraId="69310834" w14:textId="77777777">
        <w:trPr>
          <w:trHeight w:val="315"/>
        </w:trPr>
        <w:tc>
          <w:tcPr>
            <w:tcW w:w="13320" w:type="dxa"/>
            <w:hideMark/>
          </w:tcPr>
          <w:p w:rsidRPr="0072536E" w:rsidR="00AA6926" w:rsidP="0072536E" w:rsidRDefault="00AA6926" w14:paraId="66F53CF9" w14:textId="77777777">
            <w:pPr>
              <w:autoSpaceDN/>
              <w:spacing w:line="240" w:lineRule="auto"/>
              <w:textAlignment w:val="auto"/>
              <w:rPr>
                <w:rFonts w:eastAsia="Times New Roman" w:cs="Calibri"/>
              </w:rPr>
            </w:pPr>
            <w:r w:rsidRPr="0072536E">
              <w:rPr>
                <w:rFonts w:eastAsia="Times New Roman" w:cs="Calibri"/>
              </w:rPr>
              <w:t>Wet gemeentelijk toezicht seksbedrijven</w:t>
            </w:r>
          </w:p>
        </w:tc>
      </w:tr>
      <w:tr w:rsidRPr="0072536E" w:rsidR="00AA6926" w:rsidTr="00AA6926" w14:paraId="49704B8C" w14:textId="77777777">
        <w:trPr>
          <w:trHeight w:val="315"/>
        </w:trPr>
        <w:tc>
          <w:tcPr>
            <w:tcW w:w="13320" w:type="dxa"/>
            <w:hideMark/>
          </w:tcPr>
          <w:p w:rsidRPr="0072536E" w:rsidR="00AA6926" w:rsidP="0072536E" w:rsidRDefault="00AA6926" w14:paraId="458CE66A" w14:textId="77777777">
            <w:pPr>
              <w:autoSpaceDN/>
              <w:spacing w:line="240" w:lineRule="auto"/>
              <w:textAlignment w:val="auto"/>
              <w:rPr>
                <w:rFonts w:eastAsia="Times New Roman" w:cs="Calibri"/>
              </w:rPr>
            </w:pPr>
            <w:r w:rsidRPr="0072536E">
              <w:rPr>
                <w:rFonts w:eastAsia="Times New Roman" w:cs="Calibri"/>
              </w:rPr>
              <w:t>Wijziging Wetboek van Strafrecht i.v.m. strafverzwaring belediging</w:t>
            </w:r>
          </w:p>
        </w:tc>
      </w:tr>
      <w:tr w:rsidRPr="0072536E" w:rsidR="00AA6926" w:rsidTr="00AA6926" w14:paraId="27943AA9" w14:textId="77777777">
        <w:trPr>
          <w:trHeight w:val="315"/>
        </w:trPr>
        <w:tc>
          <w:tcPr>
            <w:tcW w:w="13320" w:type="dxa"/>
            <w:hideMark/>
          </w:tcPr>
          <w:p w:rsidRPr="0072536E" w:rsidR="00AA6926" w:rsidP="0072536E" w:rsidRDefault="00AA6926" w14:paraId="7FB04000" w14:textId="77777777">
            <w:pPr>
              <w:autoSpaceDN/>
              <w:spacing w:line="240" w:lineRule="auto"/>
              <w:textAlignment w:val="auto"/>
              <w:rPr>
                <w:rFonts w:eastAsia="Times New Roman" w:cs="Calibri"/>
              </w:rPr>
            </w:pPr>
            <w:r w:rsidRPr="0072536E">
              <w:rPr>
                <w:rFonts w:eastAsia="Times New Roman" w:cs="Calibri"/>
              </w:rPr>
              <w:t>Wijziging Wetboek van Strafrecht ter invoering van de alcoholmeter (36585)</w:t>
            </w:r>
          </w:p>
        </w:tc>
      </w:tr>
      <w:tr w:rsidRPr="0072536E" w:rsidR="00AA6926" w:rsidTr="00AA6926" w14:paraId="434E5780" w14:textId="77777777">
        <w:trPr>
          <w:trHeight w:val="315"/>
        </w:trPr>
        <w:tc>
          <w:tcPr>
            <w:tcW w:w="13320" w:type="dxa"/>
            <w:hideMark/>
          </w:tcPr>
          <w:p w:rsidRPr="0072536E" w:rsidR="00AA6926" w:rsidP="0072536E" w:rsidRDefault="00AA6926" w14:paraId="67159DA9" w14:textId="77777777">
            <w:pPr>
              <w:autoSpaceDN/>
              <w:spacing w:line="240" w:lineRule="auto"/>
              <w:textAlignment w:val="auto"/>
              <w:rPr>
                <w:rFonts w:eastAsia="Times New Roman" w:cs="Calibri"/>
              </w:rPr>
            </w:pPr>
            <w:r w:rsidRPr="0072536E">
              <w:rPr>
                <w:rFonts w:eastAsia="Times New Roman" w:cs="Calibri"/>
              </w:rPr>
              <w:t>Versterking strafrechtelijke aanpak ondermijnende criminaliteit II (relatieve competentie in megazaken (en die van het FP))</w:t>
            </w:r>
          </w:p>
        </w:tc>
      </w:tr>
      <w:tr w:rsidRPr="0072536E" w:rsidR="00AA6926" w:rsidTr="00AA6926" w14:paraId="7CE244CC" w14:textId="77777777">
        <w:trPr>
          <w:trHeight w:val="315"/>
        </w:trPr>
        <w:tc>
          <w:tcPr>
            <w:tcW w:w="13320" w:type="dxa"/>
            <w:hideMark/>
          </w:tcPr>
          <w:p w:rsidRPr="0072536E" w:rsidR="00AA6926" w:rsidP="0072536E" w:rsidRDefault="00AA6926" w14:paraId="512B1570" w14:textId="10D7117A">
            <w:pPr>
              <w:autoSpaceDN/>
              <w:spacing w:line="240" w:lineRule="auto"/>
              <w:textAlignment w:val="auto"/>
              <w:rPr>
                <w:rFonts w:eastAsia="Times New Roman" w:cs="Calibri"/>
              </w:rPr>
            </w:pPr>
            <w:r w:rsidRPr="0072536E">
              <w:rPr>
                <w:rFonts w:eastAsia="Times New Roman" w:cs="Calibri"/>
              </w:rPr>
              <w:lastRenderedPageBreak/>
              <w:t>Modernisering strafbaarstelling mensenhandel (artikel 273f Sr)</w:t>
            </w:r>
          </w:p>
        </w:tc>
      </w:tr>
      <w:tr w:rsidRPr="0072536E" w:rsidR="00AA6926" w:rsidTr="00AA6926" w14:paraId="3FB3388E" w14:textId="77777777">
        <w:trPr>
          <w:trHeight w:val="315"/>
        </w:trPr>
        <w:tc>
          <w:tcPr>
            <w:tcW w:w="13320" w:type="dxa"/>
            <w:hideMark/>
          </w:tcPr>
          <w:p w:rsidRPr="0072536E" w:rsidR="00AA6926" w:rsidP="0072536E" w:rsidRDefault="00AA6926" w14:paraId="46BC4516" w14:textId="77777777">
            <w:pPr>
              <w:autoSpaceDN/>
              <w:spacing w:line="240" w:lineRule="auto"/>
              <w:textAlignment w:val="auto"/>
              <w:rPr>
                <w:rFonts w:eastAsia="Times New Roman" w:cs="Calibri"/>
              </w:rPr>
            </w:pPr>
            <w:r w:rsidRPr="0072536E">
              <w:rPr>
                <w:rFonts w:eastAsia="Times New Roman" w:cs="Calibri"/>
              </w:rPr>
              <w:t>Wet regulering sekswerk</w:t>
            </w:r>
          </w:p>
        </w:tc>
      </w:tr>
      <w:tr w:rsidRPr="0072536E" w:rsidR="00AA6926" w:rsidTr="00AA6926" w14:paraId="10EDEA6D" w14:textId="77777777">
        <w:trPr>
          <w:trHeight w:val="630"/>
        </w:trPr>
        <w:tc>
          <w:tcPr>
            <w:tcW w:w="13320" w:type="dxa"/>
            <w:hideMark/>
          </w:tcPr>
          <w:p w:rsidRPr="0072536E" w:rsidR="00AA6926" w:rsidP="0072536E" w:rsidRDefault="00AA6926" w14:paraId="23445E99" w14:textId="77777777">
            <w:pPr>
              <w:autoSpaceDN/>
              <w:spacing w:line="240" w:lineRule="auto"/>
              <w:textAlignment w:val="auto"/>
              <w:rPr>
                <w:rFonts w:eastAsia="Times New Roman" w:cs="Calibri"/>
              </w:rPr>
            </w:pPr>
            <w:r w:rsidRPr="0072536E">
              <w:rPr>
                <w:rFonts w:eastAsia="Times New Roman" w:cs="Calibri"/>
              </w:rPr>
              <w:t>Wijziging Opiumwet 1960 BES i.v.m. de invoering van de bevoegdheid voor het lokaal gezag van de openbare lichamen Bonaire, Sint Eustatius en Saba tot de oplegging van een last onder bestuursdwang ten aanzien van drugspanden</w:t>
            </w:r>
          </w:p>
        </w:tc>
      </w:tr>
      <w:tr w:rsidRPr="0072536E" w:rsidR="00AA6926" w:rsidTr="00AA6926" w14:paraId="4866B699" w14:textId="77777777">
        <w:trPr>
          <w:trHeight w:val="315"/>
        </w:trPr>
        <w:tc>
          <w:tcPr>
            <w:tcW w:w="13320" w:type="dxa"/>
            <w:hideMark/>
          </w:tcPr>
          <w:p w:rsidRPr="0072536E" w:rsidR="00AA6926" w:rsidP="0072536E" w:rsidRDefault="00AA6926" w14:paraId="4D80270B" w14:textId="77777777">
            <w:pPr>
              <w:autoSpaceDN/>
              <w:spacing w:line="240" w:lineRule="auto"/>
              <w:textAlignment w:val="auto"/>
              <w:rPr>
                <w:rFonts w:eastAsia="Times New Roman" w:cs="Calibri"/>
              </w:rPr>
            </w:pPr>
            <w:r w:rsidRPr="0072536E">
              <w:rPr>
                <w:rFonts w:eastAsia="Times New Roman" w:cs="Calibri"/>
              </w:rPr>
              <w:t>Wijziging Politiewet 2012 i.v.m. regels over de bewapening en uitrusting van buitengewoon opsporingsambtenaren</w:t>
            </w:r>
          </w:p>
        </w:tc>
      </w:tr>
      <w:tr w:rsidRPr="0072536E" w:rsidR="00AA6926" w:rsidTr="00AA6926" w14:paraId="51D4F19D" w14:textId="77777777">
        <w:trPr>
          <w:trHeight w:val="315"/>
        </w:trPr>
        <w:tc>
          <w:tcPr>
            <w:tcW w:w="13320" w:type="dxa"/>
            <w:hideMark/>
          </w:tcPr>
          <w:p w:rsidRPr="0072536E" w:rsidR="00AA6926" w:rsidP="0072536E" w:rsidRDefault="00AA6926" w14:paraId="3F699DBB" w14:textId="77777777">
            <w:pPr>
              <w:autoSpaceDN/>
              <w:spacing w:line="240" w:lineRule="auto"/>
              <w:textAlignment w:val="auto"/>
              <w:rPr>
                <w:rFonts w:eastAsia="Times New Roman" w:cs="Calibri"/>
              </w:rPr>
            </w:pPr>
            <w:r w:rsidRPr="0072536E">
              <w:rPr>
                <w:rFonts w:eastAsia="Times New Roman" w:cs="Calibri"/>
              </w:rPr>
              <w:t>Wetsvoorstel verbetering aanpak rijden onder invloed</w:t>
            </w:r>
          </w:p>
        </w:tc>
      </w:tr>
      <w:tr w:rsidRPr="0072536E" w:rsidR="00AA6926" w:rsidTr="00AA6926" w14:paraId="6D8F6F77" w14:textId="77777777">
        <w:trPr>
          <w:trHeight w:val="315"/>
        </w:trPr>
        <w:tc>
          <w:tcPr>
            <w:tcW w:w="13320" w:type="dxa"/>
            <w:hideMark/>
          </w:tcPr>
          <w:p w:rsidRPr="0072536E" w:rsidR="00AA6926" w:rsidP="0072536E" w:rsidRDefault="00AA6926" w14:paraId="24084D6F" w14:textId="77777777">
            <w:pPr>
              <w:autoSpaceDN/>
              <w:spacing w:line="240" w:lineRule="auto"/>
              <w:textAlignment w:val="auto"/>
              <w:rPr>
                <w:rFonts w:eastAsia="Times New Roman" w:cs="Calibri"/>
              </w:rPr>
            </w:pPr>
            <w:r w:rsidRPr="0072536E">
              <w:rPr>
                <w:rFonts w:eastAsia="Times New Roman" w:cs="Calibri"/>
              </w:rPr>
              <w:t>Strafmaatverhoging deelname aan een terroristische organisatie</w:t>
            </w:r>
          </w:p>
        </w:tc>
      </w:tr>
      <w:tr w:rsidRPr="0072536E" w:rsidR="00AA6926" w:rsidTr="00AA6926" w14:paraId="1C7F45C1" w14:textId="77777777">
        <w:trPr>
          <w:trHeight w:val="630"/>
        </w:trPr>
        <w:tc>
          <w:tcPr>
            <w:tcW w:w="13320" w:type="dxa"/>
            <w:hideMark/>
          </w:tcPr>
          <w:p w:rsidRPr="0072536E" w:rsidR="00AA6926" w:rsidP="0072536E" w:rsidRDefault="00AA6926" w14:paraId="44661D4F" w14:textId="77777777">
            <w:pPr>
              <w:autoSpaceDN/>
              <w:spacing w:line="240" w:lineRule="auto"/>
              <w:textAlignment w:val="auto"/>
              <w:rPr>
                <w:rFonts w:eastAsia="Times New Roman" w:cs="Calibri"/>
              </w:rPr>
            </w:pPr>
            <w:r w:rsidRPr="0072536E">
              <w:rPr>
                <w:rFonts w:eastAsia="Times New Roman" w:cs="Calibri"/>
              </w:rPr>
              <w:t>Wijziging Wetboek van Strafrecht en Wetboek van Strafvordering i.v.m. het verbeteren van de bestrijding van heling, witwassen en de daaraan ten grondslag liggende vermogensdelicten</w:t>
            </w:r>
          </w:p>
        </w:tc>
      </w:tr>
      <w:tr w:rsidRPr="0072536E" w:rsidR="00AA6926" w:rsidTr="00AA6926" w14:paraId="47F23C59" w14:textId="77777777">
        <w:trPr>
          <w:trHeight w:val="315"/>
        </w:trPr>
        <w:tc>
          <w:tcPr>
            <w:tcW w:w="13320" w:type="dxa"/>
            <w:hideMark/>
          </w:tcPr>
          <w:p w:rsidRPr="0072536E" w:rsidR="00AA6926" w:rsidP="0072536E" w:rsidRDefault="00AA6926" w14:paraId="79FF0866" w14:textId="77777777">
            <w:pPr>
              <w:autoSpaceDN/>
              <w:spacing w:line="240" w:lineRule="auto"/>
              <w:textAlignment w:val="auto"/>
              <w:rPr>
                <w:rFonts w:eastAsia="Times New Roman" w:cs="Calibri"/>
              </w:rPr>
            </w:pPr>
            <w:r w:rsidRPr="0072536E">
              <w:rPr>
                <w:rFonts w:eastAsia="Times New Roman" w:cs="Calibri"/>
              </w:rPr>
              <w:t>Wet transparantie maatschappelijke organisaties</w:t>
            </w:r>
          </w:p>
        </w:tc>
      </w:tr>
      <w:tr w:rsidRPr="0072536E" w:rsidR="00AA6926" w:rsidTr="00AA6926" w14:paraId="7C2E89C9" w14:textId="77777777">
        <w:trPr>
          <w:trHeight w:val="315"/>
        </w:trPr>
        <w:tc>
          <w:tcPr>
            <w:tcW w:w="13320" w:type="dxa"/>
            <w:hideMark/>
          </w:tcPr>
          <w:p w:rsidRPr="0072536E" w:rsidR="00AA6926" w:rsidP="0072536E" w:rsidRDefault="00AA6926" w14:paraId="6C510B61" w14:textId="77777777">
            <w:pPr>
              <w:autoSpaceDN/>
              <w:spacing w:line="240" w:lineRule="auto"/>
              <w:textAlignment w:val="auto"/>
              <w:rPr>
                <w:rFonts w:eastAsia="Times New Roman" w:cs="Calibri"/>
              </w:rPr>
            </w:pPr>
            <w:r w:rsidRPr="0072536E">
              <w:rPr>
                <w:rFonts w:eastAsia="Times New Roman" w:cs="Calibri"/>
              </w:rPr>
              <w:t>Vaststellingswet Boeken 1 tot en met 6 van het Wetboek van Strafvordering</w:t>
            </w:r>
          </w:p>
        </w:tc>
      </w:tr>
      <w:tr w:rsidRPr="0072536E" w:rsidR="00AA6926" w:rsidTr="00AA6926" w14:paraId="08781B39" w14:textId="77777777">
        <w:trPr>
          <w:trHeight w:val="315"/>
        </w:trPr>
        <w:tc>
          <w:tcPr>
            <w:tcW w:w="13320" w:type="dxa"/>
            <w:hideMark/>
          </w:tcPr>
          <w:p w:rsidRPr="0072536E" w:rsidR="00AA6926" w:rsidP="0072536E" w:rsidRDefault="00AA6926" w14:paraId="735E6C92" w14:textId="77777777">
            <w:pPr>
              <w:autoSpaceDN/>
              <w:spacing w:line="240" w:lineRule="auto"/>
              <w:textAlignment w:val="auto"/>
              <w:rPr>
                <w:rFonts w:eastAsia="Times New Roman" w:cs="Calibri"/>
              </w:rPr>
            </w:pPr>
            <w:r w:rsidRPr="0072536E">
              <w:rPr>
                <w:rFonts w:eastAsia="Times New Roman" w:cs="Calibri"/>
              </w:rPr>
              <w:t>Vaststellingswet Boeken 7 tot 8 van het Wetboek van Strafvordering</w:t>
            </w:r>
          </w:p>
        </w:tc>
      </w:tr>
      <w:tr w:rsidRPr="0072536E" w:rsidR="00AA6926" w:rsidTr="00AA6926" w14:paraId="006BC858" w14:textId="77777777">
        <w:trPr>
          <w:trHeight w:val="315"/>
        </w:trPr>
        <w:tc>
          <w:tcPr>
            <w:tcW w:w="13320" w:type="dxa"/>
            <w:hideMark/>
          </w:tcPr>
          <w:p w:rsidRPr="0072536E" w:rsidR="00AA6926" w:rsidP="0072536E" w:rsidRDefault="00AA6926" w14:paraId="0F8F1D82" w14:textId="77777777">
            <w:pPr>
              <w:autoSpaceDN/>
              <w:spacing w:line="240" w:lineRule="auto"/>
              <w:textAlignment w:val="auto"/>
              <w:rPr>
                <w:rFonts w:eastAsia="Times New Roman" w:cs="Calibri"/>
              </w:rPr>
            </w:pPr>
            <w:r w:rsidRPr="0072536E">
              <w:rPr>
                <w:rFonts w:eastAsia="Times New Roman" w:cs="Calibri"/>
              </w:rPr>
              <w:t>Eerste aanvullingswet Wetboek van Strafvordering</w:t>
            </w:r>
          </w:p>
        </w:tc>
      </w:tr>
      <w:tr w:rsidRPr="0072536E" w:rsidR="00AA6926" w:rsidTr="00AA6926" w14:paraId="73C70706" w14:textId="77777777">
        <w:trPr>
          <w:trHeight w:val="315"/>
        </w:trPr>
        <w:tc>
          <w:tcPr>
            <w:tcW w:w="13320" w:type="dxa"/>
            <w:hideMark/>
          </w:tcPr>
          <w:p w:rsidRPr="0072536E" w:rsidR="00AA6926" w:rsidP="0072536E" w:rsidRDefault="00AA6926" w14:paraId="68D5F93A" w14:textId="77777777">
            <w:pPr>
              <w:autoSpaceDN/>
              <w:spacing w:line="240" w:lineRule="auto"/>
              <w:textAlignment w:val="auto"/>
              <w:rPr>
                <w:rFonts w:eastAsia="Times New Roman" w:cs="Calibri"/>
              </w:rPr>
            </w:pPr>
            <w:r w:rsidRPr="0072536E">
              <w:rPr>
                <w:rFonts w:eastAsia="Times New Roman" w:cs="Calibri"/>
              </w:rPr>
              <w:t>Verhoging strafmaxima en uitbreiding rechtsmacht mensensmokkel</w:t>
            </w:r>
          </w:p>
        </w:tc>
      </w:tr>
    </w:tbl>
    <w:p w:rsidR="0072536E" w:rsidP="0072536E" w:rsidRDefault="0072536E" w14:paraId="1CD17E29" w14:textId="77777777"/>
    <w:p w:rsidR="0072536E" w:rsidP="0072536E" w:rsidRDefault="0072536E" w14:paraId="5D0B896B" w14:textId="77777777"/>
    <w:p w:rsidR="0072536E" w:rsidP="0072536E" w:rsidRDefault="0072536E" w14:paraId="0C3F8AEC" w14:textId="77777777"/>
    <w:p w:rsidR="0072536E" w:rsidP="0072536E" w:rsidRDefault="0072536E" w14:paraId="1E2F09C1" w14:textId="77777777"/>
    <w:p w:rsidR="0072536E" w:rsidP="0072536E" w:rsidRDefault="0072536E" w14:paraId="4A4CC814" w14:textId="77777777"/>
    <w:p w:rsidR="0072536E" w:rsidP="0072536E" w:rsidRDefault="0072536E" w14:paraId="0991E81F" w14:textId="77777777"/>
    <w:p w:rsidR="0072536E" w:rsidP="0072536E" w:rsidRDefault="0072536E" w14:paraId="55D655EB" w14:textId="77777777"/>
    <w:p w:rsidR="0072536E" w:rsidP="0072536E" w:rsidRDefault="0072536E" w14:paraId="2E8A6BB7" w14:textId="77777777"/>
    <w:p w:rsidR="0072536E" w:rsidP="0072536E" w:rsidRDefault="0072536E" w14:paraId="047804B5" w14:textId="77777777"/>
    <w:p w:rsidR="0072536E" w:rsidP="0072536E" w:rsidRDefault="0072536E" w14:paraId="44716861" w14:textId="77777777"/>
    <w:p w:rsidRPr="0072536E" w:rsidR="0072536E" w:rsidP="0072536E" w:rsidRDefault="0072536E" w14:paraId="15397C6A" w14:textId="77777777"/>
    <w:p w:rsidR="0072536E" w:rsidRDefault="0072536E" w14:paraId="793FF4A8" w14:textId="77777777"/>
    <w:p w:rsidRPr="0072536E" w:rsidR="00547316" w:rsidRDefault="0072536E" w14:paraId="4AD40EDD" w14:textId="6D8A99EC">
      <w:pPr>
        <w:rPr>
          <w:b/>
          <w:bCs/>
          <w:sz w:val="20"/>
          <w:szCs w:val="20"/>
        </w:rPr>
      </w:pPr>
      <w:r w:rsidRPr="0072536E">
        <w:rPr>
          <w:b/>
          <w:bCs/>
          <w:sz w:val="20"/>
          <w:szCs w:val="20"/>
        </w:rPr>
        <w:t>Staatssecretaris Rechtsbescherming</w:t>
      </w:r>
    </w:p>
    <w:p w:rsidR="0072536E" w:rsidRDefault="0072536E" w14:paraId="160672E7" w14:textId="77777777"/>
    <w:tbl>
      <w:tblPr>
        <w:tblStyle w:val="Kader"/>
        <w:tblW w:w="13481" w:type="dxa"/>
        <w:tblInd w:w="-5" w:type="dxa"/>
        <w:tblLook w:val="04A0" w:firstRow="1" w:lastRow="0" w:firstColumn="1" w:lastColumn="0" w:noHBand="0" w:noVBand="1"/>
      </w:tblPr>
      <w:tblGrid>
        <w:gridCol w:w="13481"/>
      </w:tblGrid>
      <w:tr w:rsidRPr="0072536E" w:rsidR="00AA6926" w:rsidTr="00AA6926" w14:paraId="0B26C113" w14:textId="77777777">
        <w:trPr>
          <w:trHeight w:val="312"/>
        </w:trPr>
        <w:tc>
          <w:tcPr>
            <w:tcW w:w="13481" w:type="dxa"/>
            <w:hideMark/>
          </w:tcPr>
          <w:p w:rsidRPr="0072536E" w:rsidR="00AA6926" w:rsidP="0072536E" w:rsidRDefault="00AA6926" w14:paraId="6AC10D43"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verbetering positie werknemer bij een overgang van onderneming in faillissement</w:t>
            </w:r>
          </w:p>
        </w:tc>
      </w:tr>
      <w:tr w:rsidRPr="0072536E" w:rsidR="00AA6926" w:rsidTr="00AA6926" w14:paraId="196E4EA0" w14:textId="77777777">
        <w:trPr>
          <w:trHeight w:val="312"/>
        </w:trPr>
        <w:tc>
          <w:tcPr>
            <w:tcW w:w="13481" w:type="dxa"/>
            <w:hideMark/>
          </w:tcPr>
          <w:p w:rsidRPr="0072536E" w:rsidR="00AA6926" w:rsidP="0072536E" w:rsidRDefault="00AA6926" w14:paraId="1A430D9F" w14:textId="77777777">
            <w:pPr>
              <w:autoSpaceDN/>
              <w:spacing w:line="240" w:lineRule="auto"/>
              <w:textAlignment w:val="auto"/>
              <w:rPr>
                <w:rFonts w:eastAsia="Times New Roman" w:cs="Calibri"/>
                <w:sz w:val="20"/>
                <w:szCs w:val="20"/>
              </w:rPr>
            </w:pPr>
            <w:r w:rsidRPr="0072536E">
              <w:rPr>
                <w:rFonts w:eastAsia="Times New Roman" w:cs="Calibri"/>
                <w:sz w:val="20"/>
                <w:szCs w:val="20"/>
              </w:rPr>
              <w:t>Verzamelwet beslag- en executierecht</w:t>
            </w:r>
          </w:p>
        </w:tc>
      </w:tr>
      <w:tr w:rsidRPr="0072536E" w:rsidR="00AA6926" w:rsidTr="00AA6926" w14:paraId="3F074BB9" w14:textId="77777777">
        <w:trPr>
          <w:trHeight w:val="312"/>
        </w:trPr>
        <w:tc>
          <w:tcPr>
            <w:tcW w:w="13481" w:type="dxa"/>
            <w:hideMark/>
          </w:tcPr>
          <w:p w:rsidRPr="0072536E" w:rsidR="00AA6926" w:rsidP="0072536E" w:rsidRDefault="00AA6926" w14:paraId="062470C8" w14:textId="77777777">
            <w:pPr>
              <w:autoSpaceDN/>
              <w:spacing w:line="240" w:lineRule="auto"/>
              <w:textAlignment w:val="auto"/>
              <w:rPr>
                <w:rFonts w:eastAsia="Times New Roman" w:cs="Calibri"/>
                <w:sz w:val="20"/>
                <w:szCs w:val="20"/>
              </w:rPr>
            </w:pPr>
            <w:r w:rsidRPr="0072536E">
              <w:rPr>
                <w:rFonts w:eastAsia="Times New Roman" w:cs="Calibri"/>
                <w:sz w:val="20"/>
                <w:szCs w:val="20"/>
              </w:rPr>
              <w:t>Wetsvoorstel versterking rechtsbijstand in het strafproces</w:t>
            </w:r>
          </w:p>
        </w:tc>
      </w:tr>
      <w:tr w:rsidRPr="0072536E" w:rsidR="00AA6926" w:rsidTr="00AA6926" w14:paraId="0709FBDD" w14:textId="77777777">
        <w:trPr>
          <w:trHeight w:val="312"/>
        </w:trPr>
        <w:tc>
          <w:tcPr>
            <w:tcW w:w="13481" w:type="dxa"/>
            <w:hideMark/>
          </w:tcPr>
          <w:p w:rsidRPr="0072536E" w:rsidR="00AA6926" w:rsidP="0072536E" w:rsidRDefault="00AA6926" w14:paraId="52C26783" w14:textId="77777777">
            <w:pPr>
              <w:autoSpaceDN/>
              <w:spacing w:line="240" w:lineRule="auto"/>
              <w:textAlignment w:val="auto"/>
              <w:rPr>
                <w:rFonts w:eastAsia="Times New Roman" w:cs="Calibri"/>
                <w:sz w:val="20"/>
                <w:szCs w:val="20"/>
              </w:rPr>
            </w:pPr>
            <w:r w:rsidRPr="0072536E">
              <w:rPr>
                <w:rFonts w:eastAsia="Times New Roman" w:cs="Calibri"/>
                <w:sz w:val="20"/>
                <w:szCs w:val="20"/>
              </w:rPr>
              <w:t>Eerste aanvullingswet Wetboek van Strafvordering</w:t>
            </w:r>
          </w:p>
        </w:tc>
      </w:tr>
      <w:tr w:rsidRPr="0072536E" w:rsidR="00AA6926" w:rsidTr="00AA6926" w14:paraId="795045BD" w14:textId="77777777">
        <w:trPr>
          <w:trHeight w:val="312"/>
        </w:trPr>
        <w:tc>
          <w:tcPr>
            <w:tcW w:w="13481" w:type="dxa"/>
            <w:hideMark/>
          </w:tcPr>
          <w:p w:rsidRPr="0072536E" w:rsidR="00AA6926" w:rsidP="0072536E" w:rsidRDefault="00AA6926" w14:paraId="7075FBF8" w14:textId="4C8F9EBA">
            <w:pPr>
              <w:autoSpaceDN/>
              <w:spacing w:line="240" w:lineRule="auto"/>
              <w:textAlignment w:val="auto"/>
              <w:rPr>
                <w:rFonts w:eastAsia="Times New Roman" w:cs="Calibri"/>
                <w:sz w:val="20"/>
                <w:szCs w:val="20"/>
              </w:rPr>
            </w:pPr>
            <w:r w:rsidRPr="0072536E">
              <w:rPr>
                <w:rFonts w:eastAsia="Times New Roman" w:cs="Calibri"/>
                <w:sz w:val="20"/>
                <w:szCs w:val="20"/>
              </w:rPr>
              <w:t>Wijziging Wet op de rechterlijke organisatie en Wet bescherming klokkenluiders (klokkenluidersregeling rechtspraak)</w:t>
            </w:r>
            <w:r>
              <w:rPr>
                <w:rFonts w:eastAsia="Times New Roman" w:cs="Calibri"/>
                <w:sz w:val="20"/>
                <w:szCs w:val="20"/>
              </w:rPr>
              <w:t xml:space="preserve"> tezamen met MJenV</w:t>
            </w:r>
          </w:p>
        </w:tc>
      </w:tr>
      <w:tr w:rsidRPr="0072536E" w:rsidR="00AA6926" w:rsidTr="00AA6926" w14:paraId="23E848D1" w14:textId="77777777">
        <w:trPr>
          <w:trHeight w:val="312"/>
        </w:trPr>
        <w:tc>
          <w:tcPr>
            <w:tcW w:w="13481" w:type="dxa"/>
            <w:hideMark/>
          </w:tcPr>
          <w:p w:rsidRPr="0072536E" w:rsidR="00AA6926" w:rsidP="0072536E" w:rsidRDefault="00AA6926" w14:paraId="15C78FE7"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inzake de wijziging van de Wet continuïteit ondernemingen I</w:t>
            </w:r>
          </w:p>
        </w:tc>
      </w:tr>
      <w:tr w:rsidRPr="0072536E" w:rsidR="00AA6926" w:rsidTr="00AA6926" w14:paraId="5CFAF589" w14:textId="77777777">
        <w:trPr>
          <w:trHeight w:val="312"/>
        </w:trPr>
        <w:tc>
          <w:tcPr>
            <w:tcW w:w="13481" w:type="dxa"/>
            <w:hideMark/>
          </w:tcPr>
          <w:p w:rsidRPr="0072536E" w:rsidR="00AA6926" w:rsidP="0072536E" w:rsidRDefault="00AA6926" w14:paraId="6C4638B9"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opleggen betalingsregeling door rechter</w:t>
            </w:r>
          </w:p>
        </w:tc>
      </w:tr>
      <w:tr w:rsidRPr="0072536E" w:rsidR="00AA6926" w:rsidTr="00AA6926" w14:paraId="359B791D" w14:textId="77777777">
        <w:trPr>
          <w:trHeight w:val="312"/>
        </w:trPr>
        <w:tc>
          <w:tcPr>
            <w:tcW w:w="13481" w:type="dxa"/>
            <w:hideMark/>
          </w:tcPr>
          <w:p w:rsidRPr="0072536E" w:rsidR="00AA6926" w:rsidP="0072536E" w:rsidRDefault="00AA6926" w14:paraId="7ED7BDDB" w14:textId="77777777">
            <w:pPr>
              <w:autoSpaceDN/>
              <w:spacing w:line="240" w:lineRule="auto"/>
              <w:textAlignment w:val="auto"/>
              <w:rPr>
                <w:rFonts w:eastAsia="Times New Roman" w:cs="Calibri"/>
                <w:sz w:val="20"/>
                <w:szCs w:val="20"/>
              </w:rPr>
            </w:pPr>
            <w:r w:rsidRPr="0072536E">
              <w:rPr>
                <w:rFonts w:eastAsia="Times New Roman" w:cs="Calibri"/>
                <w:sz w:val="20"/>
                <w:szCs w:val="20"/>
              </w:rPr>
              <w:t>Wetsvoorstel modernisering personenvennootschappen</w:t>
            </w:r>
          </w:p>
        </w:tc>
      </w:tr>
      <w:tr w:rsidRPr="0072536E" w:rsidR="00AA6926" w:rsidTr="00AA6926" w14:paraId="528F7ED6" w14:textId="77777777">
        <w:trPr>
          <w:trHeight w:val="312"/>
        </w:trPr>
        <w:tc>
          <w:tcPr>
            <w:tcW w:w="13481" w:type="dxa"/>
            <w:hideMark/>
          </w:tcPr>
          <w:p w:rsidRPr="0072536E" w:rsidR="00AA6926" w:rsidP="0072536E" w:rsidRDefault="00AA6926" w14:paraId="22FCAD42" w14:textId="77777777">
            <w:pPr>
              <w:autoSpaceDN/>
              <w:spacing w:line="240" w:lineRule="auto"/>
              <w:textAlignment w:val="auto"/>
              <w:rPr>
                <w:rFonts w:eastAsia="Times New Roman" w:cs="Calibri"/>
                <w:sz w:val="20"/>
                <w:szCs w:val="20"/>
              </w:rPr>
            </w:pPr>
            <w:r w:rsidRPr="0072536E">
              <w:rPr>
                <w:rFonts w:eastAsia="Times New Roman" w:cs="Calibri"/>
                <w:sz w:val="20"/>
                <w:szCs w:val="20"/>
              </w:rPr>
              <w:t>Wijziging van de Wjsg ter vastlegging van de doelen van het gebruik van Ecris</w:t>
            </w:r>
          </w:p>
        </w:tc>
      </w:tr>
      <w:tr w:rsidRPr="0072536E" w:rsidR="00AA6926" w:rsidTr="00AA6926" w14:paraId="1BAD34CD" w14:textId="77777777">
        <w:trPr>
          <w:trHeight w:val="312"/>
        </w:trPr>
        <w:tc>
          <w:tcPr>
            <w:tcW w:w="13481" w:type="dxa"/>
            <w:hideMark/>
          </w:tcPr>
          <w:p w:rsidRPr="0072536E" w:rsidR="00AA6926" w:rsidP="0072536E" w:rsidRDefault="00AA6926" w14:paraId="6DD4E6F5" w14:textId="77777777">
            <w:pPr>
              <w:autoSpaceDN/>
              <w:spacing w:line="240" w:lineRule="auto"/>
              <w:textAlignment w:val="auto"/>
              <w:rPr>
                <w:rFonts w:eastAsia="Times New Roman" w:cs="Calibri"/>
                <w:sz w:val="20"/>
                <w:szCs w:val="20"/>
              </w:rPr>
            </w:pPr>
            <w:r w:rsidRPr="0072536E">
              <w:rPr>
                <w:rFonts w:eastAsia="Times New Roman" w:cs="Calibri"/>
                <w:sz w:val="20"/>
                <w:szCs w:val="20"/>
              </w:rPr>
              <w:t>Vaststellingswet Boeken 7 en 8 van het Wetboek van Strafvordering</w:t>
            </w:r>
          </w:p>
        </w:tc>
      </w:tr>
      <w:tr w:rsidRPr="0072536E" w:rsidR="00AA6926" w:rsidTr="00AA6926" w14:paraId="7307613A" w14:textId="77777777">
        <w:trPr>
          <w:trHeight w:val="312"/>
        </w:trPr>
        <w:tc>
          <w:tcPr>
            <w:tcW w:w="13481" w:type="dxa"/>
            <w:hideMark/>
          </w:tcPr>
          <w:p w:rsidRPr="0072536E" w:rsidR="00AA6926" w:rsidP="0072536E" w:rsidRDefault="00AA6926" w14:paraId="52466E6E"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tot wijziging van Boek 8 van het Burgerlijk Wetboek in verband met de invoering van het elektronisch cognossement</w:t>
            </w:r>
          </w:p>
        </w:tc>
      </w:tr>
      <w:tr w:rsidRPr="0072536E" w:rsidR="00AA6926" w:rsidTr="00AA6926" w14:paraId="0DC278AC" w14:textId="77777777">
        <w:trPr>
          <w:trHeight w:val="312"/>
        </w:trPr>
        <w:tc>
          <w:tcPr>
            <w:tcW w:w="13481" w:type="dxa"/>
            <w:hideMark/>
          </w:tcPr>
          <w:p w:rsidRPr="0072536E" w:rsidR="00AA6926" w:rsidP="0072536E" w:rsidRDefault="00AA6926" w14:paraId="4B22B68F"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stroomlijning bestuurlijke boetemaxima en termijnen</w:t>
            </w:r>
          </w:p>
        </w:tc>
      </w:tr>
      <w:tr w:rsidRPr="0072536E" w:rsidR="00AA6926" w:rsidTr="00AA6926" w14:paraId="37C00F86" w14:textId="77777777">
        <w:trPr>
          <w:trHeight w:val="312"/>
        </w:trPr>
        <w:tc>
          <w:tcPr>
            <w:tcW w:w="13481" w:type="dxa"/>
          </w:tcPr>
          <w:p w:rsidRPr="0072536E" w:rsidR="00AA6926" w:rsidP="0072536E" w:rsidRDefault="00AA6926" w14:paraId="53C7EC46" w14:textId="50375538">
            <w:pPr>
              <w:autoSpaceDN/>
              <w:spacing w:line="240" w:lineRule="auto"/>
              <w:textAlignment w:val="auto"/>
              <w:rPr>
                <w:rFonts w:eastAsia="Times New Roman" w:cs="Calibri"/>
                <w:sz w:val="20"/>
                <w:szCs w:val="20"/>
              </w:rPr>
            </w:pPr>
            <w:r w:rsidRPr="00AA6926">
              <w:rPr>
                <w:rFonts w:eastAsia="Times New Roman" w:cs="Calibri"/>
                <w:sz w:val="20"/>
                <w:szCs w:val="20"/>
              </w:rPr>
              <w:t>Wijziging van de Algemene wet bestuursrecht en omgevingsrechtelijke wetten n.a.v. uitspraak HvJEU (“Varkens in Nood”) inzake uitleg van de artikelen 6 en 9 van het Verdrag van Aarhus</w:t>
            </w:r>
          </w:p>
        </w:tc>
      </w:tr>
      <w:tr w:rsidRPr="0072536E" w:rsidR="00AA6926" w:rsidTr="00AA6926" w14:paraId="171BFBB8" w14:textId="77777777">
        <w:trPr>
          <w:trHeight w:val="312"/>
        </w:trPr>
        <w:tc>
          <w:tcPr>
            <w:tcW w:w="13481" w:type="dxa"/>
            <w:hideMark/>
          </w:tcPr>
          <w:p w:rsidRPr="0072536E" w:rsidR="00AA6926" w:rsidP="0072536E" w:rsidRDefault="00AA6926" w14:paraId="19A2D6ED"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deelgezag</w:t>
            </w:r>
          </w:p>
        </w:tc>
      </w:tr>
      <w:tr w:rsidRPr="0072536E" w:rsidR="00AA6926" w:rsidTr="00AA6926" w14:paraId="7C2E9018" w14:textId="77777777">
        <w:trPr>
          <w:trHeight w:val="312"/>
        </w:trPr>
        <w:tc>
          <w:tcPr>
            <w:tcW w:w="13481" w:type="dxa"/>
            <w:hideMark/>
          </w:tcPr>
          <w:p w:rsidRPr="0072536E" w:rsidR="00AA6926" w:rsidP="0072536E" w:rsidRDefault="00AA6926" w14:paraId="0950CF54" w14:textId="77777777">
            <w:pPr>
              <w:autoSpaceDN/>
              <w:spacing w:line="240" w:lineRule="auto"/>
              <w:textAlignment w:val="auto"/>
              <w:rPr>
                <w:rFonts w:eastAsia="Times New Roman" w:cs="Calibri"/>
                <w:sz w:val="20"/>
                <w:szCs w:val="20"/>
              </w:rPr>
            </w:pPr>
            <w:r w:rsidRPr="0072536E">
              <w:rPr>
                <w:rFonts w:eastAsia="Times New Roman" w:cs="Calibri"/>
                <w:sz w:val="20"/>
                <w:szCs w:val="20"/>
              </w:rPr>
              <w:t>Verzamelwet gegevensbescherming</w:t>
            </w:r>
          </w:p>
        </w:tc>
      </w:tr>
      <w:tr w:rsidRPr="0072536E" w:rsidR="00AA6926" w:rsidTr="00AA6926" w14:paraId="4B1CE023" w14:textId="77777777">
        <w:trPr>
          <w:trHeight w:val="312"/>
        </w:trPr>
        <w:tc>
          <w:tcPr>
            <w:tcW w:w="13481" w:type="dxa"/>
            <w:hideMark/>
          </w:tcPr>
          <w:p w:rsidRPr="0072536E" w:rsidR="00AA6926" w:rsidP="0072536E" w:rsidRDefault="00AA6926" w14:paraId="3841B080" w14:textId="77777777">
            <w:pPr>
              <w:autoSpaceDN/>
              <w:spacing w:line="240" w:lineRule="auto"/>
              <w:textAlignment w:val="auto"/>
              <w:rPr>
                <w:rFonts w:eastAsia="Times New Roman" w:cs="Calibri"/>
                <w:sz w:val="20"/>
                <w:szCs w:val="20"/>
              </w:rPr>
            </w:pPr>
            <w:r w:rsidRPr="0072536E">
              <w:rPr>
                <w:rFonts w:eastAsia="Times New Roman" w:cs="Calibri"/>
                <w:sz w:val="20"/>
                <w:szCs w:val="20"/>
              </w:rPr>
              <w:t>Vaststellingswet Boeken 1 tot en met 6 van het Wetboek van Strafvordering</w:t>
            </w:r>
          </w:p>
        </w:tc>
      </w:tr>
      <w:tr w:rsidRPr="0072536E" w:rsidR="00AA6926" w:rsidTr="00AA6926" w14:paraId="0A2DDBCF" w14:textId="77777777">
        <w:trPr>
          <w:trHeight w:val="312"/>
        </w:trPr>
        <w:tc>
          <w:tcPr>
            <w:tcW w:w="13481" w:type="dxa"/>
            <w:hideMark/>
          </w:tcPr>
          <w:p w:rsidRPr="0072536E" w:rsidR="00AA6926" w:rsidP="0072536E" w:rsidRDefault="00AA6926" w14:paraId="0BFD2980"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versterking auteurscontractenrecht</w:t>
            </w:r>
          </w:p>
        </w:tc>
      </w:tr>
      <w:tr w:rsidRPr="0072536E" w:rsidR="00AA6926" w:rsidTr="00AA6926" w14:paraId="197286DB" w14:textId="77777777">
        <w:trPr>
          <w:trHeight w:val="312"/>
        </w:trPr>
        <w:tc>
          <w:tcPr>
            <w:tcW w:w="13481" w:type="dxa"/>
            <w:hideMark/>
          </w:tcPr>
          <w:p w:rsidRPr="0072536E" w:rsidR="00AA6926" w:rsidP="0072536E" w:rsidRDefault="00AA6926" w14:paraId="36A956C5" w14:textId="77777777">
            <w:pPr>
              <w:autoSpaceDN/>
              <w:spacing w:line="240" w:lineRule="auto"/>
              <w:textAlignment w:val="auto"/>
              <w:rPr>
                <w:rFonts w:eastAsia="Times New Roman" w:cs="Calibri"/>
                <w:sz w:val="20"/>
                <w:szCs w:val="20"/>
              </w:rPr>
            </w:pPr>
            <w:r w:rsidRPr="0072536E">
              <w:rPr>
                <w:rFonts w:eastAsia="Times New Roman" w:cs="Calibri"/>
                <w:sz w:val="20"/>
                <w:szCs w:val="20"/>
              </w:rPr>
              <w:t>Herziening wet bewaarplicht telecommunicatiegegevens (dataretentie)</w:t>
            </w:r>
          </w:p>
        </w:tc>
      </w:tr>
      <w:tr w:rsidRPr="0072536E" w:rsidR="00AA6926" w:rsidTr="00AA6926" w14:paraId="1C61419A" w14:textId="77777777">
        <w:trPr>
          <w:trHeight w:val="312"/>
        </w:trPr>
        <w:tc>
          <w:tcPr>
            <w:tcW w:w="13481" w:type="dxa"/>
            <w:hideMark/>
          </w:tcPr>
          <w:p w:rsidRPr="0072536E" w:rsidR="00AA6926" w:rsidP="0072536E" w:rsidRDefault="00AA6926" w14:paraId="3ED56A71"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kind, draagmoeder en afstamming</w:t>
            </w:r>
          </w:p>
        </w:tc>
      </w:tr>
      <w:tr w:rsidRPr="0072536E" w:rsidR="00AA6926" w:rsidTr="00AA6926" w14:paraId="378AF8E9" w14:textId="77777777">
        <w:trPr>
          <w:trHeight w:val="625"/>
        </w:trPr>
        <w:tc>
          <w:tcPr>
            <w:tcW w:w="13481" w:type="dxa"/>
            <w:hideMark/>
          </w:tcPr>
          <w:p w:rsidRPr="0072536E" w:rsidR="00AA6926" w:rsidP="0072536E" w:rsidRDefault="00AA6926" w14:paraId="5C836372"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tot wijziging van Boek 2 en Boek 5 van het Burgerlijk Wetboek met het oog op het aanpassen van de regels inzake de digitale algemene vergadering voor rechtspersonen</w:t>
            </w:r>
          </w:p>
        </w:tc>
      </w:tr>
      <w:tr w:rsidRPr="0072536E" w:rsidR="00AA6926" w:rsidTr="00AA6926" w14:paraId="7893855B" w14:textId="77777777">
        <w:trPr>
          <w:trHeight w:val="625"/>
        </w:trPr>
        <w:tc>
          <w:tcPr>
            <w:tcW w:w="13481" w:type="dxa"/>
            <w:hideMark/>
          </w:tcPr>
          <w:p w:rsidRPr="0072536E" w:rsidR="00AA6926" w:rsidP="0072536E" w:rsidRDefault="00AA6926" w14:paraId="4FDD51AF" w14:textId="77777777">
            <w:pPr>
              <w:autoSpaceDN/>
              <w:spacing w:line="240" w:lineRule="auto"/>
              <w:textAlignment w:val="auto"/>
              <w:rPr>
                <w:rFonts w:eastAsia="Times New Roman" w:cs="Calibri"/>
                <w:sz w:val="20"/>
                <w:szCs w:val="20"/>
              </w:rPr>
            </w:pPr>
            <w:r w:rsidRPr="0072536E">
              <w:rPr>
                <w:rFonts w:eastAsia="Times New Roman" w:cs="Calibri"/>
                <w:sz w:val="20"/>
                <w:szCs w:val="20"/>
              </w:rPr>
              <w:t>Wijziging Wet op de rechterlijke organisatie, Wet rechtspositie rechterlijke ambtenaren, Wet op de Raad van State en enige andere wetten i.v.m. enkele wijzigingen in het belang van integere, onafhankelijke en onpartijdige rechtspraak, alsmede de regeling van enige andere onderwerpen</w:t>
            </w:r>
          </w:p>
        </w:tc>
      </w:tr>
      <w:tr w:rsidRPr="0072536E" w:rsidR="00AA6926" w:rsidTr="00AA6926" w14:paraId="166C3B0E" w14:textId="77777777">
        <w:trPr>
          <w:trHeight w:val="625"/>
        </w:trPr>
        <w:tc>
          <w:tcPr>
            <w:tcW w:w="13481" w:type="dxa"/>
            <w:hideMark/>
          </w:tcPr>
          <w:p w:rsidRPr="0072536E" w:rsidR="00AA6926" w:rsidP="0072536E" w:rsidRDefault="00AA6926" w14:paraId="36AFEEE3" w14:textId="77777777">
            <w:pPr>
              <w:autoSpaceDN/>
              <w:spacing w:line="240" w:lineRule="auto"/>
              <w:textAlignment w:val="auto"/>
              <w:rPr>
                <w:rFonts w:eastAsia="Times New Roman" w:cs="Calibri"/>
                <w:sz w:val="20"/>
                <w:szCs w:val="20"/>
              </w:rPr>
            </w:pPr>
            <w:r w:rsidRPr="0072536E">
              <w:rPr>
                <w:rFonts w:eastAsia="Times New Roman" w:cs="Calibri"/>
                <w:sz w:val="20"/>
                <w:szCs w:val="20"/>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Pr="0072536E" w:rsidR="00AA6926" w:rsidTr="00AA6926" w14:paraId="34FC3CCB" w14:textId="77777777">
        <w:trPr>
          <w:trHeight w:val="625"/>
        </w:trPr>
        <w:tc>
          <w:tcPr>
            <w:tcW w:w="13481" w:type="dxa"/>
            <w:hideMark/>
          </w:tcPr>
          <w:p w:rsidRPr="0072536E" w:rsidR="00AA6926" w:rsidP="0072536E" w:rsidRDefault="00AA6926" w14:paraId="2CA0EEF7" w14:textId="77777777">
            <w:pPr>
              <w:autoSpaceDN/>
              <w:spacing w:line="240" w:lineRule="auto"/>
              <w:textAlignment w:val="auto"/>
              <w:rPr>
                <w:rFonts w:eastAsia="Times New Roman" w:cs="Calibri"/>
                <w:sz w:val="20"/>
                <w:szCs w:val="20"/>
              </w:rPr>
            </w:pPr>
            <w:r w:rsidRPr="0072536E">
              <w:rPr>
                <w:rFonts w:eastAsia="Times New Roman" w:cs="Calibri"/>
                <w:sz w:val="20"/>
                <w:szCs w:val="20"/>
              </w:rPr>
              <w:t>Voorstel tot wijziging van Boek 1 van het Burgerlijk Wetboek in verband met het veranderen van de voorwaarden voor wijziging van de vermelding van het geslacht in de akte van geboorte</w:t>
            </w:r>
          </w:p>
        </w:tc>
      </w:tr>
      <w:tr w:rsidRPr="0072536E" w:rsidR="00AA6926" w:rsidTr="00AA6926" w14:paraId="4F1BAFCF" w14:textId="77777777">
        <w:trPr>
          <w:trHeight w:val="312"/>
        </w:trPr>
        <w:tc>
          <w:tcPr>
            <w:tcW w:w="13481" w:type="dxa"/>
            <w:hideMark/>
          </w:tcPr>
          <w:p w:rsidRPr="0072536E" w:rsidR="00AA6926" w:rsidP="0072536E" w:rsidRDefault="00AA6926" w14:paraId="79F535BE"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preferentie kinderalimentatie</w:t>
            </w:r>
          </w:p>
        </w:tc>
      </w:tr>
      <w:tr w:rsidRPr="0072536E" w:rsidR="00AA6926" w:rsidTr="00AA6926" w14:paraId="7693A2B2" w14:textId="77777777">
        <w:trPr>
          <w:trHeight w:val="312"/>
        </w:trPr>
        <w:tc>
          <w:tcPr>
            <w:tcW w:w="13481" w:type="dxa"/>
            <w:noWrap/>
            <w:hideMark/>
          </w:tcPr>
          <w:p w:rsidRPr="0072536E" w:rsidR="00AA6926" w:rsidP="0072536E" w:rsidRDefault="00AA6926" w14:paraId="1E21179D" w14:textId="77777777">
            <w:pPr>
              <w:autoSpaceDN/>
              <w:spacing w:line="240" w:lineRule="auto"/>
              <w:textAlignment w:val="auto"/>
              <w:rPr>
                <w:rFonts w:eastAsia="Times New Roman" w:cs="Calibri"/>
                <w:sz w:val="20"/>
                <w:szCs w:val="20"/>
              </w:rPr>
            </w:pPr>
            <w:r w:rsidRPr="0072536E">
              <w:rPr>
                <w:rFonts w:eastAsia="Times New Roman" w:cs="Calibri"/>
                <w:sz w:val="20"/>
                <w:szCs w:val="20"/>
              </w:rPr>
              <w:t xml:space="preserve">Wet drempelverlaging omgangsverzoeken grootouders (36364) </w:t>
            </w:r>
          </w:p>
        </w:tc>
      </w:tr>
      <w:tr w:rsidRPr="0072536E" w:rsidR="00AA6926" w:rsidTr="00AA6926" w14:paraId="17536297" w14:textId="77777777">
        <w:trPr>
          <w:trHeight w:val="312"/>
        </w:trPr>
        <w:tc>
          <w:tcPr>
            <w:tcW w:w="13481" w:type="dxa"/>
            <w:hideMark/>
          </w:tcPr>
          <w:p w:rsidRPr="0072536E" w:rsidR="00AA6926" w:rsidP="0072536E" w:rsidRDefault="00AA6926" w14:paraId="513C74A3"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deelgezag</w:t>
            </w:r>
          </w:p>
        </w:tc>
      </w:tr>
      <w:tr w:rsidRPr="0072536E" w:rsidR="00AA6926" w:rsidTr="00AA6926" w14:paraId="664BDBF5" w14:textId="77777777">
        <w:trPr>
          <w:trHeight w:val="312"/>
        </w:trPr>
        <w:tc>
          <w:tcPr>
            <w:tcW w:w="13481" w:type="dxa"/>
            <w:noWrap/>
            <w:hideMark/>
          </w:tcPr>
          <w:p w:rsidRPr="0072536E" w:rsidR="00AA6926" w:rsidP="0072536E" w:rsidRDefault="00AA6926" w14:paraId="34BA3339" w14:textId="77777777">
            <w:pPr>
              <w:autoSpaceDN/>
              <w:spacing w:line="240" w:lineRule="auto"/>
              <w:textAlignment w:val="auto"/>
              <w:rPr>
                <w:rFonts w:eastAsia="Times New Roman" w:cs="Calibri"/>
                <w:sz w:val="20"/>
                <w:szCs w:val="20"/>
              </w:rPr>
            </w:pPr>
            <w:r w:rsidRPr="0072536E">
              <w:rPr>
                <w:rFonts w:eastAsia="Times New Roman" w:cs="Calibri"/>
                <w:sz w:val="20"/>
                <w:szCs w:val="20"/>
              </w:rPr>
              <w:t>Wet opheffing verpandingsverboden (35482)</w:t>
            </w:r>
          </w:p>
        </w:tc>
      </w:tr>
    </w:tbl>
    <w:p w:rsidR="0072536E" w:rsidRDefault="0072536E" w14:paraId="20CD525A" w14:textId="77777777"/>
    <w:p w:rsidR="0072536E" w:rsidRDefault="0072536E" w14:paraId="18CEBE9E" w14:textId="77777777"/>
    <w:p w:rsidR="0072536E" w:rsidRDefault="0072536E" w14:paraId="08D58732" w14:textId="77777777"/>
    <w:p w:rsidR="0072536E" w:rsidRDefault="0072536E" w14:paraId="3B9DAD93" w14:textId="77777777"/>
    <w:p w:rsidR="0072536E" w:rsidRDefault="0072536E" w14:paraId="6BE20566" w14:textId="77777777"/>
    <w:p w:rsidR="0072536E" w:rsidRDefault="0072536E" w14:paraId="717A48D4" w14:textId="77777777"/>
    <w:p w:rsidR="0072536E" w:rsidRDefault="0072536E" w14:paraId="35DB8506" w14:textId="77777777"/>
    <w:p w:rsidR="0072536E" w:rsidRDefault="0072536E" w14:paraId="0C445F15" w14:textId="77777777"/>
    <w:p w:rsidR="0072536E" w:rsidRDefault="0072536E" w14:paraId="4730859A" w14:textId="77777777"/>
    <w:p w:rsidR="0072536E" w:rsidRDefault="0072536E" w14:paraId="3D568636" w14:textId="77777777"/>
    <w:p w:rsidR="0072536E" w:rsidRDefault="0072536E" w14:paraId="10AAE532" w14:textId="77777777"/>
    <w:p w:rsidR="0072536E" w:rsidRDefault="0072536E" w14:paraId="10BA5451" w14:textId="77777777"/>
    <w:p w:rsidR="0072536E" w:rsidRDefault="0072536E" w14:paraId="03264C20" w14:textId="77777777"/>
    <w:p w:rsidR="0072536E" w:rsidRDefault="0072536E" w14:paraId="7D597BC5" w14:textId="77777777"/>
    <w:p w:rsidR="0072536E" w:rsidRDefault="0072536E" w14:paraId="09657B93" w14:textId="77777777"/>
    <w:p w:rsidR="0072536E" w:rsidRDefault="0072536E" w14:paraId="321DD4CE" w14:textId="77777777"/>
    <w:p w:rsidR="0072536E" w:rsidRDefault="0072536E" w14:paraId="00AA1D26" w14:textId="77777777"/>
    <w:p w:rsidRPr="0072536E" w:rsidR="0072536E" w:rsidRDefault="0072536E" w14:paraId="689EF5C8" w14:textId="2436F49F">
      <w:pPr>
        <w:rPr>
          <w:b/>
          <w:bCs/>
          <w:sz w:val="20"/>
          <w:szCs w:val="20"/>
        </w:rPr>
      </w:pPr>
      <w:r w:rsidRPr="0072536E">
        <w:rPr>
          <w:b/>
          <w:bCs/>
          <w:sz w:val="20"/>
          <w:szCs w:val="20"/>
        </w:rPr>
        <w:t>Staatssecretaris Justitie en Veiligheid</w:t>
      </w:r>
    </w:p>
    <w:p w:rsidR="0072536E" w:rsidRDefault="0072536E" w14:paraId="71A009F7" w14:textId="77777777"/>
    <w:tbl>
      <w:tblPr>
        <w:tblStyle w:val="Kader"/>
        <w:tblW w:w="13866" w:type="dxa"/>
        <w:tblInd w:w="-7" w:type="dxa"/>
        <w:tblLook w:val="04A0" w:firstRow="1" w:lastRow="0" w:firstColumn="1" w:lastColumn="0" w:noHBand="0" w:noVBand="1"/>
      </w:tblPr>
      <w:tblGrid>
        <w:gridCol w:w="13866"/>
      </w:tblGrid>
      <w:tr w:rsidRPr="0072536E" w:rsidR="00AA6926" w:rsidTr="00AA6926" w14:paraId="1EFDBA39" w14:textId="77777777">
        <w:trPr>
          <w:trHeight w:val="485"/>
        </w:trPr>
        <w:tc>
          <w:tcPr>
            <w:tcW w:w="13866" w:type="dxa"/>
            <w:hideMark/>
          </w:tcPr>
          <w:p w:rsidRPr="0072536E" w:rsidR="00AA6926" w:rsidP="0072536E" w:rsidRDefault="00AA6926" w14:paraId="6659D2ED" w14:textId="2FFC9186">
            <w:pPr>
              <w:autoSpaceDN/>
              <w:spacing w:line="240" w:lineRule="auto"/>
              <w:textAlignment w:val="auto"/>
              <w:rPr>
                <w:rFonts w:eastAsia="Times New Roman" w:cs="Calibri"/>
              </w:rPr>
            </w:pPr>
            <w:r w:rsidRPr="0072536E">
              <w:rPr>
                <w:rFonts w:eastAsia="Times New Roman" w:cs="Calibri"/>
              </w:rPr>
              <w:t>Wet herziening vrijheidsbeneming jeugd</w:t>
            </w:r>
          </w:p>
        </w:tc>
      </w:tr>
      <w:tr w:rsidRPr="0072536E" w:rsidR="00AA6926" w:rsidTr="00AA6926" w14:paraId="6BE174C3" w14:textId="77777777">
        <w:trPr>
          <w:trHeight w:val="485"/>
        </w:trPr>
        <w:tc>
          <w:tcPr>
            <w:tcW w:w="13866" w:type="dxa"/>
            <w:hideMark/>
          </w:tcPr>
          <w:p w:rsidRPr="0072536E" w:rsidR="00AA6926" w:rsidP="0072536E" w:rsidRDefault="00AA6926" w14:paraId="072685A3" w14:textId="77777777">
            <w:pPr>
              <w:autoSpaceDN/>
              <w:spacing w:line="240" w:lineRule="auto"/>
              <w:textAlignment w:val="auto"/>
              <w:rPr>
                <w:rFonts w:eastAsia="Times New Roman" w:cs="Calibri"/>
              </w:rPr>
            </w:pPr>
            <w:r w:rsidRPr="0072536E">
              <w:rPr>
                <w:rFonts w:eastAsia="Times New Roman" w:cs="Calibri"/>
              </w:rPr>
              <w:t>Modernisering Coördinatiewet uitzonderingstoestanden</w:t>
            </w:r>
          </w:p>
        </w:tc>
      </w:tr>
      <w:tr w:rsidRPr="0072536E" w:rsidR="00AA6926" w:rsidTr="00AA6926" w14:paraId="1A85743E" w14:textId="77777777">
        <w:trPr>
          <w:trHeight w:val="485"/>
        </w:trPr>
        <w:tc>
          <w:tcPr>
            <w:tcW w:w="13866" w:type="dxa"/>
            <w:hideMark/>
          </w:tcPr>
          <w:p w:rsidRPr="0072536E" w:rsidR="00AA6926" w:rsidP="0072536E" w:rsidRDefault="00AA6926" w14:paraId="6C1C7370" w14:textId="77777777">
            <w:pPr>
              <w:autoSpaceDN/>
              <w:spacing w:line="240" w:lineRule="auto"/>
              <w:textAlignment w:val="auto"/>
              <w:rPr>
                <w:rFonts w:eastAsia="Times New Roman" w:cs="Calibri"/>
              </w:rPr>
            </w:pPr>
            <w:r w:rsidRPr="0072536E">
              <w:rPr>
                <w:rFonts w:eastAsia="Times New Roman" w:cs="Calibri"/>
              </w:rPr>
              <w:t>Wijziging van de Participatiewet in verband met het wijzigen van de bepalingen omtrent de ontzorging van asielstatushouders</w:t>
            </w:r>
          </w:p>
        </w:tc>
      </w:tr>
      <w:tr w:rsidRPr="0072536E" w:rsidR="00AA6926" w:rsidTr="00AA6926" w14:paraId="17AC6404" w14:textId="77777777">
        <w:trPr>
          <w:trHeight w:val="485"/>
        </w:trPr>
        <w:tc>
          <w:tcPr>
            <w:tcW w:w="13866" w:type="dxa"/>
            <w:hideMark/>
          </w:tcPr>
          <w:p w:rsidRPr="0072536E" w:rsidR="00AA6926" w:rsidP="0072536E" w:rsidRDefault="00AA6926" w14:paraId="1F90F8FA" w14:textId="77777777">
            <w:pPr>
              <w:autoSpaceDN/>
              <w:spacing w:line="240" w:lineRule="auto"/>
              <w:textAlignment w:val="auto"/>
              <w:rPr>
                <w:rFonts w:eastAsia="Times New Roman" w:cs="Calibri"/>
              </w:rPr>
            </w:pPr>
            <w:r w:rsidRPr="0072536E">
              <w:rPr>
                <w:rFonts w:eastAsia="Times New Roman" w:cs="Calibri"/>
              </w:rPr>
              <w:t>Wijziging van het voorstel van wet houdende wijziging van  de Penitentiaire beginselenwet in verband met aanvullende  maatregelen tegen georganiseerde criminaliteit tijdens detentie (36583)</w:t>
            </w:r>
          </w:p>
        </w:tc>
      </w:tr>
      <w:tr w:rsidRPr="0072536E" w:rsidR="00AA6926" w:rsidTr="00AA6926" w14:paraId="611EE254" w14:textId="77777777">
        <w:trPr>
          <w:trHeight w:val="971"/>
        </w:trPr>
        <w:tc>
          <w:tcPr>
            <w:tcW w:w="13866" w:type="dxa"/>
            <w:hideMark/>
          </w:tcPr>
          <w:p w:rsidRPr="0072536E" w:rsidR="00AA6926" w:rsidP="0072536E" w:rsidRDefault="00AA6926" w14:paraId="6380D958" w14:textId="2FBD5FD4">
            <w:pPr>
              <w:autoSpaceDN/>
              <w:spacing w:line="240" w:lineRule="auto"/>
              <w:textAlignment w:val="auto"/>
              <w:rPr>
                <w:rFonts w:eastAsia="Times New Roman" w:cs="Calibri"/>
              </w:rPr>
            </w:pPr>
            <w:r w:rsidRPr="0072536E">
              <w:rPr>
                <w:rFonts w:eastAsia="Times New Roman" w:cs="Calibri"/>
              </w:rPr>
              <w:t>Wijziging van de Wet inburgering 2021 in verband met het mogelijk maken van het</w:t>
            </w:r>
            <w:r>
              <w:rPr>
                <w:rFonts w:eastAsia="Times New Roman" w:cs="Calibri"/>
              </w:rPr>
              <w:t xml:space="preserve"> </w:t>
            </w:r>
            <w:r w:rsidRPr="0072536E">
              <w:rPr>
                <w:rFonts w:eastAsia="Times New Roman" w:cs="Calibri"/>
              </w:rPr>
              <w:t>opstellen van een nadere voorlopige uitkering</w:t>
            </w:r>
            <w:r>
              <w:rPr>
                <w:rFonts w:eastAsia="Times New Roman" w:cs="Calibri"/>
              </w:rPr>
              <w:t xml:space="preserve"> </w:t>
            </w:r>
            <w:r w:rsidRPr="0072536E">
              <w:rPr>
                <w:rFonts w:eastAsia="Times New Roman" w:cs="Calibri"/>
              </w:rPr>
              <w:t>aan gemeenten voor de kosten van</w:t>
            </w:r>
            <w:r>
              <w:rPr>
                <w:rFonts w:eastAsia="Times New Roman" w:cs="Calibri"/>
              </w:rPr>
              <w:t xml:space="preserve"> </w:t>
            </w:r>
            <w:r w:rsidRPr="0072536E">
              <w:rPr>
                <w:rFonts w:eastAsia="Times New Roman" w:cs="Calibri"/>
              </w:rPr>
              <w:t>voorzieningen die bijdragen aan het voldoen aan</w:t>
            </w:r>
            <w:r>
              <w:rPr>
                <w:rFonts w:eastAsia="Times New Roman" w:cs="Calibri"/>
              </w:rPr>
              <w:t xml:space="preserve"> </w:t>
            </w:r>
            <w:r w:rsidRPr="0072536E">
              <w:rPr>
                <w:rFonts w:eastAsia="Times New Roman" w:cs="Calibri"/>
              </w:rPr>
              <w:t>de inburgeringsplicht en het creëren van een</w:t>
            </w:r>
            <w:r>
              <w:rPr>
                <w:rFonts w:eastAsia="Times New Roman" w:cs="Calibri"/>
              </w:rPr>
              <w:t xml:space="preserve"> </w:t>
            </w:r>
            <w:r w:rsidRPr="0072536E">
              <w:rPr>
                <w:rFonts w:eastAsia="Times New Roman" w:cs="Calibri"/>
              </w:rPr>
              <w:t>grondslag voor de specifieke uitkering</w:t>
            </w:r>
            <w:r>
              <w:rPr>
                <w:rFonts w:eastAsia="Times New Roman" w:cs="Calibri"/>
              </w:rPr>
              <w:t xml:space="preserve"> </w:t>
            </w:r>
            <w:r w:rsidRPr="0072536E">
              <w:rPr>
                <w:rFonts w:eastAsia="Times New Roman" w:cs="Calibri"/>
              </w:rPr>
              <w:t>onderwijsroute</w:t>
            </w:r>
          </w:p>
        </w:tc>
      </w:tr>
      <w:tr w:rsidRPr="0072536E" w:rsidR="00AA6926" w:rsidTr="00AA6926" w14:paraId="4D79072C" w14:textId="77777777">
        <w:trPr>
          <w:trHeight w:val="485"/>
        </w:trPr>
        <w:tc>
          <w:tcPr>
            <w:tcW w:w="13866" w:type="dxa"/>
            <w:hideMark/>
          </w:tcPr>
          <w:p w:rsidRPr="0072536E" w:rsidR="00AA6926" w:rsidP="0072536E" w:rsidRDefault="00AA6926" w14:paraId="67EEC143" w14:textId="77777777">
            <w:pPr>
              <w:autoSpaceDN/>
              <w:spacing w:line="240" w:lineRule="auto"/>
              <w:textAlignment w:val="auto"/>
              <w:rPr>
                <w:rFonts w:eastAsia="Times New Roman" w:cs="Calibri"/>
              </w:rPr>
            </w:pPr>
            <w:r w:rsidRPr="0072536E">
              <w:rPr>
                <w:rFonts w:eastAsia="Times New Roman" w:cs="Calibri"/>
              </w:rPr>
              <w:t>Wijziging van de Penitentiaire beginselenwet</w:t>
            </w:r>
          </w:p>
        </w:tc>
      </w:tr>
    </w:tbl>
    <w:p w:rsidR="0072536E" w:rsidRDefault="0072536E" w14:paraId="7CEBCCA3" w14:textId="77777777"/>
    <w:p w:rsidR="0072536E" w:rsidRDefault="0072536E" w14:paraId="3B9A986B" w14:textId="77777777"/>
    <w:p w:rsidR="0072536E" w:rsidRDefault="0072536E" w14:paraId="156F626C" w14:textId="77777777"/>
    <w:p w:rsidR="0072536E" w:rsidRDefault="0072536E" w14:paraId="6B39CCB6" w14:textId="77777777"/>
    <w:p w:rsidR="0072536E" w:rsidRDefault="0072536E" w14:paraId="7FAC1D1B" w14:textId="77777777"/>
    <w:p w:rsidR="0072536E" w:rsidRDefault="0072536E" w14:paraId="6ACEC30B" w14:textId="77777777"/>
    <w:p w:rsidR="0072536E" w:rsidRDefault="0072536E" w14:paraId="19CF1112" w14:textId="77777777"/>
    <w:p w:rsidR="0072536E" w:rsidRDefault="0072536E" w14:paraId="0B4F6D9A" w14:textId="77777777"/>
    <w:p w:rsidR="0072536E" w:rsidRDefault="0072536E" w14:paraId="1FCC31C7" w14:textId="77777777"/>
    <w:p w:rsidR="0072536E" w:rsidRDefault="0072536E" w14:paraId="00ACBE70" w14:textId="77777777"/>
    <w:sectPr w:rsidR="0072536E">
      <w:headerReference w:type="default" r:id="rId9"/>
      <w:headerReference w:type="first" r:id="rId10"/>
      <w:pgSz w:w="16837" w:h="11905" w:orient="landscape"/>
      <w:pgMar w:top="3826" w:right="3917" w:bottom="566" w:left="952"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840C" w14:textId="77777777" w:rsidR="00AD21A8" w:rsidRDefault="00AD21A8">
      <w:pPr>
        <w:spacing w:line="240" w:lineRule="auto"/>
      </w:pPr>
      <w:r>
        <w:separator/>
      </w:r>
    </w:p>
  </w:endnote>
  <w:endnote w:type="continuationSeparator" w:id="0">
    <w:p w14:paraId="09690DF7" w14:textId="77777777" w:rsidR="00AD21A8" w:rsidRDefault="00AD2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2D91" w14:textId="77777777" w:rsidR="00AD21A8" w:rsidRDefault="00AD21A8">
      <w:pPr>
        <w:spacing w:line="240" w:lineRule="auto"/>
      </w:pPr>
      <w:r>
        <w:separator/>
      </w:r>
    </w:p>
  </w:footnote>
  <w:footnote w:type="continuationSeparator" w:id="0">
    <w:p w14:paraId="3A7FAF86" w14:textId="77777777" w:rsidR="00AD21A8" w:rsidRDefault="00AD2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884F" w14:textId="77777777" w:rsidR="00547316" w:rsidRDefault="00AA6926">
    <w:r>
      <w:rPr>
        <w:noProof/>
      </w:rPr>
      <mc:AlternateContent>
        <mc:Choice Requires="wps">
          <w:drawing>
            <wp:anchor distT="0" distB="0" distL="0" distR="0" simplePos="0" relativeHeight="251653120" behindDoc="0" locked="1" layoutInCell="1" allowOverlap="1" wp14:anchorId="44A4A59B" wp14:editId="7B72128E">
              <wp:simplePos x="0" y="0"/>
              <wp:positionH relativeFrom="page">
                <wp:posOffset>8981440</wp:posOffset>
              </wp:positionH>
              <wp:positionV relativeFrom="page">
                <wp:posOffset>1547495</wp:posOffset>
              </wp:positionV>
              <wp:extent cx="1277620" cy="43522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4352290"/>
                      </a:xfrm>
                      <a:prstGeom prst="rect">
                        <a:avLst/>
                      </a:prstGeom>
                      <a:noFill/>
                    </wps:spPr>
                    <wps:txbx>
                      <w:txbxContent>
                        <w:p w14:paraId="7332C02C" w14:textId="77777777" w:rsidR="00547316" w:rsidRDefault="00AA6926">
                          <w:pPr>
                            <w:pStyle w:val="Referentiegegevensbold"/>
                          </w:pPr>
                          <w:r>
                            <w:t>Datum</w:t>
                          </w:r>
                        </w:p>
                        <w:p w14:paraId="7D035449" w14:textId="29F617A3" w:rsidR="00547316" w:rsidRDefault="0006420B">
                          <w:pPr>
                            <w:pStyle w:val="Referentiegegevens"/>
                          </w:pPr>
                          <w:sdt>
                            <w:sdtPr>
                              <w:id w:val="152120457"/>
                              <w:date w:fullDate="2024-09-22T00:00:00Z">
                                <w:dateFormat w:val="d MMMM yyyy"/>
                                <w:lid w:val="nl"/>
                                <w:storeMappedDataAs w:val="dateTime"/>
                                <w:calendar w:val="gregorian"/>
                              </w:date>
                            </w:sdtPr>
                            <w:sdtEndPr/>
                            <w:sdtContent>
                              <w:r w:rsidR="00724F85">
                                <w:t>22</w:t>
                              </w:r>
                              <w:r w:rsidR="00AA6926">
                                <w:t xml:space="preserve"> september 2024</w:t>
                              </w:r>
                            </w:sdtContent>
                          </w:sdt>
                        </w:p>
                        <w:p w14:paraId="03C581EA" w14:textId="77777777" w:rsidR="00547316" w:rsidRDefault="00547316">
                          <w:pPr>
                            <w:pStyle w:val="WitregelW1"/>
                          </w:pPr>
                        </w:p>
                        <w:p w14:paraId="4B159831" w14:textId="77777777" w:rsidR="00547316" w:rsidRDefault="00AA6926">
                          <w:pPr>
                            <w:pStyle w:val="Referentiegegevensbold"/>
                          </w:pPr>
                          <w:r>
                            <w:t>Onze referentie</w:t>
                          </w:r>
                        </w:p>
                        <w:p w14:paraId="167C73C2" w14:textId="77777777" w:rsidR="00547316" w:rsidRDefault="00AA6926">
                          <w:pPr>
                            <w:pStyle w:val="Referentiegegevens"/>
                          </w:pPr>
                          <w:r>
                            <w:t>5778828</w:t>
                          </w:r>
                        </w:p>
                      </w:txbxContent>
                    </wps:txbx>
                    <wps:bodyPr vert="horz" wrap="square" lIns="0" tIns="0" rIns="0" bIns="0" anchor="t" anchorCtr="0"/>
                  </wps:wsp>
                </a:graphicData>
              </a:graphic>
            </wp:anchor>
          </w:drawing>
        </mc:Choice>
        <mc:Fallback>
          <w:pict>
            <v:shapetype w14:anchorId="44A4A59B" id="_x0000_t202" coordsize="21600,21600" o:spt="202" path="m,l,21600r21600,l21600,xe">
              <v:stroke joinstyle="miter"/>
              <v:path gradientshapeok="t" o:connecttype="rect"/>
            </v:shapetype>
            <v:shape id="46fef022-aa3c-11ea-a756-beb5f67e67be" o:spid="_x0000_s1026" type="#_x0000_t202" style="position:absolute;margin-left:707.2pt;margin-top:121.85pt;width:100.6pt;height:34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" filled="f" stroked="f">
              <v:textbox inset="0,0,0,0">
                <w:txbxContent>
                  <w:p w14:paraId="7332C02C" w14:textId="77777777" w:rsidR="00547316" w:rsidRDefault="00AA6926">
                    <w:pPr>
                      <w:pStyle w:val="Referentiegegevensbold"/>
                    </w:pPr>
                    <w:r>
                      <w:t>Datum</w:t>
                    </w:r>
                  </w:p>
                  <w:p w14:paraId="7D035449" w14:textId="29F617A3" w:rsidR="00547316" w:rsidRDefault="0006420B">
                    <w:pPr>
                      <w:pStyle w:val="Referentiegegevens"/>
                    </w:pPr>
                    <w:sdt>
                      <w:sdtPr>
                        <w:id w:val="152120457"/>
                        <w:date w:fullDate="2024-09-22T00:00:00Z">
                          <w:dateFormat w:val="d MMMM yyyy"/>
                          <w:lid w:val="nl"/>
                          <w:storeMappedDataAs w:val="dateTime"/>
                          <w:calendar w:val="gregorian"/>
                        </w:date>
                      </w:sdtPr>
                      <w:sdtEndPr/>
                      <w:sdtContent>
                        <w:r w:rsidR="00724F85">
                          <w:t>22</w:t>
                        </w:r>
                        <w:r w:rsidR="00AA6926">
                          <w:t xml:space="preserve"> september 2024</w:t>
                        </w:r>
                      </w:sdtContent>
                    </w:sdt>
                  </w:p>
                  <w:p w14:paraId="03C581EA" w14:textId="77777777" w:rsidR="00547316" w:rsidRDefault="00547316">
                    <w:pPr>
                      <w:pStyle w:val="WitregelW1"/>
                    </w:pPr>
                  </w:p>
                  <w:p w14:paraId="4B159831" w14:textId="77777777" w:rsidR="00547316" w:rsidRDefault="00AA6926">
                    <w:pPr>
                      <w:pStyle w:val="Referentiegegevensbold"/>
                    </w:pPr>
                    <w:r>
                      <w:t>Onze referentie</w:t>
                    </w:r>
                  </w:p>
                  <w:p w14:paraId="167C73C2" w14:textId="77777777" w:rsidR="00547316" w:rsidRDefault="00AA6926">
                    <w:pPr>
                      <w:pStyle w:val="Referentiegegevens"/>
                    </w:pPr>
                    <w:r>
                      <w:t>5778828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3EDD53" wp14:editId="20BDB037">
              <wp:simplePos x="0" y="0"/>
              <wp:positionH relativeFrom="page">
                <wp:posOffset>8981440</wp:posOffset>
              </wp:positionH>
              <wp:positionV relativeFrom="page">
                <wp:posOffset>7000875</wp:posOffset>
              </wp:positionV>
              <wp:extent cx="1285875" cy="161925"/>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FF69E2" w14:textId="77777777" w:rsidR="00ED1BDC" w:rsidRDefault="00ED1BDC"/>
                      </w:txbxContent>
                    </wps:txbx>
                    <wps:bodyPr vert="horz" wrap="square" lIns="0" tIns="0" rIns="0" bIns="0" anchor="t" anchorCtr="0"/>
                  </wps:wsp>
                </a:graphicData>
              </a:graphic>
            </wp:anchor>
          </w:drawing>
        </mc:Choice>
        <mc:Fallback>
          <w:pict>
            <v:shape w14:anchorId="623EDD53" id="46fef06f-aa3c-11ea-a756-beb5f67e67be" o:spid="_x0000_s1027" type="#_x0000_t202" style="position:absolute;margin-left:707.2pt;margin-top:551.25pt;width:101.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" filled="f" stroked="f">
              <v:textbox inset="0,0,0,0">
                <w:txbxContent>
                  <w:p w14:paraId="03FF69E2" w14:textId="77777777" w:rsidR="00ED1BDC" w:rsidRDefault="00ED1BD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1DF983" wp14:editId="20F9CDAA">
              <wp:simplePos x="0" y="0"/>
              <wp:positionH relativeFrom="page">
                <wp:posOffset>604520</wp:posOffset>
              </wp:positionH>
              <wp:positionV relativeFrom="page">
                <wp:posOffset>1547495</wp:posOffset>
              </wp:positionV>
              <wp:extent cx="4787900" cy="161925"/>
              <wp:effectExtent l="0" t="0" r="0" b="0"/>
              <wp:wrapNone/>
              <wp:docPr id="3"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B91C66" w14:textId="77777777" w:rsidR="00ED1BDC" w:rsidRDefault="00ED1BDC"/>
                      </w:txbxContent>
                    </wps:txbx>
                    <wps:bodyPr vert="horz" wrap="square" lIns="0" tIns="0" rIns="0" bIns="0" anchor="t" anchorCtr="0"/>
                  </wps:wsp>
                </a:graphicData>
              </a:graphic>
            </wp:anchor>
          </w:drawing>
        </mc:Choice>
        <mc:Fallback>
          <w:pict>
            <v:shape w14:anchorId="281DF983" id="46feee07-aa3c-11ea-a756-beb5f67e67be" o:spid="_x0000_s1028" type="#_x0000_t202" style="position:absolute;margin-left:47.6pt;margin-top:121.85pt;width:377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" filled="f" stroked="f">
              <v:textbox inset="0,0,0,0">
                <w:txbxContent>
                  <w:p w14:paraId="6FB91C66" w14:textId="77777777" w:rsidR="00ED1BDC" w:rsidRDefault="00ED1BD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1668" w14:textId="77777777" w:rsidR="00547316" w:rsidRDefault="00AA6926">
    <w:r>
      <w:rPr>
        <w:noProof/>
      </w:rPr>
      <mc:AlternateContent>
        <mc:Choice Requires="wps">
          <w:drawing>
            <wp:anchor distT="0" distB="0" distL="0" distR="0" simplePos="0" relativeHeight="251656192" behindDoc="0" locked="1" layoutInCell="1" allowOverlap="1" wp14:anchorId="2A53B9A4" wp14:editId="69059BF9">
              <wp:simplePos x="0" y="0"/>
              <wp:positionH relativeFrom="page">
                <wp:posOffset>604520</wp:posOffset>
              </wp:positionH>
              <wp:positionV relativeFrom="page">
                <wp:posOffset>1547495</wp:posOffset>
              </wp:positionV>
              <wp:extent cx="4787900" cy="208915"/>
              <wp:effectExtent l="0" t="0" r="0" b="0"/>
              <wp:wrapNone/>
              <wp:docPr id="4" name="46ff9a2f-aa3c-11ea-a756-beb5f67e67be"/>
              <wp:cNvGraphicFramePr/>
              <a:graphic xmlns:a="http://schemas.openxmlformats.org/drawingml/2006/main">
                <a:graphicData uri="http://schemas.microsoft.com/office/word/2010/wordprocessingShape">
                  <wps:wsp>
                    <wps:cNvSpPr txBox="1"/>
                    <wps:spPr>
                      <a:xfrm>
                        <a:off x="0" y="0"/>
                        <a:ext cx="4787900" cy="208915"/>
                      </a:xfrm>
                      <a:prstGeom prst="rect">
                        <a:avLst/>
                      </a:prstGeom>
                      <a:noFill/>
                    </wps:spPr>
                    <wps:txbx>
                      <w:txbxContent>
                        <w:p w14:paraId="6DF9ADED" w14:textId="77777777" w:rsidR="00ED1BDC" w:rsidRDefault="00ED1BDC"/>
                      </w:txbxContent>
                    </wps:txbx>
                    <wps:bodyPr vert="horz" wrap="square" lIns="0" tIns="0" rIns="0" bIns="0" anchor="t" anchorCtr="0"/>
                  </wps:wsp>
                </a:graphicData>
              </a:graphic>
            </wp:anchor>
          </w:drawing>
        </mc:Choice>
        <mc:Fallback>
          <w:pict>
            <v:shapetype w14:anchorId="2A53B9A4" id="_x0000_t202" coordsize="21600,21600" o:spt="202" path="m,l,21600r21600,l21600,xe">
              <v:stroke joinstyle="miter"/>
              <v:path gradientshapeok="t" o:connecttype="rect"/>
            </v:shapetype>
            <v:shape id="46ff9a2f-aa3c-11ea-a756-beb5f67e67be" o:spid="_x0000_s1029" type="#_x0000_t202" style="position:absolute;margin-left:47.6pt;margin-top:121.85pt;width:377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" filled="f" stroked="f">
              <v:textbox inset="0,0,0,0">
                <w:txbxContent>
                  <w:p w14:paraId="6DF9ADED" w14:textId="77777777" w:rsidR="00ED1BDC" w:rsidRDefault="00ED1BD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3D7FAB" wp14:editId="2D577F4A">
              <wp:simplePos x="0" y="0"/>
              <wp:positionH relativeFrom="page">
                <wp:posOffset>2019300</wp:posOffset>
              </wp:positionH>
              <wp:positionV relativeFrom="page">
                <wp:posOffset>1979930</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6F4BCDB7" w14:textId="3B325EBB" w:rsidR="00547316" w:rsidRDefault="00AA6926">
                          <w:r>
                            <w:t>Wetgevingsprogramma per bewindspersoon</w:t>
                          </w:r>
                          <w:r w:rsidR="00724F85">
                            <w:t xml:space="preserve"> (lopende trajecten)</w:t>
                          </w:r>
                        </w:p>
                      </w:txbxContent>
                    </wps:txbx>
                    <wps:bodyPr vert="horz" wrap="square" lIns="0" tIns="0" rIns="0" bIns="0" anchor="t" anchorCtr="0"/>
                  </wps:wsp>
                </a:graphicData>
              </a:graphic>
            </wp:anchor>
          </w:drawing>
        </mc:Choice>
        <mc:Fallback>
          <w:pict>
            <v:shape w14:anchorId="173D7FAB" id="46feebd0-aa3c-11ea-a756-beb5f67e67be" o:spid="_x0000_s1030" type="#_x0000_t202" style="position:absolute;margin-left:159pt;margin-top:155.9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" filled="f" stroked="f">
              <v:textbox inset="0,0,0,0">
                <w:txbxContent>
                  <w:p w14:paraId="6F4BCDB7" w14:textId="3B325EBB" w:rsidR="00547316" w:rsidRDefault="00AA6926">
                    <w:r>
                      <w:t>Wetgevingsprogramma per bewindspersoon</w:t>
                    </w:r>
                    <w:r w:rsidR="00724F85">
                      <w:t xml:space="preserve"> (lopende trajecten)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BB0E41" wp14:editId="731E9B51">
              <wp:simplePos x="0" y="0"/>
              <wp:positionH relativeFrom="page">
                <wp:posOffset>8981440</wp:posOffset>
              </wp:positionH>
              <wp:positionV relativeFrom="page">
                <wp:posOffset>1547495</wp:posOffset>
              </wp:positionV>
              <wp:extent cx="1277620" cy="43522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4352290"/>
                      </a:xfrm>
                      <a:prstGeom prst="rect">
                        <a:avLst/>
                      </a:prstGeom>
                      <a:noFill/>
                    </wps:spPr>
                    <wps:txbx>
                      <w:txbxContent>
                        <w:p w14:paraId="7C948B13" w14:textId="77777777" w:rsidR="00547316" w:rsidRDefault="00AA6926">
                          <w:pPr>
                            <w:pStyle w:val="Referentiegegevensbold"/>
                          </w:pPr>
                          <w:r>
                            <w:t>Datum</w:t>
                          </w:r>
                        </w:p>
                        <w:p w14:paraId="69A85A0D" w14:textId="601FC836" w:rsidR="00547316" w:rsidRDefault="0006420B">
                          <w:pPr>
                            <w:pStyle w:val="Referentiegegevens"/>
                          </w:pPr>
                          <w:sdt>
                            <w:sdtPr>
                              <w:id w:val="-1733995679"/>
                              <w:date w:fullDate="2024-09-22T00:00:00Z">
                                <w:dateFormat w:val="d MMMM yyyy"/>
                                <w:lid w:val="nl"/>
                                <w:storeMappedDataAs w:val="dateTime"/>
                                <w:calendar w:val="gregorian"/>
                              </w:date>
                            </w:sdtPr>
                            <w:sdtEndPr/>
                            <w:sdtContent>
                              <w:r w:rsidR="00724F85">
                                <w:t>22 september</w:t>
                              </w:r>
                              <w:r w:rsidR="00AA6926">
                                <w:t xml:space="preserve"> 2024</w:t>
                              </w:r>
                            </w:sdtContent>
                          </w:sdt>
                        </w:p>
                        <w:p w14:paraId="7A939231" w14:textId="77777777" w:rsidR="00547316" w:rsidRDefault="00547316">
                          <w:pPr>
                            <w:pStyle w:val="WitregelW1"/>
                          </w:pPr>
                        </w:p>
                        <w:p w14:paraId="0A5C4A1B" w14:textId="77777777" w:rsidR="00547316" w:rsidRDefault="00AA6926">
                          <w:pPr>
                            <w:pStyle w:val="Referentiegegevensbold"/>
                          </w:pPr>
                          <w:r>
                            <w:t>Onze referentie</w:t>
                          </w:r>
                        </w:p>
                        <w:p w14:paraId="11939B4B" w14:textId="77777777" w:rsidR="00547316" w:rsidRDefault="00AA6926">
                          <w:pPr>
                            <w:pStyle w:val="Referentiegegevens"/>
                          </w:pPr>
                          <w:r>
                            <w:t>5778828</w:t>
                          </w:r>
                        </w:p>
                      </w:txbxContent>
                    </wps:txbx>
                    <wps:bodyPr vert="horz" wrap="square" lIns="0" tIns="0" rIns="0" bIns="0" anchor="t" anchorCtr="0"/>
                  </wps:wsp>
                </a:graphicData>
              </a:graphic>
            </wp:anchor>
          </w:drawing>
        </mc:Choice>
        <mc:Fallback>
          <w:pict>
            <v:shape w14:anchorId="10BB0E41" id="46feec20-aa3c-11ea-a756-beb5f67e67be" o:spid="_x0000_s1031" type="#_x0000_t202" style="position:absolute;margin-left:707.2pt;margin-top:121.85pt;width:100.6pt;height:34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" filled="f" stroked="f">
              <v:textbox inset="0,0,0,0">
                <w:txbxContent>
                  <w:p w14:paraId="7C948B13" w14:textId="77777777" w:rsidR="00547316" w:rsidRDefault="00AA6926">
                    <w:pPr>
                      <w:pStyle w:val="Referentiegegevensbold"/>
                    </w:pPr>
                    <w:r>
                      <w:t>Datum</w:t>
                    </w:r>
                  </w:p>
                  <w:p w14:paraId="69A85A0D" w14:textId="601FC836" w:rsidR="00547316" w:rsidRDefault="0006420B">
                    <w:pPr>
                      <w:pStyle w:val="Referentiegegevens"/>
                    </w:pPr>
                    <w:sdt>
                      <w:sdtPr>
                        <w:id w:val="-1733995679"/>
                        <w:date w:fullDate="2024-09-22T00:00:00Z">
                          <w:dateFormat w:val="d MMMM yyyy"/>
                          <w:lid w:val="nl"/>
                          <w:storeMappedDataAs w:val="dateTime"/>
                          <w:calendar w:val="gregorian"/>
                        </w:date>
                      </w:sdtPr>
                      <w:sdtEndPr/>
                      <w:sdtContent>
                        <w:r w:rsidR="00724F85">
                          <w:t>22 september</w:t>
                        </w:r>
                        <w:r w:rsidR="00AA6926">
                          <w:t xml:space="preserve"> 2024</w:t>
                        </w:r>
                      </w:sdtContent>
                    </w:sdt>
                  </w:p>
                  <w:p w14:paraId="7A939231" w14:textId="77777777" w:rsidR="00547316" w:rsidRDefault="00547316">
                    <w:pPr>
                      <w:pStyle w:val="WitregelW1"/>
                    </w:pPr>
                  </w:p>
                  <w:p w14:paraId="0A5C4A1B" w14:textId="77777777" w:rsidR="00547316" w:rsidRDefault="00AA6926">
                    <w:pPr>
                      <w:pStyle w:val="Referentiegegevensbold"/>
                    </w:pPr>
                    <w:r>
                      <w:t>Onze referentie</w:t>
                    </w:r>
                  </w:p>
                  <w:p w14:paraId="11939B4B" w14:textId="77777777" w:rsidR="00547316" w:rsidRDefault="00AA6926">
                    <w:pPr>
                      <w:pStyle w:val="Referentiegegevens"/>
                    </w:pPr>
                    <w:r>
                      <w:t>5778828</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8396C1B" wp14:editId="4DF54769">
              <wp:simplePos x="0" y="0"/>
              <wp:positionH relativeFrom="page">
                <wp:posOffset>8981440</wp:posOffset>
              </wp:positionH>
              <wp:positionV relativeFrom="page">
                <wp:posOffset>7257415</wp:posOffset>
              </wp:positionV>
              <wp:extent cx="1285875" cy="161925"/>
              <wp:effectExtent l="0" t="0" r="0" b="0"/>
              <wp:wrapNone/>
              <wp:docPr id="7" name="46feecbe-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46FCEF" w14:textId="741871CB" w:rsidR="00547316" w:rsidRDefault="00AA6926">
                          <w:pPr>
                            <w:pStyle w:val="Referentiegegevens"/>
                          </w:pPr>
                          <w:r>
                            <w:t xml:space="preserve">Pagina </w:t>
                          </w:r>
                          <w:r>
                            <w:fldChar w:fldCharType="begin"/>
                          </w:r>
                          <w:r>
                            <w:instrText>PAGE</w:instrText>
                          </w:r>
                          <w:r>
                            <w:fldChar w:fldCharType="separate"/>
                          </w:r>
                          <w:r w:rsidR="0006420B">
                            <w:rPr>
                              <w:noProof/>
                            </w:rPr>
                            <w:t>1</w:t>
                          </w:r>
                          <w:r>
                            <w:fldChar w:fldCharType="end"/>
                          </w:r>
                          <w:r>
                            <w:t xml:space="preserve"> van </w:t>
                          </w:r>
                          <w:r>
                            <w:fldChar w:fldCharType="begin"/>
                          </w:r>
                          <w:r>
                            <w:instrText>NUMPAGES</w:instrText>
                          </w:r>
                          <w:r>
                            <w:fldChar w:fldCharType="separate"/>
                          </w:r>
                          <w:r w:rsidR="0006420B">
                            <w:rPr>
                              <w:noProof/>
                            </w:rPr>
                            <w:t>1</w:t>
                          </w:r>
                          <w:r>
                            <w:fldChar w:fldCharType="end"/>
                          </w:r>
                        </w:p>
                      </w:txbxContent>
                    </wps:txbx>
                    <wps:bodyPr vert="horz" wrap="square" lIns="0" tIns="0" rIns="0" bIns="0" anchor="t" anchorCtr="0"/>
                  </wps:wsp>
                </a:graphicData>
              </a:graphic>
            </wp:anchor>
          </w:drawing>
        </mc:Choice>
        <mc:Fallback>
          <w:pict>
            <v:shape w14:anchorId="78396C1B" id="46feecbe-aa3c-11ea-a756-beb5f67e67be" o:spid="_x0000_s1032" type="#_x0000_t202" style="position:absolute;margin-left:707.2pt;margin-top:571.45pt;width:101.25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" filled="f" stroked="f">
              <v:textbox inset="0,0,0,0">
                <w:txbxContent>
                  <w:p w14:paraId="6D46FCEF" w14:textId="741871CB" w:rsidR="00547316" w:rsidRDefault="00AA6926">
                    <w:pPr>
                      <w:pStyle w:val="Referentiegegevens"/>
                    </w:pPr>
                    <w:r>
                      <w:t xml:space="preserve">Pagina </w:t>
                    </w:r>
                    <w:r>
                      <w:fldChar w:fldCharType="begin"/>
                    </w:r>
                    <w:r>
                      <w:instrText>PAGE</w:instrText>
                    </w:r>
                    <w:r>
                      <w:fldChar w:fldCharType="separate"/>
                    </w:r>
                    <w:r w:rsidR="0006420B">
                      <w:rPr>
                        <w:noProof/>
                      </w:rPr>
                      <w:t>1</w:t>
                    </w:r>
                    <w:r>
                      <w:fldChar w:fldCharType="end"/>
                    </w:r>
                    <w:r>
                      <w:t xml:space="preserve"> van </w:t>
                    </w:r>
                    <w:r>
                      <w:fldChar w:fldCharType="begin"/>
                    </w:r>
                    <w:r>
                      <w:instrText>NUMPAGES</w:instrText>
                    </w:r>
                    <w:r>
                      <w:fldChar w:fldCharType="separate"/>
                    </w:r>
                    <w:r w:rsidR="0006420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C16DDF" wp14:editId="78A0DEF9">
              <wp:simplePos x="0" y="0"/>
              <wp:positionH relativeFrom="page">
                <wp:posOffset>5122545</wp:posOffset>
              </wp:positionH>
              <wp:positionV relativeFrom="page">
                <wp:posOffset>-395605</wp:posOffset>
              </wp:positionV>
              <wp:extent cx="467995" cy="1583055"/>
              <wp:effectExtent l="0" t="0" r="0" b="0"/>
              <wp:wrapNone/>
              <wp:docPr id="8"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1C0CC6" w14:textId="77777777" w:rsidR="00547316" w:rsidRDefault="00AA6926">
                          <w:pPr>
                            <w:spacing w:line="240" w:lineRule="auto"/>
                          </w:pPr>
                          <w:r>
                            <w:rPr>
                              <w:noProof/>
                            </w:rPr>
                            <w:drawing>
                              <wp:inline distT="0" distB="0" distL="0" distR="0" wp14:anchorId="0B061A56" wp14:editId="042D111D">
                                <wp:extent cx="467995" cy="1583865"/>
                                <wp:effectExtent l="0" t="0" r="0" b="0"/>
                                <wp:docPr id="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9"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C16DDF" id="46feed0e-aa3c-11ea-a756-beb5f67e67be" o:spid="_x0000_s1033" type="#_x0000_t202" style="position:absolute;margin-left:403.35pt;margin-top:-31.15pt;width:36.85pt;height:1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" filled="f" stroked="f">
              <v:textbox inset="0,0,0,0">
                <w:txbxContent>
                  <w:p w14:paraId="731C0CC6" w14:textId="77777777" w:rsidR="00547316" w:rsidRDefault="00AA6926">
                    <w:pPr>
                      <w:spacing w:line="240" w:lineRule="auto"/>
                    </w:pPr>
                    <w:r>
                      <w:rPr>
                        <w:noProof/>
                      </w:rPr>
                      <w:drawing>
                        <wp:inline distT="0" distB="0" distL="0" distR="0" wp14:anchorId="0B061A56" wp14:editId="042D111D">
                          <wp:extent cx="467995" cy="1583865"/>
                          <wp:effectExtent l="0" t="0" r="0" b="0"/>
                          <wp:docPr id="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9"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96E3ED" wp14:editId="0DB2E37A">
              <wp:simplePos x="0" y="0"/>
              <wp:positionH relativeFrom="page">
                <wp:posOffset>5590540</wp:posOffset>
              </wp:positionH>
              <wp:positionV relativeFrom="page">
                <wp:posOffset>-395605</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BA0C2B" w14:textId="77777777" w:rsidR="00547316" w:rsidRDefault="00AA6926">
                          <w:pPr>
                            <w:spacing w:line="240" w:lineRule="auto"/>
                          </w:pPr>
                          <w:r>
                            <w:rPr>
                              <w:noProof/>
                            </w:rPr>
                            <w:drawing>
                              <wp:inline distT="0" distB="0" distL="0" distR="0" wp14:anchorId="4FF63E08" wp14:editId="34B69119">
                                <wp:extent cx="2339975" cy="1582834"/>
                                <wp:effectExtent l="0" t="0" r="0" b="0"/>
                                <wp:docPr id="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96E3ED" id="46feed67-aa3c-11ea-a756-beb5f67e67be" o:spid="_x0000_s1034" type="#_x0000_t202" style="position:absolute;margin-left:440.2pt;margin-top:-31.15pt;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" filled="f" stroked="f">
              <v:textbox inset="0,0,0,0">
                <w:txbxContent>
                  <w:p w14:paraId="56BA0C2B" w14:textId="77777777" w:rsidR="00547316" w:rsidRDefault="00AA6926">
                    <w:pPr>
                      <w:spacing w:line="240" w:lineRule="auto"/>
                    </w:pPr>
                    <w:r>
                      <w:rPr>
                        <w:noProof/>
                      </w:rPr>
                      <w:drawing>
                        <wp:inline distT="0" distB="0" distL="0" distR="0" wp14:anchorId="4FF63E08" wp14:editId="34B69119">
                          <wp:extent cx="2339975" cy="1582834"/>
                          <wp:effectExtent l="0" t="0" r="0" b="0"/>
                          <wp:docPr id="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CD73C6" wp14:editId="3EDF2C1A">
              <wp:simplePos x="0" y="0"/>
              <wp:positionH relativeFrom="page">
                <wp:posOffset>604520</wp:posOffset>
              </wp:positionH>
              <wp:positionV relativeFrom="page">
                <wp:posOffset>1763395</wp:posOffset>
              </wp:positionV>
              <wp:extent cx="1238250" cy="533400"/>
              <wp:effectExtent l="0" t="0" r="0" b="0"/>
              <wp:wrapNone/>
              <wp:docPr id="12"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34DECF4A" w14:textId="77777777" w:rsidR="00547316" w:rsidRDefault="00AA6926">
                          <w:pPr>
                            <w:spacing w:line="240" w:lineRule="auto"/>
                          </w:pPr>
                          <w:r>
                            <w:rPr>
                              <w:noProof/>
                            </w:rPr>
                            <w:drawing>
                              <wp:inline distT="0" distB="0" distL="0" distR="0" wp14:anchorId="5AE93DE7" wp14:editId="40F8AE3F">
                                <wp:extent cx="1238250" cy="536370"/>
                                <wp:effectExtent l="0" t="0" r="0" b="0"/>
                                <wp:docPr id="13"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3"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CD73C6" id="46fef31b-aa3c-11ea-a756-beb5f67e67be" o:spid="_x0000_s1035" type="#_x0000_t202" style="position:absolute;margin-left:47.6pt;margin-top:138.85pt;width:97.5pt;height:4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" filled="f" stroked="f">
              <v:textbox inset="0,0,0,0">
                <w:txbxContent>
                  <w:p w14:paraId="34DECF4A" w14:textId="77777777" w:rsidR="00547316" w:rsidRDefault="00AA6926">
                    <w:pPr>
                      <w:spacing w:line="240" w:lineRule="auto"/>
                    </w:pPr>
                    <w:r>
                      <w:rPr>
                        <w:noProof/>
                      </w:rPr>
                      <w:drawing>
                        <wp:inline distT="0" distB="0" distL="0" distR="0" wp14:anchorId="5AE93DE7" wp14:editId="40F8AE3F">
                          <wp:extent cx="1238250" cy="536370"/>
                          <wp:effectExtent l="0" t="0" r="0" b="0"/>
                          <wp:docPr id="13"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3"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24DE0"/>
    <w:multiLevelType w:val="multilevel"/>
    <w:tmpl w:val="9153A7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34D9F84"/>
    <w:multiLevelType w:val="multilevel"/>
    <w:tmpl w:val="F05002B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126813"/>
    <w:multiLevelType w:val="multilevel"/>
    <w:tmpl w:val="F7C81A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0D9E15F"/>
    <w:multiLevelType w:val="multilevel"/>
    <w:tmpl w:val="E19DCB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A79B4B2"/>
    <w:multiLevelType w:val="multilevel"/>
    <w:tmpl w:val="3C96F6A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9875C0D"/>
    <w:multiLevelType w:val="multilevel"/>
    <w:tmpl w:val="E172CA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6E"/>
    <w:rsid w:val="0006420B"/>
    <w:rsid w:val="000A171B"/>
    <w:rsid w:val="00547316"/>
    <w:rsid w:val="00724F85"/>
    <w:rsid w:val="0072536E"/>
    <w:rsid w:val="00923C5E"/>
    <w:rsid w:val="00AA6926"/>
    <w:rsid w:val="00AD21A8"/>
    <w:rsid w:val="00ED1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253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536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6315">
      <w:bodyDiv w:val="1"/>
      <w:marLeft w:val="0"/>
      <w:marRight w:val="0"/>
      <w:marTop w:val="0"/>
      <w:marBottom w:val="0"/>
      <w:divBdr>
        <w:top w:val="none" w:sz="0" w:space="0" w:color="auto"/>
        <w:left w:val="none" w:sz="0" w:space="0" w:color="auto"/>
        <w:bottom w:val="none" w:sz="0" w:space="0" w:color="auto"/>
        <w:right w:val="none" w:sz="0" w:space="0" w:color="auto"/>
      </w:divBdr>
    </w:div>
    <w:div w:id="1126123051">
      <w:bodyDiv w:val="1"/>
      <w:marLeft w:val="0"/>
      <w:marRight w:val="0"/>
      <w:marTop w:val="0"/>
      <w:marBottom w:val="0"/>
      <w:divBdr>
        <w:top w:val="none" w:sz="0" w:space="0" w:color="auto"/>
        <w:left w:val="none" w:sz="0" w:space="0" w:color="auto"/>
        <w:bottom w:val="none" w:sz="0" w:space="0" w:color="auto"/>
        <w:right w:val="none" w:sz="0" w:space="0" w:color="auto"/>
      </w:divBdr>
    </w:div>
    <w:div w:id="1204058794">
      <w:bodyDiv w:val="1"/>
      <w:marLeft w:val="0"/>
      <w:marRight w:val="0"/>
      <w:marTop w:val="0"/>
      <w:marBottom w:val="0"/>
      <w:divBdr>
        <w:top w:val="none" w:sz="0" w:space="0" w:color="auto"/>
        <w:left w:val="none" w:sz="0" w:space="0" w:color="auto"/>
        <w:bottom w:val="none" w:sz="0" w:space="0" w:color="auto"/>
        <w:right w:val="none" w:sz="0" w:space="0" w:color="auto"/>
      </w:divBdr>
    </w:div>
    <w:div w:id="209508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846</ap:Words>
  <ap:Characters>4659</ap:Characters>
  <ap:DocSecurity>0</ap:DocSecurity>
  <ap:Lines>38</ap:Lines>
  <ap:Paragraphs>10</ap:Paragraphs>
  <ap:ScaleCrop>false</ap:ScaleCrop>
  <ap:LinksUpToDate>false</ap:LinksUpToDate>
  <ap:CharactersWithSpaces>5495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2024-10-03T13:15:00.0000000Z</dcterms:created>
  <dcterms:modified xsi:type="dcterms:W3CDTF">2024-10-03T13:15:00.0000000Z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liggend - Wetgevingsprogramma per bewindspersoon</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september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5778828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Informatiecategorie Beleidslijn">
    <vt:lpwstr/>
  </property>
  <property fmtid="{D5CDD505-2E9C-101B-9397-08002B2CF9AE}" pid="27" name="VA_Niet openbaar">
    <vt:lpwstr/>
  </property>
</Properties>
</file>