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B1056B" w:rsidP="00B1056B" w:rsidRDefault="00B1056B" w14:paraId="06871E7E" w14:textId="77777777">
      <w:pPr>
        <w:rPr>
          <w:szCs w:val="18"/>
        </w:rPr>
      </w:pPr>
      <w:r>
        <w:rPr>
          <w:szCs w:val="18"/>
        </w:rPr>
        <w:t>Geachte Voorzitter,</w:t>
      </w:r>
    </w:p>
    <w:p w:rsidR="00B1056B" w:rsidP="00B1056B" w:rsidRDefault="00B1056B" w14:paraId="08A971E3" w14:textId="1F6A4B75">
      <w:r>
        <w:br/>
        <w:t>Hierbij informeer ik uw Kamer over de voorgenomen Nederlandse standpunten inzake de onderwerpen die ter stemming worden voorgelegd aan het eerstvolgende Standing Committee on Plants, Animals, Food and Feed (SCoPAFF) over regelgeving voor gewasbescherming. Het overleg vindt plaats op 2 en 3</w:t>
      </w:r>
      <w:r w:rsidR="00EB334C">
        <w:t> </w:t>
      </w:r>
      <w:r>
        <w:t>oktober 2024. De standpunten zijn ambtelijk voorbereid met de ministeries van Infrastructuur en Waterstaat (lenW), Sociale Zaken en Werkgelegenheid (SZW) en Volksgezondheid, Welzijn en Sport (VWS), op basis van advisering door het College voor de toelating van gewasbeschermingsmiddelen en biociden (Ctgb).</w:t>
      </w:r>
    </w:p>
    <w:p w:rsidR="00B1056B" w:rsidP="00B1056B" w:rsidRDefault="00B1056B" w14:paraId="6782C816" w14:textId="77777777"/>
    <w:p w:rsidR="00B1056B" w:rsidP="00B1056B" w:rsidRDefault="00B1056B" w14:paraId="1F42DDCB" w14:textId="77777777">
      <w:r>
        <w:t>De onderstaande punten staan op de agenda ter (mogelijke) stemming (de zogenaamde B-punten).</w:t>
      </w:r>
    </w:p>
    <w:p w:rsidRPr="00C5225B" w:rsidR="00B1056B" w:rsidP="00B1056B" w:rsidRDefault="001F6648" w14:paraId="3E8A4874" w14:textId="54C6F067">
      <w:pPr>
        <w:rPr>
          <w:u w:val="single"/>
        </w:rPr>
      </w:pPr>
      <w:r>
        <w:br/>
      </w:r>
      <w:r w:rsidR="00C5225B">
        <w:rPr>
          <w:u w:val="single"/>
        </w:rPr>
        <w:t xml:space="preserve">De </w:t>
      </w:r>
      <w:r w:rsidRPr="00C5225B" w:rsidR="00C5225B">
        <w:rPr>
          <w:u w:val="single"/>
        </w:rPr>
        <w:t xml:space="preserve">basisstof </w:t>
      </w:r>
      <w:r w:rsidRPr="00B1056B" w:rsidR="00C5225B">
        <w:rPr>
          <w:u w:val="single"/>
        </w:rPr>
        <w:t>Vitis vinifera L. seed extract (grapeseed extract)</w:t>
      </w:r>
    </w:p>
    <w:p w:rsidRPr="00B1056B" w:rsidR="00C5225B" w:rsidP="00C5225B" w:rsidRDefault="001E14DD" w14:paraId="200B1001" w14:textId="37613497">
      <w:r>
        <w:t>Deze stof</w:t>
      </w:r>
      <w:r w:rsidR="00C5225B">
        <w:t xml:space="preserve"> betreft</w:t>
      </w:r>
      <w:r w:rsidRPr="00B1056B" w:rsidR="00C5225B">
        <w:t xml:space="preserve"> een nieuwe basisstof met </w:t>
      </w:r>
      <w:r w:rsidR="00C5225B">
        <w:t xml:space="preserve">een </w:t>
      </w:r>
      <w:r w:rsidRPr="00B1056B" w:rsidR="00C5225B">
        <w:t xml:space="preserve">beoogd gebruik als fungicide in verschillende eetbare gewassen. De </w:t>
      </w:r>
      <w:r w:rsidR="00C5225B">
        <w:t xml:space="preserve">Europese </w:t>
      </w:r>
      <w:r w:rsidRPr="00B1056B" w:rsidR="00C5225B">
        <w:t>Commissie</w:t>
      </w:r>
      <w:r w:rsidR="00C5225B">
        <w:t xml:space="preserve"> (EC)</w:t>
      </w:r>
      <w:r w:rsidRPr="00B1056B" w:rsidR="00C5225B">
        <w:t xml:space="preserve"> stelt voor om deze stof goed te keuren als basisstof. </w:t>
      </w:r>
      <w:r w:rsidR="00C5225B">
        <w:t>Het Ctgb adviseert positief op dit voorstel. De Nederlandse delegatie is voornemens om in te stemmen met het voorstel van de EC.</w:t>
      </w:r>
    </w:p>
    <w:p w:rsidR="00C5225B" w:rsidP="00C5225B" w:rsidRDefault="00C5225B" w14:paraId="1AC40C53" w14:textId="77777777"/>
    <w:p w:rsidRPr="00D424F9" w:rsidR="00A14BEE" w:rsidP="00C5225B" w:rsidRDefault="00A14BEE" w14:paraId="62493883" w14:textId="05AAAF23">
      <w:pPr>
        <w:rPr>
          <w:u w:val="single"/>
        </w:rPr>
      </w:pPr>
      <w:r w:rsidRPr="00D424F9">
        <w:rPr>
          <w:u w:val="single"/>
        </w:rPr>
        <w:t>De basisstof Caffeine</w:t>
      </w:r>
    </w:p>
    <w:p w:rsidRPr="00B1056B" w:rsidR="00D424F9" w:rsidP="00D424F9" w:rsidRDefault="001E14DD" w14:paraId="2AC51794" w14:textId="19ED2118">
      <w:r>
        <w:t>Deze stof</w:t>
      </w:r>
      <w:r w:rsidRPr="00B1056B" w:rsidR="00A14BEE">
        <w:t xml:space="preserve"> betreft een nieuwe basisstof met beoogd gebruik als insecticide en molluscicide in </w:t>
      </w:r>
      <w:r w:rsidR="00D424F9">
        <w:t>diverse</w:t>
      </w:r>
      <w:r w:rsidRPr="00B1056B" w:rsidR="00A14BEE">
        <w:t xml:space="preserve"> gewassen.</w:t>
      </w:r>
      <w:r w:rsidR="00D424F9">
        <w:t xml:space="preserve"> </w:t>
      </w:r>
      <w:r w:rsidRPr="00B1056B" w:rsidR="00A14BEE">
        <w:t xml:space="preserve">De </w:t>
      </w:r>
      <w:r w:rsidR="00D424F9">
        <w:t xml:space="preserve">EC </w:t>
      </w:r>
      <w:r w:rsidRPr="00B1056B" w:rsidR="00A14BEE">
        <w:t xml:space="preserve">stelt voor deze basisstof niet goed te keuren, omdat onvoldoende data beschikbaar </w:t>
      </w:r>
      <w:r w:rsidR="007810F2">
        <w:t>is</w:t>
      </w:r>
      <w:r w:rsidRPr="00B1056B" w:rsidR="00A14BEE">
        <w:t xml:space="preserve"> om een goede beoordeling van de risico’s voor mens</w:t>
      </w:r>
      <w:r w:rsidR="007810F2">
        <w:t>, dier</w:t>
      </w:r>
      <w:r w:rsidRPr="00B1056B" w:rsidR="00A14BEE">
        <w:t xml:space="preserve"> en milieu te kunnen </w:t>
      </w:r>
      <w:r w:rsidR="007810F2">
        <w:t>uitvoeren</w:t>
      </w:r>
      <w:r w:rsidR="00D424F9">
        <w:t xml:space="preserve">. </w:t>
      </w:r>
      <w:r w:rsidRPr="00B1056B" w:rsidR="00A14BEE">
        <w:t xml:space="preserve">De </w:t>
      </w:r>
      <w:r w:rsidR="00D424F9">
        <w:t>EC</w:t>
      </w:r>
      <w:r w:rsidRPr="00B1056B" w:rsidR="00A14BEE">
        <w:t xml:space="preserve"> weegt in het besluit mee dat de aanvraag caffeine in pure vorm betreft welke een classificatie </w:t>
      </w:r>
      <w:r w:rsidR="00D424F9">
        <w:t xml:space="preserve">voor </w:t>
      </w:r>
      <w:r w:rsidRPr="00B1056B" w:rsidR="00A14BEE">
        <w:t>acute toxiciteit heeft.</w:t>
      </w:r>
      <w:r w:rsidR="00D424F9">
        <w:t xml:space="preserve"> Het Ctgb adviseert positief op dit voorstel. De Nederlandse delegatie is voornemens om in te stemmen met het voorstel van de EC.</w:t>
      </w:r>
    </w:p>
    <w:p w:rsidRPr="00B1056B" w:rsidR="00A14BEE" w:rsidP="00A14BEE" w:rsidRDefault="00A14BEE" w14:paraId="479D10E4" w14:textId="66264BF9"/>
    <w:p w:rsidRPr="00B1056B" w:rsidR="00A14BEE" w:rsidP="00C5225B" w:rsidRDefault="007810F2" w14:paraId="348AD8A4" w14:textId="593C9DAA">
      <w:pPr>
        <w:rPr>
          <w:u w:val="single"/>
        </w:rPr>
      </w:pPr>
      <w:r w:rsidRPr="001E14DD">
        <w:rPr>
          <w:u w:val="single"/>
        </w:rPr>
        <w:t xml:space="preserve">De basisstof </w:t>
      </w:r>
      <w:r w:rsidRPr="00B1056B">
        <w:rPr>
          <w:u w:val="single"/>
        </w:rPr>
        <w:t xml:space="preserve">Allium fistulosum </w:t>
      </w:r>
    </w:p>
    <w:p w:rsidRPr="001E14DD" w:rsidR="00B1056B" w:rsidP="00B1056B" w:rsidRDefault="001E14DD" w14:paraId="30B8506B" w14:textId="61B298CB">
      <w:r w:rsidRPr="00B1056B">
        <w:t>Deze stof betreft een nieuwe basisstof met beoogd gebruik tegen</w:t>
      </w:r>
      <w:r>
        <w:t xml:space="preserve"> </w:t>
      </w:r>
      <w:r w:rsidRPr="00B1056B">
        <w:t xml:space="preserve">bodemschimmels in de teelt van tomaat. </w:t>
      </w:r>
      <w:r>
        <w:t>De toepassing vindt plaats door</w:t>
      </w:r>
      <w:r w:rsidRPr="00B1056B">
        <w:t xml:space="preserve"> een bodembehandeling met een extract van stengelui of het onderbrengen van verhakseld plantenmateriaal van stengelui in de bodem.</w:t>
      </w:r>
      <w:r>
        <w:t xml:space="preserve"> </w:t>
      </w:r>
      <w:r w:rsidRPr="00B1056B">
        <w:t xml:space="preserve">De </w:t>
      </w:r>
      <w:r>
        <w:t>EC</w:t>
      </w:r>
      <w:r w:rsidRPr="00B1056B">
        <w:t xml:space="preserve"> stelt voor om deze stof goed te keuren als basisstof. </w:t>
      </w:r>
      <w:r>
        <w:t xml:space="preserve">Het Ctgb adviseert positief op dit voorstel. De </w:t>
      </w:r>
      <w:r>
        <w:lastRenderedPageBreak/>
        <w:t>Nederlandse delegatie is voornemens om in te stemmen met het voorstel van de EC.</w:t>
      </w:r>
    </w:p>
    <w:p w:rsidR="00B1056B" w:rsidP="00B1056B" w:rsidRDefault="00B1056B" w14:paraId="634320FB" w14:textId="77777777">
      <w:pPr>
        <w:rPr>
          <w:u w:val="single"/>
        </w:rPr>
      </w:pPr>
    </w:p>
    <w:p w:rsidRPr="00B1056B" w:rsidR="001E14DD" w:rsidP="001E14DD" w:rsidRDefault="001E14DD" w14:paraId="74FED3F5" w14:textId="77777777">
      <w:pPr>
        <w:rPr>
          <w:u w:val="single"/>
        </w:rPr>
      </w:pPr>
      <w:r w:rsidRPr="001E14DD">
        <w:rPr>
          <w:u w:val="single"/>
        </w:rPr>
        <w:t xml:space="preserve">De werkzame stof </w:t>
      </w:r>
      <w:r w:rsidRPr="00B1056B">
        <w:rPr>
          <w:u w:val="single"/>
        </w:rPr>
        <w:t>Metribuzin</w:t>
      </w:r>
    </w:p>
    <w:p w:rsidRPr="00B1056B" w:rsidR="001E14DD" w:rsidP="001E14DD" w:rsidRDefault="001E14DD" w14:paraId="44AAF125" w14:textId="45CE5BD0">
      <w:r w:rsidRPr="00B1056B">
        <w:t>De</w:t>
      </w:r>
      <w:r>
        <w:t xml:space="preserve">ze stof </w:t>
      </w:r>
      <w:r w:rsidRPr="00B1056B">
        <w:t>wordt gebruikt als herbicide. In Nederland zijn acht middelen op basis van deze werkzame stof toegelaten</w:t>
      </w:r>
      <w:r>
        <w:t>, bijvoorbeeld</w:t>
      </w:r>
      <w:r w:rsidRPr="00B1056B">
        <w:t xml:space="preserve"> voor gebruik in de teelt van aardappel.</w:t>
      </w:r>
      <w:r>
        <w:t xml:space="preserve"> </w:t>
      </w:r>
      <w:r w:rsidRPr="00B1056B">
        <w:t xml:space="preserve">De </w:t>
      </w:r>
      <w:r>
        <w:t>EC</w:t>
      </w:r>
      <w:r w:rsidRPr="00B1056B">
        <w:t xml:space="preserve"> stelt voor de goedkeuring van deze stof niet te hernieuwen, vanwege </w:t>
      </w:r>
      <w:r>
        <w:t>mogelijke</w:t>
      </w:r>
      <w:r w:rsidRPr="00B1056B">
        <w:t xml:space="preserve"> hormoonontregelende eigenschappen voor mensen en mogelijke risico’s voor omstanders en omwonenden. </w:t>
      </w:r>
    </w:p>
    <w:p w:rsidRPr="00B1056B" w:rsidR="001E14DD" w:rsidP="001E14DD" w:rsidRDefault="001E14DD" w14:paraId="6CF20190" w14:textId="3056D41B">
      <w:r w:rsidRPr="00B1056B">
        <w:t>Het Ctgb adviseert positief op dit voorstel, maar adviseert wel om te pleiten voor het vaststellen van een kortere respijtperiode dan de voorgestelde 6 en 12</w:t>
      </w:r>
      <w:r w:rsidR="00EB334C">
        <w:t> </w:t>
      </w:r>
      <w:r w:rsidRPr="00B1056B">
        <w:t>maanden voor</w:t>
      </w:r>
      <w:r w:rsidR="00587DBD">
        <w:t xml:space="preserve"> respectievelijk</w:t>
      </w:r>
      <w:r w:rsidRPr="00B1056B">
        <w:t xml:space="preserve"> het intrekken van de toelating</w:t>
      </w:r>
      <w:r w:rsidR="00587DBD">
        <w:t xml:space="preserve"> en </w:t>
      </w:r>
      <w:r w:rsidRPr="00B1056B">
        <w:t>de aflever- en opgebruiktermijn.</w:t>
      </w:r>
    </w:p>
    <w:p w:rsidR="001E14DD" w:rsidP="00B1056B" w:rsidRDefault="001E14DD" w14:paraId="3439808A" w14:textId="1B32EB73">
      <w:pPr>
        <w:rPr>
          <w:u w:val="single"/>
        </w:rPr>
      </w:pPr>
    </w:p>
    <w:p w:rsidRPr="00587DBD" w:rsidR="001E14DD" w:rsidP="00B1056B" w:rsidRDefault="00587DBD" w14:paraId="74E501D6" w14:textId="61448680">
      <w:r>
        <w:t xml:space="preserve">De Nederlandse delegatie is voornemens om, in lijn het Ctgb advies, in te stemmen met het voorstel van de EC en hierbij te pleiten voor een kortere termijn voor intrekken van de toelating en de aflever- en opgebruiktermijn. </w:t>
      </w:r>
    </w:p>
    <w:p w:rsidR="001E14DD" w:rsidP="00B1056B" w:rsidRDefault="001E14DD" w14:paraId="76467E74" w14:textId="77777777">
      <w:pPr>
        <w:rPr>
          <w:u w:val="single"/>
        </w:rPr>
      </w:pPr>
    </w:p>
    <w:p w:rsidRPr="00B1056B" w:rsidR="00587DBD" w:rsidP="00587DBD" w:rsidRDefault="00587DBD" w14:paraId="402D6437" w14:textId="380BE635">
      <w:pPr>
        <w:rPr>
          <w:u w:val="single"/>
        </w:rPr>
      </w:pPr>
      <w:r w:rsidRPr="00587DBD">
        <w:rPr>
          <w:u w:val="single"/>
        </w:rPr>
        <w:t>De werkzame stof</w:t>
      </w:r>
      <w:r w:rsidRPr="00B1056B">
        <w:rPr>
          <w:u w:val="single"/>
        </w:rPr>
        <w:t xml:space="preserve"> Tritosulfuron</w:t>
      </w:r>
    </w:p>
    <w:p w:rsidRPr="00B1056B" w:rsidR="00587DBD" w:rsidP="00587DBD" w:rsidRDefault="00587DBD" w14:paraId="286A6B72" w14:textId="77777777">
      <w:r w:rsidRPr="00B1056B">
        <w:t>De stof tritosulfuron wordt gebruikt als herbicide. In Nederland zijn drie middelen op basis van deze werkzame stof toegelaten voor gebruik in granen en mais.</w:t>
      </w:r>
    </w:p>
    <w:p w:rsidRPr="00062C1C" w:rsidR="00587DBD" w:rsidP="00587DBD" w:rsidRDefault="00587DBD" w14:paraId="751C5FC3" w14:textId="77777777">
      <w:pPr>
        <w:rPr>
          <w:szCs w:val="18"/>
        </w:rPr>
      </w:pPr>
      <w:r w:rsidRPr="00B1056B">
        <w:t xml:space="preserve">De </w:t>
      </w:r>
      <w:r>
        <w:t>EC</w:t>
      </w:r>
      <w:r w:rsidRPr="00B1056B">
        <w:t xml:space="preserve"> stelt voor de goedkeuring van deze stof niet te hernieuwen, omdat de </w:t>
      </w:r>
      <w:r w:rsidRPr="00B1056B">
        <w:rPr>
          <w:szCs w:val="18"/>
        </w:rPr>
        <w:t xml:space="preserve">aanvrager de aanvraag heeft ingetrokken. </w:t>
      </w:r>
      <w:r w:rsidRPr="00062C1C">
        <w:rPr>
          <w:szCs w:val="18"/>
        </w:rPr>
        <w:t>Het Ctgb adviseert positief op dit voorstel. De Nederlandse delegatie is voornemens om in te stemmen met het voorstel van de EC.</w:t>
      </w:r>
    </w:p>
    <w:p w:rsidRPr="00062C1C" w:rsidR="00587DBD" w:rsidP="00B1056B" w:rsidRDefault="00587DBD" w14:paraId="2137403F" w14:textId="77777777">
      <w:pPr>
        <w:rPr>
          <w:szCs w:val="18"/>
          <w:u w:val="single"/>
        </w:rPr>
      </w:pPr>
    </w:p>
    <w:p w:rsidRPr="00062C1C" w:rsidR="00062C1C" w:rsidP="00062C1C" w:rsidRDefault="00062C1C" w14:paraId="13F24C5E" w14:textId="4F0E96ED">
      <w:pPr>
        <w:pStyle w:val="CtgbKop1"/>
        <w:keepNext w:val="0"/>
        <w:spacing w:line="240" w:lineRule="atLeast"/>
        <w:ind w:left="0" w:firstLine="0"/>
        <w:rPr>
          <w:rFonts w:ascii="Verdana" w:hAnsi="Verdana"/>
          <w:b w:val="0"/>
          <w:color w:val="auto"/>
          <w:sz w:val="18"/>
          <w:szCs w:val="18"/>
          <w:lang w:val="nl-NL"/>
        </w:rPr>
      </w:pPr>
      <w:r w:rsidRPr="00062C1C">
        <w:rPr>
          <w:rFonts w:ascii="Verdana" w:hAnsi="Verdana"/>
          <w:b w:val="0"/>
          <w:color w:val="auto"/>
          <w:sz w:val="18"/>
          <w:szCs w:val="18"/>
          <w:u w:val="single"/>
          <w:lang w:val="nl-NL"/>
        </w:rPr>
        <w:t>Tijdelijke verlenging van de goedkeuring van 13 werkzame stoffen</w:t>
      </w:r>
    </w:p>
    <w:p w:rsidRPr="00062C1C" w:rsidR="00062C1C" w:rsidP="00062C1C" w:rsidRDefault="00062C1C" w14:paraId="516871FD" w14:textId="08510FC7">
      <w:r w:rsidRPr="00062C1C">
        <w:rPr>
          <w:szCs w:val="18"/>
        </w:rPr>
        <w:t>De EC stelt voor om de goedkeuring van 13 werkzame stoffen tijdelijk te verlengen met één jaar omdat de besluitvorming buiten de schuld van de aanvrager niet tijdig is afgerond. Deze procedure is vastgelegd in verordening EG 1107/2009 (artikel 17). De herbeoordeling van werkzame stoffen is zeer complex en vraagt grote zorgvuldigheid</w:t>
      </w:r>
      <w:r w:rsidRPr="00EF049B">
        <w:t xml:space="preserve"> waardoor de procedure langer </w:t>
      </w:r>
      <w:r>
        <w:t>kan duren</w:t>
      </w:r>
      <w:r w:rsidRPr="00EF049B">
        <w:t xml:space="preserve"> dan gewenst. Zonder tijdelijke verlenging zouden al deze werkzame stoffen van de markt worden</w:t>
      </w:r>
      <w:r>
        <w:t xml:space="preserve"> </w:t>
      </w:r>
      <w:r w:rsidRPr="00EF049B">
        <w:t>gehaald zonder dat een zorgvuldig beoordelings- en besluitvormingsproces is doorlopen. Het Ctgb adviseert positief op het voorstel.</w:t>
      </w:r>
      <w:r>
        <w:t xml:space="preserve"> </w:t>
      </w:r>
      <w:r w:rsidRPr="00EF049B">
        <w:t>De Nederlandse delegatie is voornemens om in te stemmen met het voorstel van de EC.</w:t>
      </w:r>
    </w:p>
    <w:p w:rsidR="00587DBD" w:rsidP="00B1056B" w:rsidRDefault="00587DBD" w14:paraId="208465A1" w14:textId="77777777">
      <w:pPr>
        <w:rPr>
          <w:u w:val="single"/>
        </w:rPr>
      </w:pPr>
    </w:p>
    <w:p w:rsidR="00EB334C" w:rsidRDefault="00EB334C" w14:paraId="447C4053" w14:textId="77777777">
      <w:pPr>
        <w:spacing w:line="240" w:lineRule="auto"/>
        <w:rPr>
          <w:u w:val="single"/>
        </w:rPr>
      </w:pPr>
      <w:r>
        <w:rPr>
          <w:u w:val="single"/>
        </w:rPr>
        <w:br w:type="page"/>
      </w:r>
    </w:p>
    <w:p w:rsidRPr="00B1056B" w:rsidR="005D2644" w:rsidP="005D2644" w:rsidRDefault="005D2644" w14:paraId="73C1D943" w14:textId="68880031">
      <w:pPr>
        <w:rPr>
          <w:u w:val="single"/>
        </w:rPr>
      </w:pPr>
      <w:r w:rsidRPr="005D2644">
        <w:rPr>
          <w:u w:val="single"/>
        </w:rPr>
        <w:t>Intrekken</w:t>
      </w:r>
      <w:r w:rsidRPr="00B1056B">
        <w:rPr>
          <w:u w:val="single"/>
        </w:rPr>
        <w:t xml:space="preserve"> procedurele verlening van </w:t>
      </w:r>
      <w:r w:rsidRPr="005D2644">
        <w:rPr>
          <w:u w:val="single"/>
        </w:rPr>
        <w:t>twee</w:t>
      </w:r>
      <w:r w:rsidRPr="00B1056B">
        <w:rPr>
          <w:u w:val="single"/>
        </w:rPr>
        <w:t xml:space="preserve"> werkzame stoffen</w:t>
      </w:r>
    </w:p>
    <w:p w:rsidRPr="009E766F" w:rsidR="00062C1C" w:rsidP="00B1056B" w:rsidRDefault="005D2644" w14:paraId="05BBEE71" w14:textId="6ECB0505">
      <w:r w:rsidRPr="00B1056B">
        <w:t xml:space="preserve">De </w:t>
      </w:r>
      <w:r>
        <w:t>EC</w:t>
      </w:r>
      <w:r w:rsidRPr="00B1056B">
        <w:t xml:space="preserve"> stelt voor de eerder verleende procedurele verlenging van twee stoffen (fenpyrazamine en flumetralin) terug te draaien, omdat de aanvragers de hernieuwing van deze stoffen niet langer </w:t>
      </w:r>
      <w:r>
        <w:t>ondersteunen</w:t>
      </w:r>
      <w:r w:rsidRPr="00B1056B">
        <w:t>.</w:t>
      </w:r>
      <w:r>
        <w:t xml:space="preserve"> </w:t>
      </w:r>
      <w:r w:rsidRPr="00EF049B">
        <w:t>Het Ctgb adviseert positief op het voorstel.</w:t>
      </w:r>
      <w:r>
        <w:t xml:space="preserve"> </w:t>
      </w:r>
      <w:r w:rsidRPr="00EF049B">
        <w:t>De Nederlandse delegatie is voornemens om in te stemmen met het voorstel van de EC.</w:t>
      </w:r>
    </w:p>
    <w:p w:rsidR="001536B3" w:rsidP="00810C93" w:rsidRDefault="001536B3" w14:paraId="3E4D4662" w14:textId="77777777"/>
    <w:p w:rsidR="00584BAC" w:rsidP="00810C93" w:rsidRDefault="001F6648" w14:paraId="3591F737" w14:textId="77777777">
      <w:r>
        <w:t>Hoogachtend,</w:t>
      </w:r>
    </w:p>
    <w:p w:rsidRPr="00EC58D9" w:rsidR="00F71F9E" w:rsidP="007255FC" w:rsidRDefault="00F71F9E" w14:paraId="3BC5DC1C" w14:textId="77777777"/>
    <w:p w:rsidRPr="00EC58D9" w:rsidR="007239A1" w:rsidP="007255FC" w:rsidRDefault="007239A1" w14:paraId="309A03ED" w14:textId="77777777"/>
    <w:p w:rsidR="007239A1" w:rsidP="007255FC" w:rsidRDefault="007239A1" w14:paraId="1F956834" w14:textId="77777777"/>
    <w:p w:rsidRPr="00EC58D9" w:rsidR="00EB334C" w:rsidP="007255FC" w:rsidRDefault="00EB334C" w14:paraId="51D493C2" w14:textId="77777777"/>
    <w:p w:rsidRPr="006A15A5" w:rsidR="007239A1" w:rsidP="007255FC" w:rsidRDefault="001F6648" w14:paraId="41CB42D8" w14:textId="77777777">
      <w:pPr>
        <w:rPr>
          <w:szCs w:val="18"/>
        </w:rPr>
      </w:pPr>
      <w:r w:rsidRPr="00B11DD6">
        <w:t>Femke Marije Wiersma</w:t>
      </w:r>
    </w:p>
    <w:p w:rsidR="004E505E" w:rsidP="00524FB4" w:rsidRDefault="001F6648" w14:paraId="2DD03BE6" w14:textId="77777777">
      <w:r w:rsidRPr="00EC58D9">
        <w:t xml:space="preserve">Minister van </w:t>
      </w:r>
      <w:r w:rsidR="00704E60">
        <w:rPr>
          <w:rFonts w:cs="Calibri"/>
          <w:szCs w:val="18"/>
        </w:rPr>
        <w:t>Landbouw, Visserij, Voedselzekerheid en Natuur</w:t>
      </w:r>
    </w:p>
    <w:p w:rsidR="00377C58" w:rsidP="00810C93" w:rsidRDefault="00377C58" w14:paraId="3A9651E8"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8BB9" w14:textId="77777777" w:rsidR="00877A56" w:rsidRDefault="00877A56">
      <w:r>
        <w:separator/>
      </w:r>
    </w:p>
    <w:p w14:paraId="77240754" w14:textId="77777777" w:rsidR="00877A56" w:rsidRDefault="00877A56"/>
  </w:endnote>
  <w:endnote w:type="continuationSeparator" w:id="0">
    <w:p w14:paraId="1C186E02" w14:textId="77777777" w:rsidR="00877A56" w:rsidRDefault="00877A56">
      <w:r>
        <w:continuationSeparator/>
      </w:r>
    </w:p>
    <w:p w14:paraId="704108B5" w14:textId="77777777" w:rsidR="00877A56" w:rsidRDefault="0087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3E4E" w14:textId="77777777" w:rsidR="001F6648" w:rsidRDefault="001F66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3E7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95D3D" w14:paraId="681DA7B8" w14:textId="77777777" w:rsidTr="00CA6A25">
      <w:trPr>
        <w:trHeight w:hRule="exact" w:val="240"/>
      </w:trPr>
      <w:tc>
        <w:tcPr>
          <w:tcW w:w="7601" w:type="dxa"/>
          <w:shd w:val="clear" w:color="auto" w:fill="auto"/>
        </w:tcPr>
        <w:p w14:paraId="1DBB0599" w14:textId="77777777" w:rsidR="00527BD4" w:rsidRDefault="00527BD4" w:rsidP="003F1F6B">
          <w:pPr>
            <w:pStyle w:val="Huisstijl-Rubricering"/>
          </w:pPr>
        </w:p>
      </w:tc>
      <w:tc>
        <w:tcPr>
          <w:tcW w:w="2156" w:type="dxa"/>
        </w:tcPr>
        <w:p w14:paraId="2AD27D4C" w14:textId="22D4D705" w:rsidR="00527BD4" w:rsidRPr="00645414" w:rsidRDefault="001F664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620C3">
              <w:t>3</w:t>
            </w:r>
          </w:fldSimple>
        </w:p>
      </w:tc>
    </w:tr>
  </w:tbl>
  <w:p w14:paraId="54B8394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95D3D" w14:paraId="2E1BA632" w14:textId="77777777" w:rsidTr="00CA6A25">
      <w:trPr>
        <w:trHeight w:hRule="exact" w:val="240"/>
      </w:trPr>
      <w:tc>
        <w:tcPr>
          <w:tcW w:w="7601" w:type="dxa"/>
          <w:shd w:val="clear" w:color="auto" w:fill="auto"/>
        </w:tcPr>
        <w:p w14:paraId="3E7FFDB3" w14:textId="77777777" w:rsidR="00527BD4" w:rsidRDefault="00527BD4" w:rsidP="008C356D">
          <w:pPr>
            <w:pStyle w:val="Huisstijl-Rubricering"/>
          </w:pPr>
        </w:p>
      </w:tc>
      <w:tc>
        <w:tcPr>
          <w:tcW w:w="2170" w:type="dxa"/>
        </w:tcPr>
        <w:p w14:paraId="4F348D40" w14:textId="49FC02D2" w:rsidR="00527BD4" w:rsidRPr="00ED539E" w:rsidRDefault="001F664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77A56">
              <w:t>1</w:t>
            </w:r>
          </w:fldSimple>
        </w:p>
      </w:tc>
    </w:tr>
  </w:tbl>
  <w:p w14:paraId="75C38CC0" w14:textId="77777777" w:rsidR="00527BD4" w:rsidRPr="00BC3B53" w:rsidRDefault="00527BD4" w:rsidP="008C356D">
    <w:pPr>
      <w:pStyle w:val="Voettekst"/>
      <w:spacing w:line="240" w:lineRule="auto"/>
      <w:rPr>
        <w:sz w:val="2"/>
        <w:szCs w:val="2"/>
      </w:rPr>
    </w:pPr>
  </w:p>
  <w:p w14:paraId="69FB91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FB1E4" w14:textId="77777777" w:rsidR="00877A56" w:rsidRDefault="00877A56">
      <w:r>
        <w:separator/>
      </w:r>
    </w:p>
    <w:p w14:paraId="69A879AD" w14:textId="77777777" w:rsidR="00877A56" w:rsidRDefault="00877A56"/>
  </w:footnote>
  <w:footnote w:type="continuationSeparator" w:id="0">
    <w:p w14:paraId="5BC0AC9E" w14:textId="77777777" w:rsidR="00877A56" w:rsidRDefault="00877A56">
      <w:r>
        <w:continuationSeparator/>
      </w:r>
    </w:p>
    <w:p w14:paraId="09AB221D" w14:textId="77777777" w:rsidR="00877A56" w:rsidRDefault="00877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30F8" w14:textId="77777777" w:rsidR="001F6648" w:rsidRDefault="001F66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95D3D" w14:paraId="320527A9" w14:textId="77777777" w:rsidTr="00A50CF6">
      <w:tc>
        <w:tcPr>
          <w:tcW w:w="2156" w:type="dxa"/>
          <w:shd w:val="clear" w:color="auto" w:fill="auto"/>
        </w:tcPr>
        <w:p w14:paraId="45BB003E" w14:textId="77777777" w:rsidR="00527BD4" w:rsidRPr="005819CE" w:rsidRDefault="001F6648" w:rsidP="00A50CF6">
          <w:pPr>
            <w:pStyle w:val="Huisstijl-Adres"/>
            <w:rPr>
              <w:b/>
            </w:rPr>
          </w:pPr>
          <w:r>
            <w:rPr>
              <w:b/>
            </w:rPr>
            <w:t>Directoraat-generaal Agro</w:t>
          </w:r>
          <w:r w:rsidRPr="005819CE">
            <w:rPr>
              <w:b/>
            </w:rPr>
            <w:br/>
          </w:r>
        </w:p>
      </w:tc>
    </w:tr>
    <w:tr w:rsidR="00D95D3D" w14:paraId="4E33F615" w14:textId="77777777" w:rsidTr="00A50CF6">
      <w:trPr>
        <w:trHeight w:hRule="exact" w:val="200"/>
      </w:trPr>
      <w:tc>
        <w:tcPr>
          <w:tcW w:w="2156" w:type="dxa"/>
          <w:shd w:val="clear" w:color="auto" w:fill="auto"/>
        </w:tcPr>
        <w:p w14:paraId="0ACF4FC5" w14:textId="77777777" w:rsidR="00527BD4" w:rsidRPr="005819CE" w:rsidRDefault="00527BD4" w:rsidP="00A50CF6"/>
      </w:tc>
    </w:tr>
    <w:tr w:rsidR="00D95D3D" w14:paraId="389C6AFD" w14:textId="77777777" w:rsidTr="00502512">
      <w:trPr>
        <w:trHeight w:hRule="exact" w:val="774"/>
      </w:trPr>
      <w:tc>
        <w:tcPr>
          <w:tcW w:w="2156" w:type="dxa"/>
          <w:shd w:val="clear" w:color="auto" w:fill="auto"/>
        </w:tcPr>
        <w:p w14:paraId="3A746257" w14:textId="77777777" w:rsidR="00527BD4" w:rsidRDefault="001F6648" w:rsidP="003A5290">
          <w:pPr>
            <w:pStyle w:val="Huisstijl-Kopje"/>
          </w:pPr>
          <w:r>
            <w:t>Ons kenmerk</w:t>
          </w:r>
        </w:p>
        <w:p w14:paraId="1DED6DDD" w14:textId="0F2D824A" w:rsidR="00527BD4" w:rsidRPr="005819CE" w:rsidRDefault="001F6648" w:rsidP="001E6117">
          <w:pPr>
            <w:pStyle w:val="Huisstijl-Kopje"/>
          </w:pPr>
          <w:r>
            <w:rPr>
              <w:b w:val="0"/>
            </w:rPr>
            <w:t>DGA</w:t>
          </w:r>
          <w:r w:rsidR="00EB334C">
            <w:rPr>
              <w:b w:val="0"/>
            </w:rPr>
            <w:t xml:space="preserve"> PAV </w:t>
          </w:r>
          <w:r w:rsidRPr="00502512">
            <w:rPr>
              <w:b w:val="0"/>
            </w:rPr>
            <w:t xml:space="preserve">/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87181711</w:t>
              </w:r>
              <w:r w:rsidR="00F90A14">
                <w:rPr>
                  <w:b w:val="0"/>
                </w:rPr>
                <w:fldChar w:fldCharType="end"/>
              </w:r>
            </w:sdtContent>
          </w:sdt>
        </w:p>
      </w:tc>
    </w:tr>
  </w:tbl>
  <w:p w14:paraId="63C12C1F" w14:textId="77777777" w:rsidR="00527BD4" w:rsidRDefault="00527BD4" w:rsidP="008C356D"/>
  <w:p w14:paraId="04C694A8" w14:textId="77777777" w:rsidR="00527BD4" w:rsidRPr="00740712" w:rsidRDefault="00527BD4" w:rsidP="008C356D"/>
  <w:p w14:paraId="51419A04" w14:textId="77777777" w:rsidR="00527BD4" w:rsidRPr="00217880" w:rsidRDefault="00527BD4" w:rsidP="008C356D">
    <w:pPr>
      <w:spacing w:line="0" w:lineRule="atLeast"/>
      <w:rPr>
        <w:sz w:val="2"/>
        <w:szCs w:val="2"/>
      </w:rPr>
    </w:pPr>
  </w:p>
  <w:p w14:paraId="5CBE7301" w14:textId="77777777" w:rsidR="00527BD4" w:rsidRDefault="00527BD4" w:rsidP="004F44C2">
    <w:pPr>
      <w:pStyle w:val="Koptekst"/>
      <w:rPr>
        <w:rFonts w:cs="Verdana-Bold"/>
        <w:b/>
        <w:bCs/>
        <w:smallCaps/>
        <w:szCs w:val="18"/>
      </w:rPr>
    </w:pPr>
  </w:p>
  <w:p w14:paraId="114EC841" w14:textId="77777777" w:rsidR="00527BD4" w:rsidRDefault="00527BD4" w:rsidP="004F44C2"/>
  <w:p w14:paraId="166525C1" w14:textId="77777777" w:rsidR="00527BD4" w:rsidRPr="00740712" w:rsidRDefault="00527BD4" w:rsidP="004F44C2"/>
  <w:p w14:paraId="4166232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95D3D" w14:paraId="2AFFF2E1" w14:textId="77777777" w:rsidTr="00751A6A">
      <w:trPr>
        <w:trHeight w:val="2636"/>
      </w:trPr>
      <w:tc>
        <w:tcPr>
          <w:tcW w:w="737" w:type="dxa"/>
          <w:shd w:val="clear" w:color="auto" w:fill="auto"/>
        </w:tcPr>
        <w:p w14:paraId="55A5A74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0FC4DB" w14:textId="77777777" w:rsidR="00527BD4" w:rsidRDefault="001F664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A04230F" wp14:editId="5BC19CA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8157C1A" w14:textId="77777777" w:rsidR="00527BD4" w:rsidRDefault="00527BD4" w:rsidP="00D0609E">
    <w:pPr>
      <w:framePr w:w="6340" w:h="2750" w:hRule="exact" w:hSpace="180" w:wrap="around" w:vAnchor="page" w:hAnchor="text" w:x="3873" w:y="-140"/>
    </w:pPr>
  </w:p>
  <w:p w14:paraId="2B46CD8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95D3D" w14:paraId="3F5A2345" w14:textId="77777777" w:rsidTr="00A50CF6">
      <w:tc>
        <w:tcPr>
          <w:tcW w:w="2160" w:type="dxa"/>
          <w:shd w:val="clear" w:color="auto" w:fill="auto"/>
        </w:tcPr>
        <w:p w14:paraId="5647BD50" w14:textId="77777777" w:rsidR="00527BD4" w:rsidRPr="005819CE" w:rsidRDefault="001F6648" w:rsidP="00A50CF6">
          <w:pPr>
            <w:pStyle w:val="Huisstijl-Adres"/>
            <w:rPr>
              <w:b/>
            </w:rPr>
          </w:pPr>
          <w:r>
            <w:rPr>
              <w:b/>
            </w:rPr>
            <w:t>Directoraat-generaal Agro</w:t>
          </w:r>
          <w:r w:rsidRPr="005819CE">
            <w:rPr>
              <w:b/>
            </w:rPr>
            <w:br/>
          </w:r>
        </w:p>
        <w:p w14:paraId="193676EA" w14:textId="77777777" w:rsidR="00527BD4" w:rsidRPr="00BE5ED9" w:rsidRDefault="001F6648" w:rsidP="00A50CF6">
          <w:pPr>
            <w:pStyle w:val="Huisstijl-Adres"/>
          </w:pPr>
          <w:r>
            <w:rPr>
              <w:b/>
            </w:rPr>
            <w:t>Bezoekadres</w:t>
          </w:r>
          <w:r>
            <w:rPr>
              <w:b/>
            </w:rPr>
            <w:br/>
          </w:r>
          <w:r>
            <w:t>Bezuidenhoutseweg 73</w:t>
          </w:r>
          <w:r w:rsidRPr="005819CE">
            <w:br/>
          </w:r>
          <w:r>
            <w:t>2594 AC Den Haag</w:t>
          </w:r>
        </w:p>
        <w:p w14:paraId="597CA21C" w14:textId="77777777" w:rsidR="00EF495B" w:rsidRDefault="001F6648" w:rsidP="0098788A">
          <w:pPr>
            <w:pStyle w:val="Huisstijl-Adres"/>
          </w:pPr>
          <w:r>
            <w:rPr>
              <w:b/>
            </w:rPr>
            <w:t>Postadres</w:t>
          </w:r>
          <w:r>
            <w:rPr>
              <w:b/>
            </w:rPr>
            <w:br/>
          </w:r>
          <w:r>
            <w:t>Postbus 20401</w:t>
          </w:r>
          <w:r w:rsidRPr="005819CE">
            <w:br/>
            <w:t>2500 E</w:t>
          </w:r>
          <w:r>
            <w:t>K</w:t>
          </w:r>
          <w:r w:rsidRPr="005819CE">
            <w:t xml:space="preserve"> Den Haag</w:t>
          </w:r>
        </w:p>
        <w:p w14:paraId="1D63E15E" w14:textId="77777777" w:rsidR="00556BEE" w:rsidRPr="005B3814" w:rsidRDefault="001F6648" w:rsidP="0098788A">
          <w:pPr>
            <w:pStyle w:val="Huisstijl-Adres"/>
          </w:pPr>
          <w:r>
            <w:rPr>
              <w:b/>
            </w:rPr>
            <w:t>Overheidsidentificatienr</w:t>
          </w:r>
          <w:r>
            <w:rPr>
              <w:b/>
            </w:rPr>
            <w:br/>
          </w:r>
          <w:r w:rsidR="00BA129E">
            <w:rPr>
              <w:rFonts w:cs="Agrofont"/>
              <w:iCs/>
            </w:rPr>
            <w:t>00000001858272854000</w:t>
          </w:r>
        </w:p>
        <w:p w14:paraId="60D0A516" w14:textId="2ABDB628" w:rsidR="00527BD4" w:rsidRPr="00EB334C" w:rsidRDefault="001F664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95D3D" w14:paraId="49FF64F6" w14:textId="77777777" w:rsidTr="00A50CF6">
      <w:trPr>
        <w:trHeight w:hRule="exact" w:val="200"/>
      </w:trPr>
      <w:tc>
        <w:tcPr>
          <w:tcW w:w="2160" w:type="dxa"/>
          <w:shd w:val="clear" w:color="auto" w:fill="auto"/>
        </w:tcPr>
        <w:p w14:paraId="0007E596" w14:textId="77777777" w:rsidR="00527BD4" w:rsidRPr="005819CE" w:rsidRDefault="00527BD4" w:rsidP="00A50CF6"/>
      </w:tc>
    </w:tr>
    <w:tr w:rsidR="00D95D3D" w14:paraId="5BCB1A92" w14:textId="77777777" w:rsidTr="00A50CF6">
      <w:tc>
        <w:tcPr>
          <w:tcW w:w="2160" w:type="dxa"/>
          <w:shd w:val="clear" w:color="auto" w:fill="auto"/>
        </w:tcPr>
        <w:p w14:paraId="65D1176B" w14:textId="77777777" w:rsidR="000C0163" w:rsidRPr="005819CE" w:rsidRDefault="001F6648" w:rsidP="000C0163">
          <w:pPr>
            <w:pStyle w:val="Huisstijl-Kopje"/>
          </w:pPr>
          <w:r>
            <w:t>Ons kenmerk</w:t>
          </w:r>
          <w:r w:rsidRPr="005819CE">
            <w:t xml:space="preserve"> </w:t>
          </w:r>
        </w:p>
        <w:p w14:paraId="217C5A7C" w14:textId="1DD8DE55" w:rsidR="000C0163" w:rsidRPr="005819CE" w:rsidRDefault="001F6648" w:rsidP="000C0163">
          <w:pPr>
            <w:pStyle w:val="Huisstijl-Gegeven"/>
          </w:pPr>
          <w:r>
            <w:t>DGA</w:t>
          </w:r>
          <w:r w:rsidR="00EB334C">
            <w:t>-PAV</w:t>
          </w:r>
          <w:r>
            <w:t xml:space="preserve"> /</w:t>
          </w:r>
          <w:r w:rsidR="00486354">
            <w:t xml:space="preserve"> </w:t>
          </w:r>
          <w:r>
            <w:t>87181711</w:t>
          </w:r>
        </w:p>
        <w:p w14:paraId="0699F7FB" w14:textId="77777777" w:rsidR="00527BD4" w:rsidRPr="005819CE" w:rsidRDefault="00527BD4" w:rsidP="00EB334C">
          <w:pPr>
            <w:pStyle w:val="Huisstijl-Kopje"/>
          </w:pPr>
        </w:p>
      </w:tc>
    </w:tr>
  </w:tbl>
  <w:p w14:paraId="19C72A5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95D3D" w14:paraId="5ADDD640" w14:textId="77777777" w:rsidTr="009E2051">
      <w:trPr>
        <w:trHeight w:val="400"/>
      </w:trPr>
      <w:tc>
        <w:tcPr>
          <w:tcW w:w="7520" w:type="dxa"/>
          <w:gridSpan w:val="2"/>
          <w:shd w:val="clear" w:color="auto" w:fill="auto"/>
        </w:tcPr>
        <w:p w14:paraId="08AFC9D0" w14:textId="77777777" w:rsidR="00527BD4" w:rsidRPr="00BC3B53" w:rsidRDefault="001F6648" w:rsidP="00A50CF6">
          <w:pPr>
            <w:pStyle w:val="Huisstijl-Retouradres"/>
          </w:pPr>
          <w:r>
            <w:t>&gt; Retouradres Postbus 20401 2500 EK Den Haag</w:t>
          </w:r>
        </w:p>
      </w:tc>
    </w:tr>
    <w:tr w:rsidR="00D95D3D" w14:paraId="1241DED9" w14:textId="77777777" w:rsidTr="009E2051">
      <w:tc>
        <w:tcPr>
          <w:tcW w:w="7520" w:type="dxa"/>
          <w:gridSpan w:val="2"/>
          <w:shd w:val="clear" w:color="auto" w:fill="auto"/>
        </w:tcPr>
        <w:p w14:paraId="0B713D1B" w14:textId="77777777" w:rsidR="00527BD4" w:rsidRPr="00983E8F" w:rsidRDefault="00527BD4" w:rsidP="00A50CF6">
          <w:pPr>
            <w:pStyle w:val="Huisstijl-Rubricering"/>
          </w:pPr>
        </w:p>
      </w:tc>
    </w:tr>
    <w:tr w:rsidR="00D95D3D" w14:paraId="48E0B4F7" w14:textId="77777777" w:rsidTr="009E2051">
      <w:trPr>
        <w:trHeight w:hRule="exact" w:val="2440"/>
      </w:trPr>
      <w:tc>
        <w:tcPr>
          <w:tcW w:w="7520" w:type="dxa"/>
          <w:gridSpan w:val="2"/>
          <w:shd w:val="clear" w:color="auto" w:fill="auto"/>
        </w:tcPr>
        <w:p w14:paraId="26C7D9FF" w14:textId="77777777" w:rsidR="00B1056B" w:rsidRDefault="00B1056B" w:rsidP="00B1056B">
          <w:pPr>
            <w:pStyle w:val="Huisstijl-NAW"/>
          </w:pPr>
          <w:r>
            <w:t>De Voorzitter van de Tweede Kamer</w:t>
          </w:r>
        </w:p>
        <w:p w14:paraId="5C02D750" w14:textId="77777777" w:rsidR="00B1056B" w:rsidRDefault="00B1056B" w:rsidP="00B1056B">
          <w:pPr>
            <w:pStyle w:val="Huisstijl-NAW"/>
          </w:pPr>
          <w:r>
            <w:t>der Staten-Generaal</w:t>
          </w:r>
        </w:p>
        <w:p w14:paraId="740B036F" w14:textId="77777777" w:rsidR="00B1056B" w:rsidRDefault="00B1056B" w:rsidP="00B1056B">
          <w:pPr>
            <w:pStyle w:val="Huisstijl-NAW"/>
          </w:pPr>
          <w:r>
            <w:t>Prinses Irenestraat 6</w:t>
          </w:r>
        </w:p>
        <w:p w14:paraId="040EDA7E" w14:textId="694186DB" w:rsidR="00527BD4" w:rsidRDefault="00B1056B" w:rsidP="00A50CF6">
          <w:pPr>
            <w:pStyle w:val="Huisstijl-NAW"/>
          </w:pPr>
          <w:r>
            <w:t>2595 BD  DEN HAAG</w:t>
          </w:r>
        </w:p>
      </w:tc>
    </w:tr>
    <w:tr w:rsidR="00D95D3D" w14:paraId="4F0E50CD" w14:textId="77777777" w:rsidTr="009E2051">
      <w:trPr>
        <w:trHeight w:hRule="exact" w:val="400"/>
      </w:trPr>
      <w:tc>
        <w:tcPr>
          <w:tcW w:w="7520" w:type="dxa"/>
          <w:gridSpan w:val="2"/>
          <w:shd w:val="clear" w:color="auto" w:fill="auto"/>
        </w:tcPr>
        <w:p w14:paraId="6F8B537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95D3D" w14:paraId="02160FFA" w14:textId="77777777" w:rsidTr="009E2051">
      <w:trPr>
        <w:trHeight w:val="240"/>
      </w:trPr>
      <w:tc>
        <w:tcPr>
          <w:tcW w:w="900" w:type="dxa"/>
          <w:shd w:val="clear" w:color="auto" w:fill="auto"/>
        </w:tcPr>
        <w:p w14:paraId="733EAE72" w14:textId="77777777" w:rsidR="00527BD4" w:rsidRPr="007709EF" w:rsidRDefault="001F6648" w:rsidP="00A50CF6">
          <w:pPr>
            <w:rPr>
              <w:szCs w:val="18"/>
            </w:rPr>
          </w:pPr>
          <w:r>
            <w:rPr>
              <w:szCs w:val="18"/>
            </w:rPr>
            <w:t>Datum</w:t>
          </w:r>
        </w:p>
      </w:tc>
      <w:tc>
        <w:tcPr>
          <w:tcW w:w="6620" w:type="dxa"/>
          <w:shd w:val="clear" w:color="auto" w:fill="auto"/>
        </w:tcPr>
        <w:p w14:paraId="46B753C9" w14:textId="5251C3F9" w:rsidR="00527BD4" w:rsidRPr="007709EF" w:rsidRDefault="00081511" w:rsidP="00A50CF6">
          <w:r>
            <w:t>3 oktober 2024</w:t>
          </w:r>
          <w:r w:rsidR="00583D85">
            <w:t xml:space="preserve"> </w:t>
          </w:r>
        </w:p>
      </w:tc>
    </w:tr>
    <w:tr w:rsidR="00D95D3D" w14:paraId="00A166EB" w14:textId="77777777" w:rsidTr="009E2051">
      <w:trPr>
        <w:trHeight w:val="240"/>
      </w:trPr>
      <w:tc>
        <w:tcPr>
          <w:tcW w:w="900" w:type="dxa"/>
          <w:shd w:val="clear" w:color="auto" w:fill="auto"/>
        </w:tcPr>
        <w:p w14:paraId="236FA803" w14:textId="77777777" w:rsidR="00527BD4" w:rsidRPr="007709EF" w:rsidRDefault="001F6648" w:rsidP="00A50CF6">
          <w:pPr>
            <w:rPr>
              <w:szCs w:val="18"/>
            </w:rPr>
          </w:pPr>
          <w:r>
            <w:rPr>
              <w:szCs w:val="18"/>
            </w:rPr>
            <w:t>Betreft</w:t>
          </w:r>
        </w:p>
      </w:tc>
      <w:tc>
        <w:tcPr>
          <w:tcW w:w="6620" w:type="dxa"/>
          <w:shd w:val="clear" w:color="auto" w:fill="auto"/>
        </w:tcPr>
        <w:p w14:paraId="0D8D4BCB" w14:textId="77777777" w:rsidR="00527BD4" w:rsidRPr="007709EF" w:rsidRDefault="001F6648" w:rsidP="00A50CF6">
          <w:r>
            <w:t>SCoPAFF-vergadering gewasbeschermingsmiddelen oktober 2024</w:t>
          </w:r>
        </w:p>
      </w:tc>
    </w:tr>
  </w:tbl>
  <w:p w14:paraId="4AF5F3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8074B0">
      <w:start w:val="1"/>
      <w:numFmt w:val="bullet"/>
      <w:pStyle w:val="Lijstopsomteken"/>
      <w:lvlText w:val="•"/>
      <w:lvlJc w:val="left"/>
      <w:pPr>
        <w:tabs>
          <w:tab w:val="num" w:pos="227"/>
        </w:tabs>
        <w:ind w:left="227" w:hanging="227"/>
      </w:pPr>
      <w:rPr>
        <w:rFonts w:ascii="Verdana" w:hAnsi="Verdana" w:hint="default"/>
        <w:sz w:val="18"/>
        <w:szCs w:val="18"/>
      </w:rPr>
    </w:lvl>
    <w:lvl w:ilvl="1" w:tplc="038C57F8" w:tentative="1">
      <w:start w:val="1"/>
      <w:numFmt w:val="bullet"/>
      <w:lvlText w:val="o"/>
      <w:lvlJc w:val="left"/>
      <w:pPr>
        <w:tabs>
          <w:tab w:val="num" w:pos="1440"/>
        </w:tabs>
        <w:ind w:left="1440" w:hanging="360"/>
      </w:pPr>
      <w:rPr>
        <w:rFonts w:ascii="Courier New" w:hAnsi="Courier New" w:cs="Courier New" w:hint="default"/>
      </w:rPr>
    </w:lvl>
    <w:lvl w:ilvl="2" w:tplc="209EA686" w:tentative="1">
      <w:start w:val="1"/>
      <w:numFmt w:val="bullet"/>
      <w:lvlText w:val=""/>
      <w:lvlJc w:val="left"/>
      <w:pPr>
        <w:tabs>
          <w:tab w:val="num" w:pos="2160"/>
        </w:tabs>
        <w:ind w:left="2160" w:hanging="360"/>
      </w:pPr>
      <w:rPr>
        <w:rFonts w:ascii="Wingdings" w:hAnsi="Wingdings" w:hint="default"/>
      </w:rPr>
    </w:lvl>
    <w:lvl w:ilvl="3" w:tplc="FA60D6C8" w:tentative="1">
      <w:start w:val="1"/>
      <w:numFmt w:val="bullet"/>
      <w:lvlText w:val=""/>
      <w:lvlJc w:val="left"/>
      <w:pPr>
        <w:tabs>
          <w:tab w:val="num" w:pos="2880"/>
        </w:tabs>
        <w:ind w:left="2880" w:hanging="360"/>
      </w:pPr>
      <w:rPr>
        <w:rFonts w:ascii="Symbol" w:hAnsi="Symbol" w:hint="default"/>
      </w:rPr>
    </w:lvl>
    <w:lvl w:ilvl="4" w:tplc="772AFEB4" w:tentative="1">
      <w:start w:val="1"/>
      <w:numFmt w:val="bullet"/>
      <w:lvlText w:val="o"/>
      <w:lvlJc w:val="left"/>
      <w:pPr>
        <w:tabs>
          <w:tab w:val="num" w:pos="3600"/>
        </w:tabs>
        <w:ind w:left="3600" w:hanging="360"/>
      </w:pPr>
      <w:rPr>
        <w:rFonts w:ascii="Courier New" w:hAnsi="Courier New" w:cs="Courier New" w:hint="default"/>
      </w:rPr>
    </w:lvl>
    <w:lvl w:ilvl="5" w:tplc="064E2402" w:tentative="1">
      <w:start w:val="1"/>
      <w:numFmt w:val="bullet"/>
      <w:lvlText w:val=""/>
      <w:lvlJc w:val="left"/>
      <w:pPr>
        <w:tabs>
          <w:tab w:val="num" w:pos="4320"/>
        </w:tabs>
        <w:ind w:left="4320" w:hanging="360"/>
      </w:pPr>
      <w:rPr>
        <w:rFonts w:ascii="Wingdings" w:hAnsi="Wingdings" w:hint="default"/>
      </w:rPr>
    </w:lvl>
    <w:lvl w:ilvl="6" w:tplc="D72EBC90" w:tentative="1">
      <w:start w:val="1"/>
      <w:numFmt w:val="bullet"/>
      <w:lvlText w:val=""/>
      <w:lvlJc w:val="left"/>
      <w:pPr>
        <w:tabs>
          <w:tab w:val="num" w:pos="5040"/>
        </w:tabs>
        <w:ind w:left="5040" w:hanging="360"/>
      </w:pPr>
      <w:rPr>
        <w:rFonts w:ascii="Symbol" w:hAnsi="Symbol" w:hint="default"/>
      </w:rPr>
    </w:lvl>
    <w:lvl w:ilvl="7" w:tplc="51B64440" w:tentative="1">
      <w:start w:val="1"/>
      <w:numFmt w:val="bullet"/>
      <w:lvlText w:val="o"/>
      <w:lvlJc w:val="left"/>
      <w:pPr>
        <w:tabs>
          <w:tab w:val="num" w:pos="5760"/>
        </w:tabs>
        <w:ind w:left="5760" w:hanging="360"/>
      </w:pPr>
      <w:rPr>
        <w:rFonts w:ascii="Courier New" w:hAnsi="Courier New" w:cs="Courier New" w:hint="default"/>
      </w:rPr>
    </w:lvl>
    <w:lvl w:ilvl="8" w:tplc="E20CA3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748872A">
      <w:start w:val="1"/>
      <w:numFmt w:val="bullet"/>
      <w:pStyle w:val="Lijstopsomteken2"/>
      <w:lvlText w:val="–"/>
      <w:lvlJc w:val="left"/>
      <w:pPr>
        <w:tabs>
          <w:tab w:val="num" w:pos="227"/>
        </w:tabs>
        <w:ind w:left="227" w:firstLine="0"/>
      </w:pPr>
      <w:rPr>
        <w:rFonts w:ascii="Verdana" w:hAnsi="Verdana" w:hint="default"/>
      </w:rPr>
    </w:lvl>
    <w:lvl w:ilvl="1" w:tplc="B8BED172" w:tentative="1">
      <w:start w:val="1"/>
      <w:numFmt w:val="bullet"/>
      <w:lvlText w:val="o"/>
      <w:lvlJc w:val="left"/>
      <w:pPr>
        <w:tabs>
          <w:tab w:val="num" w:pos="1440"/>
        </w:tabs>
        <w:ind w:left="1440" w:hanging="360"/>
      </w:pPr>
      <w:rPr>
        <w:rFonts w:ascii="Courier New" w:hAnsi="Courier New" w:cs="Courier New" w:hint="default"/>
      </w:rPr>
    </w:lvl>
    <w:lvl w:ilvl="2" w:tplc="C37CEC6C" w:tentative="1">
      <w:start w:val="1"/>
      <w:numFmt w:val="bullet"/>
      <w:lvlText w:val=""/>
      <w:lvlJc w:val="left"/>
      <w:pPr>
        <w:tabs>
          <w:tab w:val="num" w:pos="2160"/>
        </w:tabs>
        <w:ind w:left="2160" w:hanging="360"/>
      </w:pPr>
      <w:rPr>
        <w:rFonts w:ascii="Wingdings" w:hAnsi="Wingdings" w:hint="default"/>
      </w:rPr>
    </w:lvl>
    <w:lvl w:ilvl="3" w:tplc="693ED254" w:tentative="1">
      <w:start w:val="1"/>
      <w:numFmt w:val="bullet"/>
      <w:lvlText w:val=""/>
      <w:lvlJc w:val="left"/>
      <w:pPr>
        <w:tabs>
          <w:tab w:val="num" w:pos="2880"/>
        </w:tabs>
        <w:ind w:left="2880" w:hanging="360"/>
      </w:pPr>
      <w:rPr>
        <w:rFonts w:ascii="Symbol" w:hAnsi="Symbol" w:hint="default"/>
      </w:rPr>
    </w:lvl>
    <w:lvl w:ilvl="4" w:tplc="7A16F8EA" w:tentative="1">
      <w:start w:val="1"/>
      <w:numFmt w:val="bullet"/>
      <w:lvlText w:val="o"/>
      <w:lvlJc w:val="left"/>
      <w:pPr>
        <w:tabs>
          <w:tab w:val="num" w:pos="3600"/>
        </w:tabs>
        <w:ind w:left="3600" w:hanging="360"/>
      </w:pPr>
      <w:rPr>
        <w:rFonts w:ascii="Courier New" w:hAnsi="Courier New" w:cs="Courier New" w:hint="default"/>
      </w:rPr>
    </w:lvl>
    <w:lvl w:ilvl="5" w:tplc="C1DA39CC" w:tentative="1">
      <w:start w:val="1"/>
      <w:numFmt w:val="bullet"/>
      <w:lvlText w:val=""/>
      <w:lvlJc w:val="left"/>
      <w:pPr>
        <w:tabs>
          <w:tab w:val="num" w:pos="4320"/>
        </w:tabs>
        <w:ind w:left="4320" w:hanging="360"/>
      </w:pPr>
      <w:rPr>
        <w:rFonts w:ascii="Wingdings" w:hAnsi="Wingdings" w:hint="default"/>
      </w:rPr>
    </w:lvl>
    <w:lvl w:ilvl="6" w:tplc="CD62B54E" w:tentative="1">
      <w:start w:val="1"/>
      <w:numFmt w:val="bullet"/>
      <w:lvlText w:val=""/>
      <w:lvlJc w:val="left"/>
      <w:pPr>
        <w:tabs>
          <w:tab w:val="num" w:pos="5040"/>
        </w:tabs>
        <w:ind w:left="5040" w:hanging="360"/>
      </w:pPr>
      <w:rPr>
        <w:rFonts w:ascii="Symbol" w:hAnsi="Symbol" w:hint="default"/>
      </w:rPr>
    </w:lvl>
    <w:lvl w:ilvl="7" w:tplc="24286740" w:tentative="1">
      <w:start w:val="1"/>
      <w:numFmt w:val="bullet"/>
      <w:lvlText w:val="o"/>
      <w:lvlJc w:val="left"/>
      <w:pPr>
        <w:tabs>
          <w:tab w:val="num" w:pos="5760"/>
        </w:tabs>
        <w:ind w:left="5760" w:hanging="360"/>
      </w:pPr>
      <w:rPr>
        <w:rFonts w:ascii="Courier New" w:hAnsi="Courier New" w:cs="Courier New" w:hint="default"/>
      </w:rPr>
    </w:lvl>
    <w:lvl w:ilvl="8" w:tplc="85D234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54666568">
    <w:abstractNumId w:val="10"/>
  </w:num>
  <w:num w:numId="2" w16cid:durableId="1668481209">
    <w:abstractNumId w:val="7"/>
  </w:num>
  <w:num w:numId="3" w16cid:durableId="1230455000">
    <w:abstractNumId w:val="6"/>
  </w:num>
  <w:num w:numId="4" w16cid:durableId="164513742">
    <w:abstractNumId w:val="5"/>
  </w:num>
  <w:num w:numId="5" w16cid:durableId="1383165412">
    <w:abstractNumId w:val="4"/>
  </w:num>
  <w:num w:numId="6" w16cid:durableId="73282544">
    <w:abstractNumId w:val="8"/>
  </w:num>
  <w:num w:numId="7" w16cid:durableId="627860209">
    <w:abstractNumId w:val="3"/>
  </w:num>
  <w:num w:numId="8" w16cid:durableId="299576699">
    <w:abstractNumId w:val="2"/>
  </w:num>
  <w:num w:numId="9" w16cid:durableId="1302349444">
    <w:abstractNumId w:val="1"/>
  </w:num>
  <w:num w:numId="10" w16cid:durableId="20867316">
    <w:abstractNumId w:val="0"/>
  </w:num>
  <w:num w:numId="11" w16cid:durableId="1477798828">
    <w:abstractNumId w:val="9"/>
  </w:num>
  <w:num w:numId="12" w16cid:durableId="948898513">
    <w:abstractNumId w:val="11"/>
  </w:num>
  <w:num w:numId="13" w16cid:durableId="2136752818">
    <w:abstractNumId w:val="13"/>
  </w:num>
  <w:num w:numId="14" w16cid:durableId="12224464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2C1C"/>
    <w:rsid w:val="00064021"/>
    <w:rsid w:val="00071F28"/>
    <w:rsid w:val="00074079"/>
    <w:rsid w:val="00081511"/>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865"/>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07C6"/>
    <w:rsid w:val="001E14DD"/>
    <w:rsid w:val="001E34C6"/>
    <w:rsid w:val="001E5581"/>
    <w:rsid w:val="001E6117"/>
    <w:rsid w:val="001F3C70"/>
    <w:rsid w:val="001F6648"/>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41C1"/>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46DE4"/>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47513"/>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356A"/>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3D85"/>
    <w:rsid w:val="00584B49"/>
    <w:rsid w:val="00584BAC"/>
    <w:rsid w:val="00587DBD"/>
    <w:rsid w:val="00593C2B"/>
    <w:rsid w:val="00595231"/>
    <w:rsid w:val="00596166"/>
    <w:rsid w:val="00597F64"/>
    <w:rsid w:val="005A207F"/>
    <w:rsid w:val="005A2F35"/>
    <w:rsid w:val="005B3814"/>
    <w:rsid w:val="005B463E"/>
    <w:rsid w:val="005C34E1"/>
    <w:rsid w:val="005C3FE0"/>
    <w:rsid w:val="005C740C"/>
    <w:rsid w:val="005D2644"/>
    <w:rsid w:val="005D625B"/>
    <w:rsid w:val="005F62D3"/>
    <w:rsid w:val="005F6D11"/>
    <w:rsid w:val="00600CF0"/>
    <w:rsid w:val="006048F4"/>
    <w:rsid w:val="0060660A"/>
    <w:rsid w:val="00613B1D"/>
    <w:rsid w:val="00617A44"/>
    <w:rsid w:val="006202B6"/>
    <w:rsid w:val="006247BE"/>
    <w:rsid w:val="00625CD0"/>
    <w:rsid w:val="0062627D"/>
    <w:rsid w:val="00627432"/>
    <w:rsid w:val="006275AE"/>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10F2"/>
    <w:rsid w:val="00783559"/>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20C3"/>
    <w:rsid w:val="00872271"/>
    <w:rsid w:val="00877A56"/>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E766F"/>
    <w:rsid w:val="009F3259"/>
    <w:rsid w:val="00A056DE"/>
    <w:rsid w:val="00A128AD"/>
    <w:rsid w:val="00A14BEE"/>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1D0"/>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056B"/>
    <w:rsid w:val="00B11DD6"/>
    <w:rsid w:val="00B12456"/>
    <w:rsid w:val="00B145F0"/>
    <w:rsid w:val="00B259C8"/>
    <w:rsid w:val="00B26CCF"/>
    <w:rsid w:val="00B30FC2"/>
    <w:rsid w:val="00B331A2"/>
    <w:rsid w:val="00B3508C"/>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25B"/>
    <w:rsid w:val="00C5258E"/>
    <w:rsid w:val="00C530C9"/>
    <w:rsid w:val="00C619A7"/>
    <w:rsid w:val="00C73D5F"/>
    <w:rsid w:val="00C8584E"/>
    <w:rsid w:val="00C97C80"/>
    <w:rsid w:val="00CA3068"/>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24F9"/>
    <w:rsid w:val="00D516BE"/>
    <w:rsid w:val="00D5423B"/>
    <w:rsid w:val="00D54F4E"/>
    <w:rsid w:val="00D604B3"/>
    <w:rsid w:val="00D60BA4"/>
    <w:rsid w:val="00D62419"/>
    <w:rsid w:val="00D75078"/>
    <w:rsid w:val="00D77870"/>
    <w:rsid w:val="00D80977"/>
    <w:rsid w:val="00D80CCE"/>
    <w:rsid w:val="00D86EEA"/>
    <w:rsid w:val="00D87D03"/>
    <w:rsid w:val="00D95C88"/>
    <w:rsid w:val="00D95D3D"/>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334C"/>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ABA50"/>
  <w15:docId w15:val="{1444F5F8-7008-473D-A781-80612874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CtgbKop1">
    <w:name w:val="Ctgb Kop 1"/>
    <w:basedOn w:val="Standaard"/>
    <w:rsid w:val="00B1056B"/>
    <w:pPr>
      <w:keepNext/>
      <w:overflowPunct w:val="0"/>
      <w:autoSpaceDE w:val="0"/>
      <w:autoSpaceDN w:val="0"/>
      <w:adjustRightInd w:val="0"/>
      <w:spacing w:line="240" w:lineRule="auto"/>
      <w:ind w:left="425" w:hanging="425"/>
      <w:outlineLvl w:val="0"/>
    </w:pPr>
    <w:rPr>
      <w:rFonts w:ascii="Calibri" w:hAnsi="Calibri" w:cs="Arial"/>
      <w:b/>
      <w:color w:val="007F7A"/>
      <w:kern w:val="28"/>
      <w:sz w:val="22"/>
      <w:szCs w:val="22"/>
      <w:lang w:val="en-US" w:eastAsia="en-US"/>
    </w:rPr>
  </w:style>
  <w:style w:type="character" w:styleId="Verwijzingopmerking">
    <w:name w:val="annotation reference"/>
    <w:basedOn w:val="Standaardalinea-lettertype"/>
    <w:semiHidden/>
    <w:unhideWhenUsed/>
    <w:rsid w:val="00447513"/>
    <w:rPr>
      <w:sz w:val="16"/>
      <w:szCs w:val="16"/>
    </w:rPr>
  </w:style>
  <w:style w:type="paragraph" w:styleId="Tekstopmerking">
    <w:name w:val="annotation text"/>
    <w:basedOn w:val="Standaard"/>
    <w:link w:val="TekstopmerkingChar"/>
    <w:unhideWhenUsed/>
    <w:rsid w:val="00447513"/>
    <w:pPr>
      <w:spacing w:line="240" w:lineRule="auto"/>
    </w:pPr>
    <w:rPr>
      <w:sz w:val="20"/>
      <w:szCs w:val="20"/>
    </w:rPr>
  </w:style>
  <w:style w:type="character" w:customStyle="1" w:styleId="TekstopmerkingChar">
    <w:name w:val="Tekst opmerking Char"/>
    <w:basedOn w:val="Standaardalinea-lettertype"/>
    <w:link w:val="Tekstopmerking"/>
    <w:rsid w:val="0044751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47513"/>
    <w:rPr>
      <w:b/>
      <w:bCs/>
    </w:rPr>
  </w:style>
  <w:style w:type="character" w:customStyle="1" w:styleId="OnderwerpvanopmerkingChar">
    <w:name w:val="Onderwerp van opmerking Char"/>
    <w:basedOn w:val="TekstopmerkingChar"/>
    <w:link w:val="Onderwerpvanopmerking"/>
    <w:semiHidden/>
    <w:rsid w:val="0044751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18822">
      <w:bodyDiv w:val="1"/>
      <w:marLeft w:val="0"/>
      <w:marRight w:val="0"/>
      <w:marTop w:val="0"/>
      <w:marBottom w:val="0"/>
      <w:divBdr>
        <w:top w:val="none" w:sz="0" w:space="0" w:color="auto"/>
        <w:left w:val="none" w:sz="0" w:space="0" w:color="auto"/>
        <w:bottom w:val="none" w:sz="0" w:space="0" w:color="auto"/>
        <w:right w:val="none" w:sz="0" w:space="0" w:color="auto"/>
      </w:divBdr>
    </w:div>
    <w:div w:id="1006711163">
      <w:bodyDiv w:val="1"/>
      <w:marLeft w:val="0"/>
      <w:marRight w:val="0"/>
      <w:marTop w:val="0"/>
      <w:marBottom w:val="0"/>
      <w:divBdr>
        <w:top w:val="none" w:sz="0" w:space="0" w:color="auto"/>
        <w:left w:val="none" w:sz="0" w:space="0" w:color="auto"/>
        <w:bottom w:val="none" w:sz="0" w:space="0" w:color="auto"/>
        <w:right w:val="none" w:sz="0" w:space="0" w:color="auto"/>
      </w:divBdr>
    </w:div>
    <w:div w:id="1223759969">
      <w:bodyDiv w:val="1"/>
      <w:marLeft w:val="0"/>
      <w:marRight w:val="0"/>
      <w:marTop w:val="0"/>
      <w:marBottom w:val="0"/>
      <w:divBdr>
        <w:top w:val="none" w:sz="0" w:space="0" w:color="auto"/>
        <w:left w:val="none" w:sz="0" w:space="0" w:color="auto"/>
        <w:bottom w:val="none" w:sz="0" w:space="0" w:color="auto"/>
        <w:right w:val="none" w:sz="0" w:space="0" w:color="auto"/>
      </w:divBdr>
    </w:div>
    <w:div w:id="21251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35E8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94076"/>
    <w:rsid w:val="003A1B16"/>
    <w:rsid w:val="0056534A"/>
    <w:rsid w:val="00584B49"/>
    <w:rsid w:val="006275AE"/>
    <w:rsid w:val="00635E8F"/>
    <w:rsid w:val="0064063E"/>
    <w:rsid w:val="008131C3"/>
    <w:rsid w:val="00A771D0"/>
    <w:rsid w:val="00B3508C"/>
    <w:rsid w:val="00BD5C9A"/>
    <w:rsid w:val="00CA3068"/>
    <w:rsid w:val="00F41B49"/>
    <w:rsid w:val="00FB5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723</ap:Words>
  <ap:Characters>3977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2024-09-25T06:47:00.0000000Z</dcterms:created>
  <dcterms:modified xsi:type="dcterms:W3CDTF">2024-10-03T08:11:00.0000000Z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PeetersW2</vt:lpwstr>
  </property>
  <property fmtid="{D5CDD505-2E9C-101B-9397-08002B2CF9AE}" pid="3" name="AUTHOR_ID">
    <vt:lpwstr>PeetersW2</vt:lpwstr>
  </property>
  <property fmtid="{D5CDD505-2E9C-101B-9397-08002B2CF9AE}" pid="4" name="A_ADRES">
    <vt:lpwstr>De Voorzitter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SCoPAFF-vergadering gewasbeschermingsmiddelen oktober 2024</vt:lpwstr>
  </property>
  <property fmtid="{D5CDD505-2E9C-101B-9397-08002B2CF9AE}" pid="9" name="documentId">
    <vt:lpwstr>87181711</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PeetersW2</vt:lpwstr>
  </property>
</Properties>
</file>