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D7" w:rsidRDefault="007700D7" w14:paraId="5A8CB5CF" w14:textId="77777777">
      <w:bookmarkStart w:name="_GoBack" w:id="0"/>
      <w:bookmarkEnd w:id="0"/>
    </w:p>
    <w:p w:rsidR="00604637" w:rsidRDefault="002C461F" w14:paraId="7B5352A5" w14:textId="75370376">
      <w:r>
        <w:t>Geachte voorzitter,</w:t>
      </w:r>
    </w:p>
    <w:p w:rsidR="002C461F" w:rsidRDefault="002C461F" w14:paraId="46967B61" w14:textId="77777777"/>
    <w:p w:rsidR="00604637" w:rsidP="00DE4C61" w:rsidRDefault="002C461F" w14:paraId="16080066" w14:textId="77777777">
      <w:r w:rsidRPr="002C461F">
        <w:t>Tijdens het wetgevingsoverleg over het jaarverslag 2023 van</w:t>
      </w:r>
      <w:r w:rsidR="007D0508">
        <w:t xml:space="preserve"> het ministerie van Infrastructuur en Waterstaat</w:t>
      </w:r>
      <w:r w:rsidRPr="002C461F">
        <w:t xml:space="preserve"> </w:t>
      </w:r>
      <w:r w:rsidR="007D0508">
        <w:t>(</w:t>
      </w:r>
      <w:r>
        <w:t>IenW</w:t>
      </w:r>
      <w:r w:rsidR="007D0508">
        <w:t>)</w:t>
      </w:r>
      <w:r w:rsidRPr="002C461F">
        <w:t xml:space="preserve"> is</w:t>
      </w:r>
      <w:r w:rsidR="0012521A">
        <w:t xml:space="preserve"> het lid Heutink (PVV)</w:t>
      </w:r>
      <w:r w:rsidRPr="002C461F">
        <w:t xml:space="preserve"> toegezegd</w:t>
      </w:r>
      <w:r>
        <w:t xml:space="preserve"> om</w:t>
      </w:r>
      <w:r w:rsidRPr="002C461F">
        <w:t xml:space="preserve"> de </w:t>
      </w:r>
      <w:r w:rsidR="006A12BF">
        <w:t xml:space="preserve">Tweede </w:t>
      </w:r>
      <w:r w:rsidRPr="002C461F">
        <w:t>Kamer nader te informeren over inzicht in areaaldata bij ProRail en Rijkswaterstaat (RWS</w:t>
      </w:r>
      <w:r w:rsidR="00447819">
        <w:t>,</w:t>
      </w:r>
      <w:r w:rsidR="00CC3804">
        <w:t xml:space="preserve"> naar</w:t>
      </w:r>
      <w:r w:rsidRPr="002C461F">
        <w:t xml:space="preserve"> aanleiding </w:t>
      </w:r>
      <w:r>
        <w:t xml:space="preserve">van </w:t>
      </w:r>
      <w:r w:rsidR="00CC3804">
        <w:t xml:space="preserve">de conclusies uit het </w:t>
      </w:r>
      <w:r w:rsidRPr="002C461F">
        <w:t>Verantwoordingsonderzoek 2023 van de Algemene Rekenkamer</w:t>
      </w:r>
      <w:r>
        <w:rPr>
          <w:rStyle w:val="FootnoteReference"/>
        </w:rPr>
        <w:footnoteReference w:id="1"/>
      </w:r>
      <w:r>
        <w:t xml:space="preserve">. </w:t>
      </w:r>
      <w:r w:rsidRPr="002C461F">
        <w:t>Met deze brief wordt</w:t>
      </w:r>
      <w:r w:rsidR="00310173">
        <w:t>, mede namens de staatssecretaris van Infrastructuur en Waterstaat – Openbaar Vervoer en Milieu,</w:t>
      </w:r>
      <w:r w:rsidRPr="002C461F">
        <w:t xml:space="preserve"> invulling </w:t>
      </w:r>
      <w:r w:rsidR="00CC3804">
        <w:t>gegeven aan de toezegging</w:t>
      </w:r>
      <w:r>
        <w:t>.</w:t>
      </w:r>
      <w:r w:rsidR="00CC3804">
        <w:t xml:space="preserve"> </w:t>
      </w:r>
      <w:r>
        <w:t xml:space="preserve"> </w:t>
      </w:r>
    </w:p>
    <w:p w:rsidR="009906D5" w:rsidP="00FB3DB5" w:rsidRDefault="009906D5" w14:paraId="4C03F975" w14:textId="77777777"/>
    <w:p w:rsidR="00CC3804" w:rsidP="00FB3DB5" w:rsidRDefault="00CC3804" w14:paraId="4F85E461" w14:textId="77777777">
      <w:pPr>
        <w:rPr>
          <w:u w:val="single"/>
        </w:rPr>
      </w:pPr>
      <w:r>
        <w:rPr>
          <w:u w:val="single"/>
        </w:rPr>
        <w:t>Assetmanagement ProRail</w:t>
      </w:r>
    </w:p>
    <w:p w:rsidRPr="00CC3804" w:rsidR="00CC3804" w:rsidP="00CC3804" w:rsidRDefault="00CC3804" w14:paraId="5E974623" w14:textId="77777777">
      <w:r w:rsidRPr="00CC3804">
        <w:t xml:space="preserve">ProRail is verantwoordelijk voor </w:t>
      </w:r>
      <w:r w:rsidR="006778F5">
        <w:t xml:space="preserve">instandhouding </w:t>
      </w:r>
      <w:r w:rsidRPr="00CC3804">
        <w:t>en ontwikkeling van het spoorwegennet. Het assetportfolio bestaat uit ruim 7.000 kilometer spoor, meer dan 6.200 wissels, ruim 2.300 overwegen en 11.500 seinen, 68 beweegbare bruggen, 26 tunnels, bijna 400 stations en bijna 10.000 hectare aan grond</w:t>
      </w:r>
      <w:r w:rsidR="00CB7DB9">
        <w:t>.</w:t>
      </w:r>
      <w:r w:rsidRPr="00CC3804">
        <w:t xml:space="preserve"> De investeringen </w:t>
      </w:r>
      <w:r w:rsidR="00CB7C88">
        <w:t xml:space="preserve">in het spoorwegennet </w:t>
      </w:r>
      <w:r w:rsidR="009A0458">
        <w:t xml:space="preserve">en de werkzaamheden van ProRail </w:t>
      </w:r>
      <w:r w:rsidRPr="00CC3804">
        <w:t xml:space="preserve">zijn de afgelopen decennia </w:t>
      </w:r>
      <w:r w:rsidR="00CB7DB9">
        <w:t xml:space="preserve">al </w:t>
      </w:r>
      <w:r w:rsidR="007D5B4B">
        <w:t>grotendeels</w:t>
      </w:r>
      <w:r w:rsidRPr="00CC3804">
        <w:t xml:space="preserve"> gericht op instandhouding</w:t>
      </w:r>
      <w:r w:rsidR="007D5B4B">
        <w:t>. Daarnaast krijgt ProRail s</w:t>
      </w:r>
      <w:r w:rsidRPr="00CC3804">
        <w:t>inds de oprichting</w:t>
      </w:r>
      <w:r w:rsidR="00DE4C61">
        <w:t xml:space="preserve"> in 2005</w:t>
      </w:r>
      <w:r w:rsidRPr="00CC3804">
        <w:t xml:space="preserve"> </w:t>
      </w:r>
      <w:r w:rsidR="00DE4C61">
        <w:t>ee</w:t>
      </w:r>
      <w:r w:rsidRPr="00CC3804">
        <w:t xml:space="preserve">n integraal budget </w:t>
      </w:r>
      <w:r w:rsidR="007D5B4B">
        <w:t xml:space="preserve">van IenW </w:t>
      </w:r>
      <w:r w:rsidRPr="00CC3804">
        <w:t>voor instandhouding dat zij zo goed en efficiënt mogelijk besteedt</w:t>
      </w:r>
      <w:r w:rsidR="007D5B4B">
        <w:t>. D</w:t>
      </w:r>
      <w:r w:rsidRPr="00CC3804">
        <w:t>aardoor</w:t>
      </w:r>
      <w:r w:rsidR="007D5B4B">
        <w:t xml:space="preserve"> is </w:t>
      </w:r>
      <w:r w:rsidR="00CB7DB9">
        <w:t>ProRail</w:t>
      </w:r>
      <w:r w:rsidRPr="00CC3804">
        <w:t xml:space="preserve"> in staat om</w:t>
      </w:r>
      <w:r w:rsidR="00DE4C61">
        <w:t xml:space="preserve"> de </w:t>
      </w:r>
      <w:r w:rsidR="009A0458">
        <w:t>instandhoudings</w:t>
      </w:r>
      <w:r w:rsidR="00DE4C61">
        <w:t>kosten optimaal te programmeren volgens de levenscyclusbenadering</w:t>
      </w:r>
      <w:r w:rsidRPr="00CC3804">
        <w:t>. Het assetmanagement en het beheer van areaaldata vervult daarbij een centrale rol.</w:t>
      </w:r>
    </w:p>
    <w:p w:rsidRPr="00CC3804" w:rsidR="00CC3804" w:rsidP="00CC3804" w:rsidRDefault="00CC3804" w14:paraId="6C6A91F1" w14:textId="77777777"/>
    <w:p w:rsidR="007700D7" w:rsidP="00CC3804" w:rsidRDefault="00CC3804" w14:paraId="045B587A" w14:textId="77777777">
      <w:r w:rsidRPr="00CC3804">
        <w:t>Er zijn twee aspecten bij ProRail die hebben bijgedragen aan het op orde brengen en houden van de areaaldata. Ten eerst</w:t>
      </w:r>
      <w:r w:rsidR="00583B66">
        <w:t>e is</w:t>
      </w:r>
      <w:r w:rsidRPr="00CC3804">
        <w:t xml:space="preserve"> het instandhoudingsplan sinds ongeveer </w:t>
      </w:r>
      <w:r w:rsidR="00447819">
        <w:t>tien</w:t>
      </w:r>
      <w:r w:rsidRPr="00CC3804">
        <w:t xml:space="preserve"> jaar gekoppeld aan de </w:t>
      </w:r>
      <w:r w:rsidR="00583B66">
        <w:t xml:space="preserve">centrale registratie van de areaaldata. Wanneer </w:t>
      </w:r>
      <w:r w:rsidR="009A0458">
        <w:t xml:space="preserve">de centrale registratie </w:t>
      </w:r>
      <w:r w:rsidRPr="00CC3804">
        <w:t xml:space="preserve">niet op orde is, kunnen de maatregelen niet in het </w:t>
      </w:r>
      <w:r w:rsidR="00583B66">
        <w:t>instandhouding</w:t>
      </w:r>
      <w:r w:rsidRPr="00CC3804">
        <w:t>splan worden opgenomen. Ten tweede</w:t>
      </w:r>
      <w:r w:rsidR="00583B66">
        <w:t xml:space="preserve"> bouwt</w:t>
      </w:r>
      <w:r w:rsidRPr="00CC3804">
        <w:t xml:space="preserve"> ProRail sinds 2009 </w:t>
      </w:r>
      <w:r w:rsidR="009A0458">
        <w:t>eens in</w:t>
      </w:r>
      <w:r w:rsidRPr="00CC3804">
        <w:t xml:space="preserve"> de paar jaar haar reeksen </w:t>
      </w:r>
      <w:r w:rsidR="00287185">
        <w:t xml:space="preserve">opnieuw </w:t>
      </w:r>
      <w:r w:rsidR="00310173">
        <w:t>op</w:t>
      </w:r>
      <w:r w:rsidRPr="00CC3804" w:rsidR="00310173">
        <w:t xml:space="preserve"> </w:t>
      </w:r>
      <w:r w:rsidRPr="00CC3804">
        <w:t xml:space="preserve">met centrale </w:t>
      </w:r>
      <w:r w:rsidR="00583B66">
        <w:t>areaaldata</w:t>
      </w:r>
      <w:r w:rsidRPr="00CC3804">
        <w:t>, integrale instandhoudingsprogrammering en de</w:t>
      </w:r>
      <w:r>
        <w:t xml:space="preserve"> benodigde financiering</w:t>
      </w:r>
      <w:r w:rsidR="00583B66">
        <w:t>, waarna de</w:t>
      </w:r>
      <w:r w:rsidR="009A0458">
        <w:t xml:space="preserve"> opgebouwde reeksen</w:t>
      </w:r>
      <w:r>
        <w:t xml:space="preserve"> extern</w:t>
      </w:r>
      <w:r w:rsidR="00583B66">
        <w:t xml:space="preserve"> worden</w:t>
      </w:r>
      <w:r>
        <w:t xml:space="preserve"> gevalideerd. </w:t>
      </w:r>
      <w:r w:rsidR="007D5B4B">
        <w:t>Door</w:t>
      </w:r>
      <w:r w:rsidR="002D3523">
        <w:t xml:space="preserve"> de</w:t>
      </w:r>
      <w:r>
        <w:t xml:space="preserve"> aanbevelingen</w:t>
      </w:r>
      <w:r w:rsidR="00583B66">
        <w:t xml:space="preserve"> uit de validaties</w:t>
      </w:r>
      <w:r w:rsidR="007D5B4B">
        <w:t xml:space="preserve"> te benutten</w:t>
      </w:r>
      <w:r w:rsidR="00447819">
        <w:t xml:space="preserve"> en deze systematiek iedere paar jaar te herhalen worden</w:t>
      </w:r>
      <w:r w:rsidR="005D00C4">
        <w:t xml:space="preserve"> er </w:t>
      </w:r>
    </w:p>
    <w:p w:rsidR="007700D7" w:rsidP="00CC3804" w:rsidRDefault="007700D7" w14:paraId="147552BB" w14:textId="77777777"/>
    <w:p w:rsidR="007700D7" w:rsidP="00CC3804" w:rsidRDefault="007700D7" w14:paraId="6010A44C" w14:textId="77777777"/>
    <w:p w:rsidR="002D3523" w:rsidP="00CC3804" w:rsidRDefault="005D00C4" w14:paraId="4F6DB39A" w14:textId="73F383B5">
      <w:r>
        <w:t xml:space="preserve">continu verbeteringen doorgevoerd in het assetmanagement </w:t>
      </w:r>
      <w:r w:rsidR="007D5B4B">
        <w:t xml:space="preserve">en de areaaldata </w:t>
      </w:r>
      <w:r w:rsidR="002D3523">
        <w:t>van ProRail</w:t>
      </w:r>
      <w:r w:rsidR="007D5B4B">
        <w:t xml:space="preserve">. </w:t>
      </w:r>
    </w:p>
    <w:p w:rsidRPr="00CC3804" w:rsidR="00CC3804" w:rsidP="00CC3804" w:rsidRDefault="007D5B4B" w14:paraId="3E8FE7E6" w14:textId="77777777">
      <w:r>
        <w:t xml:space="preserve">Het assetmanagement en de areaaldata van ProRail </w:t>
      </w:r>
      <w:r w:rsidR="00B004CA">
        <w:t xml:space="preserve">heeft </w:t>
      </w:r>
      <w:r>
        <w:t>sin</w:t>
      </w:r>
      <w:r w:rsidR="00AA3438">
        <w:t>d</w:t>
      </w:r>
      <w:r>
        <w:t>s</w:t>
      </w:r>
      <w:r w:rsidR="00CC3804">
        <w:t xml:space="preserve"> 2009 een structurele verbetering doorgemaakt. Vanaf 2020 is het assetmanagement </w:t>
      </w:r>
      <w:r w:rsidR="005D00C4">
        <w:t xml:space="preserve">van ProRail </w:t>
      </w:r>
      <w:r w:rsidR="00CC3804">
        <w:t>in lijn met</w:t>
      </w:r>
      <w:r w:rsidR="00D82144">
        <w:t xml:space="preserve"> de internationale standaard voor assetmanagement, de</w:t>
      </w:r>
      <w:r w:rsidR="00CC3804">
        <w:t xml:space="preserve"> ISO 55000</w:t>
      </w:r>
      <w:r w:rsidR="007D0508">
        <w:rPr>
          <w:rStyle w:val="FootnoteReference"/>
        </w:rPr>
        <w:footnoteReference w:id="2"/>
      </w:r>
      <w:r w:rsidR="00CC3804">
        <w:t xml:space="preserve">. In 2023 </w:t>
      </w:r>
      <w:r w:rsidR="007D0508">
        <w:t xml:space="preserve">zijn de instandhoudingskosten van ProRail gevalideerd en is geconstateerd </w:t>
      </w:r>
      <w:r w:rsidR="00CC3804">
        <w:t xml:space="preserve">dat er verbeterslagen zijn gemaakt op het gebied van rapporteren over de Staat van de Infrastructuur, </w:t>
      </w:r>
      <w:r w:rsidR="00C0625D">
        <w:t xml:space="preserve">de </w:t>
      </w:r>
      <w:r w:rsidR="00CC3804">
        <w:t>kwaliteit van de areaal</w:t>
      </w:r>
      <w:r w:rsidR="005D00C4">
        <w:t>data</w:t>
      </w:r>
      <w:r w:rsidR="00CC3804">
        <w:t xml:space="preserve">, </w:t>
      </w:r>
      <w:r w:rsidR="00C0625D">
        <w:t xml:space="preserve">de </w:t>
      </w:r>
      <w:r w:rsidR="00CC3804">
        <w:t>risico-inventarisatie en</w:t>
      </w:r>
      <w:r w:rsidR="00B004CA">
        <w:t xml:space="preserve"> integrale afwegingen</w:t>
      </w:r>
      <w:r w:rsidR="00CC3804">
        <w:t>.</w:t>
      </w:r>
      <w:r w:rsidR="005D00C4">
        <w:t xml:space="preserve"> </w:t>
      </w:r>
      <w:r w:rsidR="00CC3804">
        <w:t xml:space="preserve">Tegelijkertijd </w:t>
      </w:r>
      <w:r w:rsidR="007D0508">
        <w:t xml:space="preserve">zijn </w:t>
      </w:r>
      <w:r w:rsidR="00CC3804">
        <w:t>op enkele punten aanbevelingen</w:t>
      </w:r>
      <w:r w:rsidR="007D0508">
        <w:t xml:space="preserve"> gedaan</w:t>
      </w:r>
      <w:r w:rsidR="00CC3804">
        <w:t xml:space="preserve"> die </w:t>
      </w:r>
      <w:r>
        <w:t xml:space="preserve">voornamelijk </w:t>
      </w:r>
      <w:r w:rsidR="005D00C4">
        <w:t>betrekking hebben op het</w:t>
      </w:r>
      <w:r w:rsidR="00CC3804">
        <w:t xml:space="preserve"> opstellen van de instandhoudingsbehoefte</w:t>
      </w:r>
      <w:r w:rsidR="005D00C4">
        <w:t xml:space="preserve"> voor het spoorwegennet</w:t>
      </w:r>
      <w:r w:rsidR="007D0508">
        <w:rPr>
          <w:rStyle w:val="FootnoteReference"/>
        </w:rPr>
        <w:footnoteReference w:id="3"/>
      </w:r>
      <w:r w:rsidR="00CC3804">
        <w:t>.</w:t>
      </w:r>
      <w:r w:rsidR="00D254D7">
        <w:t xml:space="preserve"> </w:t>
      </w:r>
      <w:r w:rsidRPr="00D254D7" w:rsidR="00D254D7">
        <w:t xml:space="preserve">IenW en ProRail blijven in gesprek met als doel </w:t>
      </w:r>
      <w:r w:rsidR="00D254D7">
        <w:t>om voor de volgende herijking</w:t>
      </w:r>
      <w:r w:rsidRPr="00D254D7" w:rsidR="00D254D7">
        <w:t xml:space="preserve"> concrete verbeteringen door te voeren.</w:t>
      </w:r>
    </w:p>
    <w:p w:rsidR="00CC3804" w:rsidP="00FB3DB5" w:rsidRDefault="00CC3804" w14:paraId="31C02AF0" w14:textId="77777777">
      <w:pPr>
        <w:rPr>
          <w:u w:val="single"/>
        </w:rPr>
      </w:pPr>
    </w:p>
    <w:p w:rsidR="00CC3804" w:rsidP="00FB3DB5" w:rsidRDefault="00CC3804" w14:paraId="343BFE7F" w14:textId="77777777">
      <w:pPr>
        <w:rPr>
          <w:u w:val="single"/>
        </w:rPr>
      </w:pPr>
      <w:r>
        <w:rPr>
          <w:u w:val="single"/>
        </w:rPr>
        <w:t>Assetmanagement RWS, uitdagingen en maatregelen</w:t>
      </w:r>
    </w:p>
    <w:p w:rsidR="002D3523" w:rsidP="002D3523" w:rsidRDefault="002D3523" w14:paraId="7C9F28A6" w14:textId="77777777">
      <w:r>
        <w:t>RWS is verantwoordelijk voor instandhouding en ontwikkeling van 3 netwerken: het hoofdwegennet, hoofdvaarwegennet en hoofdwatersysteem (RWS-netwerken). De omvang van het assetportfolio is fors: ruim 3.000 kilometer autosnelwegen met circa 2.900 viaducten, 38 ecoducten, 17 aquaducten en 28 tunnels, bijna 3.500 kilometer vaarwegen inclusief sluizen en stuwen en meer dan 1.000 bruggen, meer dan</w:t>
      </w:r>
      <w:r w:rsidR="006778F5">
        <w:t xml:space="preserve"> </w:t>
      </w:r>
      <w:r>
        <w:t xml:space="preserve">3.500 kilometer zeetoegangsgeulen en zeecorridors, meer dan 90.000 km² oppervlaktewater en circa 200 kilometer waterkeringen. </w:t>
      </w:r>
      <w:r w:rsidR="006778F5">
        <w:t xml:space="preserve">De </w:t>
      </w:r>
      <w:r w:rsidR="00D63272">
        <w:t>RWS-netwerken en assets</w:t>
      </w:r>
      <w:r>
        <w:t xml:space="preserve"> </w:t>
      </w:r>
      <w:r w:rsidR="006778F5">
        <w:t>zijn</w:t>
      </w:r>
      <w:r>
        <w:t xml:space="preserve"> nauw verbonden met</w:t>
      </w:r>
      <w:r w:rsidR="00CB7C88">
        <w:t xml:space="preserve"> </w:t>
      </w:r>
      <w:r w:rsidR="004B6AD6">
        <w:t xml:space="preserve">regionale netwerken </w:t>
      </w:r>
      <w:r>
        <w:t>in het beheer van provincies, gemeenten en waterschappen</w:t>
      </w:r>
      <w:r w:rsidR="00D63272">
        <w:t>, waarbij elke regio specifieke kenmerken en uitdagingen heeft</w:t>
      </w:r>
      <w:r>
        <w:t xml:space="preserve">. Om hierop in te kunnen spelen </w:t>
      </w:r>
      <w:r w:rsidR="00C968A3">
        <w:t xml:space="preserve">wordt </w:t>
      </w:r>
      <w:r>
        <w:t>intensie</w:t>
      </w:r>
      <w:r w:rsidR="00B004CA">
        <w:t>f</w:t>
      </w:r>
      <w:r>
        <w:t xml:space="preserve"> </w:t>
      </w:r>
      <w:r w:rsidR="00C968A3">
        <w:t xml:space="preserve">afgestemd </w:t>
      </w:r>
      <w:r w:rsidR="00D63272">
        <w:t xml:space="preserve">met regionale partners </w:t>
      </w:r>
      <w:r>
        <w:t>en is RWS regionaal georganiseerd.</w:t>
      </w:r>
    </w:p>
    <w:p w:rsidR="002D3523" w:rsidP="002D3523" w:rsidRDefault="002D3523" w14:paraId="00E75255" w14:textId="77777777"/>
    <w:p w:rsidR="00D82144" w:rsidP="002D3523" w:rsidRDefault="002D3523" w14:paraId="454E3B41" w14:textId="77777777">
      <w:r>
        <w:t xml:space="preserve">De investeringen in de RWS-netwerken zijn de afgelopen decennia grotendeels gericht geweest op ontwikkeling. </w:t>
      </w:r>
      <w:r w:rsidR="00D63272">
        <w:t xml:space="preserve">De instandhouding </w:t>
      </w:r>
      <w:r w:rsidR="00CB7C88">
        <w:t>was onderdeel van de</w:t>
      </w:r>
      <w:r>
        <w:t xml:space="preserve"> reguliere werkzaamheden</w:t>
      </w:r>
      <w:r w:rsidR="00D63272">
        <w:t xml:space="preserve"> </w:t>
      </w:r>
      <w:r w:rsidR="00CB7C88">
        <w:t xml:space="preserve">van RWS </w:t>
      </w:r>
      <w:r w:rsidR="00D63272">
        <w:t xml:space="preserve">waarbij </w:t>
      </w:r>
      <w:r>
        <w:t>op vernieuwing</w:t>
      </w:r>
      <w:r w:rsidR="00D63272">
        <w:t xml:space="preserve"> van assets</w:t>
      </w:r>
      <w:r>
        <w:t xml:space="preserve"> projectsturing</w:t>
      </w:r>
      <w:r w:rsidR="00D63272">
        <w:t xml:space="preserve"> werd</w:t>
      </w:r>
      <w:r>
        <w:t xml:space="preserve"> toegepast door IenW. De afgelopen jaren is instandhouding van </w:t>
      </w:r>
      <w:r w:rsidR="00D63272">
        <w:t>de RWS-netwerken</w:t>
      </w:r>
      <w:r>
        <w:t xml:space="preserve"> echter steeds belangrijker geworden. </w:t>
      </w:r>
      <w:r w:rsidRPr="00EE4800" w:rsidR="00EE4800">
        <w:t>Een groot aantal assets bereikt de komende jaren het einde van de levensduur door de leeftijd, door intensief en zwaar gebruik waarvoor zij niet zijn ontworpen, en door de impact van ontwikkelingen zoals klimaatverandering en cyberveiligheid die nieuwe eisen stellen aan het functioneren van de assets.</w:t>
      </w:r>
      <w:r w:rsidR="00DB1FEF">
        <w:t xml:space="preserve"> </w:t>
      </w:r>
      <w:r w:rsidR="00D82144">
        <w:t xml:space="preserve">De komende </w:t>
      </w:r>
      <w:r w:rsidR="00B004CA">
        <w:t>tijd</w:t>
      </w:r>
      <w:r w:rsidR="00D82144">
        <w:t xml:space="preserve"> zal de instandhoudingsopgave blijven groeien</w:t>
      </w:r>
      <w:r w:rsidR="00FB090B">
        <w:rPr>
          <w:rStyle w:val="FootnoteReference"/>
        </w:rPr>
        <w:footnoteReference w:id="4"/>
      </w:r>
      <w:r w:rsidR="00D82144">
        <w:t xml:space="preserve">. </w:t>
      </w:r>
    </w:p>
    <w:p w:rsidR="00D82144" w:rsidP="002D3523" w:rsidRDefault="00D82144" w14:paraId="6544052E" w14:textId="77777777"/>
    <w:p w:rsidR="007700D7" w:rsidP="002A6A8C" w:rsidRDefault="002D3523" w14:paraId="215AD535" w14:textId="77777777">
      <w:r>
        <w:t>In 2020 is de instandhoudingsbehoefte van RWS gevalideerd</w:t>
      </w:r>
      <w:r w:rsidRPr="00B61B6E" w:rsidR="00FB090B">
        <w:rPr>
          <w:vertAlign w:val="superscript"/>
        </w:rPr>
        <w:footnoteReference w:id="5"/>
      </w:r>
      <w:r w:rsidR="00AA3438">
        <w:t>. Er is</w:t>
      </w:r>
      <w:r w:rsidR="00D82144">
        <w:t xml:space="preserve"> geconstateerd </w:t>
      </w:r>
      <w:r>
        <w:t xml:space="preserve">dat RWS </w:t>
      </w:r>
      <w:r w:rsidR="00CB7C88">
        <w:t xml:space="preserve">de kwaliteit van de </w:t>
      </w:r>
      <w:r w:rsidR="00D82144">
        <w:t xml:space="preserve">financiële </w:t>
      </w:r>
      <w:r w:rsidR="00CB7C88">
        <w:t>ramingen sterk had verbeterd</w:t>
      </w:r>
      <w:r>
        <w:t>, maar dat structurele verbeteringen van assetmanagement</w:t>
      </w:r>
      <w:r w:rsidR="00D82144">
        <w:t xml:space="preserve"> en areaaldata</w:t>
      </w:r>
      <w:r>
        <w:t xml:space="preserve"> nodig zijn om </w:t>
      </w:r>
      <w:r w:rsidR="00AA3438">
        <w:t xml:space="preserve">het </w:t>
      </w:r>
      <w:r>
        <w:t xml:space="preserve">inzicht in </w:t>
      </w:r>
      <w:r w:rsidR="006E4362">
        <w:t xml:space="preserve">de </w:t>
      </w:r>
      <w:r>
        <w:t>instandhouding</w:t>
      </w:r>
      <w:r w:rsidR="006E4362">
        <w:t>sopgave</w:t>
      </w:r>
      <w:r>
        <w:t xml:space="preserve"> </w:t>
      </w:r>
      <w:r w:rsidR="00CB7C88">
        <w:t xml:space="preserve">te borgen en verder </w:t>
      </w:r>
      <w:r>
        <w:t xml:space="preserve">aan te scherpen. Om vorm te geven aan de verbetering van het assetmanagement heeft RWS het </w:t>
      </w:r>
    </w:p>
    <w:p w:rsidR="007700D7" w:rsidP="002A6A8C" w:rsidRDefault="007700D7" w14:paraId="2CE324FC" w14:textId="77777777"/>
    <w:p w:rsidR="007700D7" w:rsidP="002A6A8C" w:rsidRDefault="007700D7" w14:paraId="4B9B35EE" w14:textId="77777777"/>
    <w:p w:rsidR="00DB2AE1" w:rsidP="002A6A8C" w:rsidRDefault="002D3523" w14:paraId="54980606" w14:textId="210EB0A4">
      <w:r>
        <w:t>Ontwikkelplan Assetmanagement opgesteld in 2020</w:t>
      </w:r>
      <w:r w:rsidRPr="00FB090B" w:rsidR="00FB090B">
        <w:rPr>
          <w:vertAlign w:val="superscript"/>
        </w:rPr>
        <w:footnoteReference w:id="6"/>
      </w:r>
      <w:r>
        <w:t xml:space="preserve">. </w:t>
      </w:r>
      <w:r w:rsidR="00412DE6">
        <w:t xml:space="preserve">Sinds die tijd wordt </w:t>
      </w:r>
      <w:r w:rsidR="005B6436">
        <w:t xml:space="preserve">met versterkte centrale sturing </w:t>
      </w:r>
      <w:r>
        <w:t xml:space="preserve">toegewerkt naar </w:t>
      </w:r>
      <w:r w:rsidR="00D82144">
        <w:t xml:space="preserve">het </w:t>
      </w:r>
      <w:r>
        <w:t>in lijn</w:t>
      </w:r>
      <w:r w:rsidR="00D82144">
        <w:t xml:space="preserve"> brengen van het assetmanagement van RWS</w:t>
      </w:r>
      <w:r>
        <w:t xml:space="preserve"> met de </w:t>
      </w:r>
      <w:r w:rsidR="004B6AD6">
        <w:t>ISO 55000</w:t>
      </w:r>
      <w:r w:rsidR="003801C6">
        <w:t xml:space="preserve">. </w:t>
      </w:r>
      <w:r w:rsidR="002A6A8C">
        <w:t>De ambitie is dat RWS eind 2025 in lijn met de internationale standaard werkt, de ISO 55000. Het realiseren van deze ambitie verloopt stapsgewijs. Waardoor RWS steeds beter in staat is om transparante en navolgbare keuzes te maken op het areaal terwijl verdere verbetering van het assetmanagement continu blijft doorgaan.</w:t>
      </w:r>
      <w:r w:rsidRPr="002A6A8C" w:rsidR="002A6A8C">
        <w:t xml:space="preserve"> </w:t>
      </w:r>
      <w:r w:rsidRPr="0012521A" w:rsidR="00DB2AE1">
        <w:t>Over de voortgang van de verbetering van het assetmanagement bij RWS wordt de Tweede Kamer jaarlijks</w:t>
      </w:r>
      <w:r w:rsidR="00DB2AE1">
        <w:t xml:space="preserve"> </w:t>
      </w:r>
      <w:r w:rsidRPr="0012521A" w:rsidR="00DB2AE1">
        <w:t>geïnformeerd.</w:t>
      </w:r>
    </w:p>
    <w:p w:rsidR="002A6A8C" w:rsidP="00DB2AE1" w:rsidRDefault="002A6A8C" w14:paraId="3B0373D6" w14:textId="77777777"/>
    <w:p w:rsidR="00BB18AB" w:rsidP="002D3523" w:rsidRDefault="00DB2AE1" w14:paraId="0E7FB462" w14:textId="403F9042">
      <w:r>
        <w:t>Het doel van het Ontwikkelplan Assetmanagement is om overtuigende en goede beslisinformatie op te leveren waarmee een meer betrouwbare en eenduidige programmering, planning en uitvoering van instandhoudingsmaatregelen op de RWS-netwerken kan worden gerealiseerd.</w:t>
      </w:r>
      <w:r w:rsidRPr="002A6A8C">
        <w:t xml:space="preserve"> </w:t>
      </w:r>
      <w:r w:rsidR="00D03D4A">
        <w:t>Twee uitdagingen zijn hierin bepalend</w:t>
      </w:r>
      <w:r w:rsidR="002D3523">
        <w:t>. Ten eerste heeft het assetportfolio van RWS een grote omvang en een hoge diversiteit</w:t>
      </w:r>
      <w:r w:rsidR="00B004CA">
        <w:t>,</w:t>
      </w:r>
      <w:r w:rsidR="002D3523">
        <w:t xml:space="preserve"> variërend van relatief eenvoudige tot uiterst complexe assets. Dit betekent dat het </w:t>
      </w:r>
      <w:r w:rsidR="004B6AD6">
        <w:t xml:space="preserve">in </w:t>
      </w:r>
      <w:r w:rsidR="002D3523">
        <w:t>samenhang op orde brengen van de areaaldata een</w:t>
      </w:r>
      <w:r w:rsidR="004B6AD6">
        <w:t xml:space="preserve"> lastig en</w:t>
      </w:r>
      <w:r w:rsidR="002D3523">
        <w:t xml:space="preserve"> tijdrovend proces is waarbij </w:t>
      </w:r>
      <w:r w:rsidR="00B004CA">
        <w:t xml:space="preserve">alle RWS-regio’s en </w:t>
      </w:r>
      <w:r w:rsidR="002D3523">
        <w:t xml:space="preserve">verschillende technische disciplines betrokken zijn. Ten tweede heeft </w:t>
      </w:r>
      <w:r w:rsidR="004B6AD6">
        <w:t xml:space="preserve">de </w:t>
      </w:r>
      <w:r w:rsidR="002D3523">
        <w:t>nauwe verbondenheid</w:t>
      </w:r>
      <w:r w:rsidR="004B6AD6">
        <w:t xml:space="preserve"> van de RWS-netwerken</w:t>
      </w:r>
      <w:r w:rsidR="002D3523">
        <w:t xml:space="preserve"> met regionale netwerken </w:t>
      </w:r>
      <w:r w:rsidR="00AA3438">
        <w:t>é</w:t>
      </w:r>
      <w:r w:rsidR="002D3523">
        <w:t>n de regionale organisatie van RWS ervoor gezorgd dat de areaaldata decentraal</w:t>
      </w:r>
      <w:r w:rsidRPr="003D3CA1" w:rsidR="003D3CA1">
        <w:t xml:space="preserve"> </w:t>
      </w:r>
      <w:r w:rsidR="003D3CA1">
        <w:t>door de</w:t>
      </w:r>
      <w:r w:rsidR="007C08BB">
        <w:t xml:space="preserve"> </w:t>
      </w:r>
      <w:r w:rsidR="003D3CA1">
        <w:t>RWS-regio’s</w:t>
      </w:r>
      <w:r w:rsidR="002D3523">
        <w:t>, op basis van verschillende</w:t>
      </w:r>
      <w:r w:rsidR="003801C6">
        <w:t xml:space="preserve"> </w:t>
      </w:r>
      <w:r w:rsidR="002D3523">
        <w:t>uitgangspunten en in verschillende systemen is geregistreerd.</w:t>
      </w:r>
      <w:r w:rsidR="00B004CA">
        <w:t xml:space="preserve"> </w:t>
      </w:r>
      <w:r w:rsidR="002D3523">
        <w:t>Het realiseren van eenduidigheid</w:t>
      </w:r>
      <w:r w:rsidR="006A12BF">
        <w:t xml:space="preserve"> in het assetmanagement</w:t>
      </w:r>
      <w:r w:rsidR="002D3523">
        <w:t xml:space="preserve"> door uitgangspunten en werkwijzen te uniformeren en </w:t>
      </w:r>
      <w:r w:rsidR="00AA3438">
        <w:t xml:space="preserve">alle </w:t>
      </w:r>
      <w:r w:rsidR="002D3523">
        <w:t xml:space="preserve">areaaldata </w:t>
      </w:r>
      <w:r w:rsidR="00DB07CA">
        <w:t xml:space="preserve">centraal en </w:t>
      </w:r>
      <w:r w:rsidR="002D3523">
        <w:t xml:space="preserve">in samenhang te registreren vergt </w:t>
      </w:r>
      <w:r w:rsidR="006A12BF">
        <w:t xml:space="preserve">tijd en </w:t>
      </w:r>
      <w:r w:rsidR="002D3523">
        <w:t>een grote inspanning van de organisatie.</w:t>
      </w:r>
      <w:r w:rsidR="00B467A4">
        <w:t xml:space="preserve"> </w:t>
      </w:r>
    </w:p>
    <w:p w:rsidR="00BB18AB" w:rsidP="002D3523" w:rsidRDefault="00BB18AB" w14:paraId="5437CCB2" w14:textId="77777777"/>
    <w:p w:rsidR="00DB2AE1" w:rsidP="002D3523" w:rsidRDefault="00DB2AE1" w14:paraId="7BB4B23C" w14:textId="154D6E68">
      <w:r>
        <w:t xml:space="preserve">De resultaten van </w:t>
      </w:r>
      <w:r w:rsidR="00BB18AB">
        <w:t xml:space="preserve">het Ontwikkelprogramma Assetmanagement </w:t>
      </w:r>
      <w:r>
        <w:t>zijn</w:t>
      </w:r>
      <w:r w:rsidR="004C2065">
        <w:t xml:space="preserve"> echter</w:t>
      </w:r>
      <w:r>
        <w:t xml:space="preserve"> reeds zichtbaar. Sinds 2020 is het assetmanagement van RWS verbeterd en is de kwaliteit van de areaaldata toegenomen. Dit wordt onderschreven door externe reviews op de voortgang</w:t>
      </w:r>
      <w:r w:rsidRPr="00B61B6E">
        <w:rPr>
          <w:vertAlign w:val="superscript"/>
        </w:rPr>
        <w:footnoteReference w:id="7"/>
      </w:r>
      <w:r>
        <w:t xml:space="preserve">. </w:t>
      </w:r>
      <w:r w:rsidRPr="008616F5" w:rsidR="008616F5">
        <w:t>RWS heeft nog wel een weg te gaan, zoals het rapport van de Algemene Rekenkamer heeft aangetoond.</w:t>
      </w:r>
    </w:p>
    <w:p w:rsidR="00604067" w:rsidP="002D3523" w:rsidRDefault="00604067" w14:paraId="5E26A560" w14:textId="77777777"/>
    <w:p w:rsidR="00DB2AE1" w:rsidP="002D3523" w:rsidRDefault="002D3523" w14:paraId="1095FAB4" w14:textId="7C47684F">
      <w:r>
        <w:t xml:space="preserve">Om de kwaliteit van de areaaldata </w:t>
      </w:r>
      <w:r w:rsidR="009A0458">
        <w:t>te bevorderen en instandhoudings</w:t>
      </w:r>
      <w:r w:rsidRPr="009A0458" w:rsidR="009A0458">
        <w:t>kosten optimaal te programmeren volgens de levenscyclusbenadering</w:t>
      </w:r>
      <w:r>
        <w:t xml:space="preserve">, wordt </w:t>
      </w:r>
      <w:r w:rsidR="0032747B">
        <w:t xml:space="preserve">aanvullend op het Ontwikkelprogramma Assetmanagement </w:t>
      </w:r>
      <w:r>
        <w:t xml:space="preserve">met het </w:t>
      </w:r>
      <w:r w:rsidR="006A12BF">
        <w:t>m</w:t>
      </w:r>
      <w:r>
        <w:t xml:space="preserve">inisterie van Financiën de overgang naar een volledige toepassing van het baten-lastenstelsel </w:t>
      </w:r>
      <w:r w:rsidR="003801C6">
        <w:t xml:space="preserve">(BLS) </w:t>
      </w:r>
      <w:r>
        <w:t xml:space="preserve">verkend, zoals ProRail die ook toepast. </w:t>
      </w:r>
      <w:r w:rsidR="006A12BF">
        <w:t>D</w:t>
      </w:r>
      <w:r>
        <w:t xml:space="preserve">e </w:t>
      </w:r>
      <w:r w:rsidR="006A12BF">
        <w:t xml:space="preserve">Tweede </w:t>
      </w:r>
      <w:r>
        <w:t>Kamer</w:t>
      </w:r>
      <w:r w:rsidR="006A12BF">
        <w:t xml:space="preserve"> is</w:t>
      </w:r>
      <w:r>
        <w:t xml:space="preserve"> hierover in 2022 geïnformeerd</w:t>
      </w:r>
      <w:r w:rsidR="006A12BF">
        <w:t xml:space="preserve"> naar aanleiding van de doorlichting van RWS</w:t>
      </w:r>
      <w:r w:rsidRPr="00B61B6E" w:rsidR="00FB090B">
        <w:rPr>
          <w:vertAlign w:val="superscript"/>
        </w:rPr>
        <w:footnoteReference w:id="8"/>
      </w:r>
      <w:r>
        <w:t>.</w:t>
      </w:r>
      <w:r w:rsidR="0032181E">
        <w:t xml:space="preserve"> </w:t>
      </w:r>
    </w:p>
    <w:p w:rsidR="002D3523" w:rsidP="002D3523" w:rsidRDefault="002D3523" w14:paraId="64BF8C80" w14:textId="77777777"/>
    <w:p w:rsidRPr="002D3523" w:rsidR="002D3523" w:rsidP="002D3523" w:rsidRDefault="002D3523" w14:paraId="237E04C9" w14:textId="77777777">
      <w:pPr>
        <w:rPr>
          <w:u w:val="single"/>
        </w:rPr>
      </w:pPr>
      <w:r>
        <w:rPr>
          <w:u w:val="single"/>
        </w:rPr>
        <w:t>Tot slot</w:t>
      </w:r>
    </w:p>
    <w:p w:rsidRPr="002D3523" w:rsidR="00967A6F" w:rsidP="00967A6F" w:rsidRDefault="00D44BA3" w14:paraId="348A5748" w14:textId="709B9977">
      <w:bookmarkStart w:name="_Hlk176334482" w:id="1"/>
      <w:r>
        <w:t>Het verbeteren en op orde houden van de</w:t>
      </w:r>
      <w:r w:rsidRPr="002D3523" w:rsidR="002D3523">
        <w:t xml:space="preserve"> areaaldata door assetmanagement uit te voeren </w:t>
      </w:r>
      <w:r w:rsidR="006A12BF">
        <w:t>in lijn met</w:t>
      </w:r>
      <w:r w:rsidRPr="002D3523" w:rsidR="002D3523">
        <w:t xml:space="preserve"> </w:t>
      </w:r>
      <w:r w:rsidR="00DB1FEF">
        <w:t xml:space="preserve">de </w:t>
      </w:r>
      <w:r w:rsidRPr="002D3523" w:rsidR="002D3523">
        <w:t xml:space="preserve">ISO 55000, is noodzakelijk voor </w:t>
      </w:r>
      <w:r w:rsidR="004C2065">
        <w:t xml:space="preserve">een optimalere </w:t>
      </w:r>
      <w:r w:rsidRPr="002D3523" w:rsidR="002D3523">
        <w:t xml:space="preserve">instandhouding van </w:t>
      </w:r>
      <w:r w:rsidR="006A12BF">
        <w:t>het spoorwegennet, hoofdwegennet, hoofdvaarwegennet en hoofdwatersysteem</w:t>
      </w:r>
      <w:r w:rsidRPr="002D3523" w:rsidR="002D3523">
        <w:t xml:space="preserve">. </w:t>
      </w:r>
      <w:r w:rsidR="00D31C76">
        <w:t xml:space="preserve">ProRail heeft </w:t>
      </w:r>
      <w:r w:rsidR="004C2065">
        <w:t xml:space="preserve">al </w:t>
      </w:r>
      <w:r w:rsidR="00D31C76">
        <w:t xml:space="preserve"> geruime tijd focus op instandhouding en heeft</w:t>
      </w:r>
      <w:r w:rsidR="00DB1FEF">
        <w:t xml:space="preserve"> de verbetering van het assetmanagement in gang gezet in 2009</w:t>
      </w:r>
      <w:r w:rsidR="00D31C76">
        <w:t>. ProRail werkt in lijn met de ISO 55000</w:t>
      </w:r>
      <w:r w:rsidR="00DB1FEF">
        <w:t xml:space="preserve">. </w:t>
      </w:r>
      <w:r w:rsidR="009C70D2">
        <w:t>Bij RWS is de focus recenter verschoven naar instandhouding. S</w:t>
      </w:r>
      <w:r w:rsidR="00DB1FEF">
        <w:t>inds 2020</w:t>
      </w:r>
      <w:r w:rsidR="00D31C76">
        <w:t xml:space="preserve"> </w:t>
      </w:r>
      <w:r w:rsidR="009C70D2">
        <w:t>werkt RWS</w:t>
      </w:r>
      <w:r w:rsidR="005B6436">
        <w:t xml:space="preserve"> met versterkte centrale sturing</w:t>
      </w:r>
      <w:r w:rsidR="009C70D2">
        <w:t xml:space="preserve"> </w:t>
      </w:r>
      <w:r w:rsidR="00D31C76">
        <w:t xml:space="preserve">stapsgewijs toe naar assetmanagement in lijn met de ISO 55000. </w:t>
      </w:r>
      <w:r w:rsidR="009C70D2">
        <w:t>D</w:t>
      </w:r>
      <w:r w:rsidR="00D31C76">
        <w:t>e kwaliteit van de areaaldata word</w:t>
      </w:r>
      <w:r w:rsidR="009C70D2">
        <w:t>t</w:t>
      </w:r>
      <w:r w:rsidR="00D31C76">
        <w:t xml:space="preserve"> daarbij continu verbeterd</w:t>
      </w:r>
      <w:r w:rsidR="00DB1FEF">
        <w:t xml:space="preserve">. </w:t>
      </w:r>
      <w:r w:rsidR="00967A6F">
        <w:t xml:space="preserve">ProRail en RWS leren van elkaars assetmanagement in de Strategische Alliantie ProRail-RWS, met inachtneming van de verschillen in het areaal en de wijze waarop beide organisaties functioneren. Zo wordt het assetmanagement op </w:t>
      </w:r>
      <w:r w:rsidR="003A6761">
        <w:t>de IenW-netwerken</w:t>
      </w:r>
      <w:r w:rsidR="00967A6F">
        <w:t xml:space="preserve"> waar mogelijk in samenhang verbeterd.</w:t>
      </w:r>
    </w:p>
    <w:bookmarkEnd w:id="1"/>
    <w:p w:rsidR="00967A6F" w:rsidP="002D3523" w:rsidRDefault="00967A6F" w14:paraId="3A432AD7" w14:textId="77777777"/>
    <w:p w:rsidR="004710F5" w:rsidP="002D3523" w:rsidRDefault="007700D7" w14:paraId="3DCF5119" w14:textId="4C4FCB3E">
      <w:r>
        <w:t>Hoogachtend,</w:t>
      </w:r>
    </w:p>
    <w:p w:rsidR="00604637" w:rsidRDefault="0032181E" w14:paraId="55670180" w14:textId="77777777">
      <w:pPr>
        <w:pStyle w:val="OndertekeningArea1"/>
      </w:pPr>
      <w:r>
        <w:t>DE MINISTER VAN INFRASTRUCTUUR EN WATERSTAAT,</w:t>
      </w:r>
    </w:p>
    <w:p w:rsidR="00604637" w:rsidRDefault="00604637" w14:paraId="6BB16809" w14:textId="77777777"/>
    <w:p w:rsidR="00604637" w:rsidRDefault="00604637" w14:paraId="0FF107A0" w14:textId="77777777"/>
    <w:p w:rsidR="007700D7" w:rsidRDefault="007700D7" w14:paraId="2DA9E882" w14:textId="77777777"/>
    <w:p w:rsidR="00604637" w:rsidRDefault="00604637" w14:paraId="2CBE3D66" w14:textId="77777777"/>
    <w:p w:rsidR="00604637" w:rsidRDefault="00604637" w14:paraId="19463558" w14:textId="77777777"/>
    <w:p w:rsidRPr="00967A6F" w:rsidR="00967A6F" w:rsidP="00967A6F" w:rsidRDefault="0032181E" w14:paraId="357928CB" w14:textId="77777777">
      <w:r>
        <w:t>Barry Madlener</w:t>
      </w:r>
    </w:p>
    <w:sectPr w:rsidRPr="00967A6F" w:rsidR="00967A6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4E278" w14:textId="77777777" w:rsidR="00A201D6" w:rsidRDefault="00A201D6">
      <w:pPr>
        <w:spacing w:line="240" w:lineRule="auto"/>
      </w:pPr>
      <w:r>
        <w:separator/>
      </w:r>
    </w:p>
  </w:endnote>
  <w:endnote w:type="continuationSeparator" w:id="0">
    <w:p w14:paraId="2FE67F09" w14:textId="77777777" w:rsidR="00A201D6" w:rsidRDefault="00A20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58C1" w14:textId="77777777" w:rsidR="007700D7" w:rsidRDefault="00770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14E91" w14:textId="77777777" w:rsidR="007700D7" w:rsidRDefault="00770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A7EC" w14:textId="77777777" w:rsidR="007700D7" w:rsidRDefault="00770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AE275" w14:textId="77777777" w:rsidR="00A201D6" w:rsidRDefault="00A201D6">
      <w:pPr>
        <w:spacing w:line="240" w:lineRule="auto"/>
      </w:pPr>
      <w:r>
        <w:separator/>
      </w:r>
    </w:p>
  </w:footnote>
  <w:footnote w:type="continuationSeparator" w:id="0">
    <w:p w14:paraId="0B70FB26" w14:textId="77777777" w:rsidR="00A201D6" w:rsidRDefault="00A201D6">
      <w:pPr>
        <w:spacing w:line="240" w:lineRule="auto"/>
      </w:pPr>
      <w:r>
        <w:continuationSeparator/>
      </w:r>
    </w:p>
  </w:footnote>
  <w:footnote w:id="1">
    <w:p w14:paraId="1574F03D" w14:textId="77777777" w:rsidR="002C461F" w:rsidRDefault="002C461F">
      <w:pPr>
        <w:pStyle w:val="FootnoteText"/>
      </w:pPr>
      <w:r w:rsidRPr="002C461F">
        <w:rPr>
          <w:rStyle w:val="FootnoteReference"/>
          <w:sz w:val="16"/>
          <w:szCs w:val="16"/>
        </w:rPr>
        <w:footnoteRef/>
      </w:r>
      <w:r>
        <w:t xml:space="preserve"> </w:t>
      </w:r>
      <w:r w:rsidRPr="002C461F">
        <w:rPr>
          <w:sz w:val="16"/>
          <w:szCs w:val="16"/>
        </w:rPr>
        <w:t>Verantwoordingsonderzoek Ministerie van Infrastructuur en Waterstaat (XII), Rapport bij het Jaarverslag 2023, Algemene Rekenkamer, 7 mei 2024</w:t>
      </w:r>
    </w:p>
  </w:footnote>
  <w:footnote w:id="2">
    <w:p w14:paraId="42311A25" w14:textId="77777777" w:rsidR="007D0508" w:rsidRDefault="007D0508">
      <w:pPr>
        <w:pStyle w:val="FootnoteText"/>
      </w:pPr>
      <w:r w:rsidRPr="007D0508">
        <w:rPr>
          <w:rStyle w:val="FootnoteReference"/>
          <w:sz w:val="16"/>
          <w:szCs w:val="16"/>
        </w:rPr>
        <w:footnoteRef/>
      </w:r>
      <w:r w:rsidRPr="007D0508">
        <w:rPr>
          <w:sz w:val="16"/>
          <w:szCs w:val="16"/>
        </w:rPr>
        <w:t xml:space="preserve"> Kamerstuk 35 300</w:t>
      </w:r>
      <w:r w:rsidR="0008375C">
        <w:rPr>
          <w:sz w:val="16"/>
          <w:szCs w:val="16"/>
        </w:rPr>
        <w:t>-</w:t>
      </w:r>
      <w:r w:rsidRPr="007D0508">
        <w:rPr>
          <w:sz w:val="16"/>
          <w:szCs w:val="16"/>
        </w:rPr>
        <w:t>A, nr. 94, bijlage ‘Analyse Instandhoudingskosten Rijksinfrastructuur, Deel: ProRail’, PwC | Rebel, 11 juni 2020</w:t>
      </w:r>
    </w:p>
  </w:footnote>
  <w:footnote w:id="3">
    <w:p w14:paraId="70C4C9F1" w14:textId="77777777" w:rsidR="007D0508" w:rsidRPr="007D0508" w:rsidRDefault="007D0508" w:rsidP="007D0508">
      <w:pPr>
        <w:pStyle w:val="FootnoteText"/>
        <w:rPr>
          <w:sz w:val="16"/>
          <w:szCs w:val="16"/>
        </w:rPr>
      </w:pPr>
      <w:r w:rsidRPr="00C66573">
        <w:rPr>
          <w:rStyle w:val="FootnoteReference"/>
          <w:sz w:val="16"/>
          <w:szCs w:val="16"/>
        </w:rPr>
        <w:footnoteRef/>
      </w:r>
      <w:r>
        <w:t xml:space="preserve"> </w:t>
      </w:r>
      <w:r w:rsidRPr="007D0508">
        <w:rPr>
          <w:sz w:val="16"/>
          <w:szCs w:val="16"/>
        </w:rPr>
        <w:t>Kamerstuk 36 410-A, nr. 16</w:t>
      </w:r>
      <w:r>
        <w:rPr>
          <w:sz w:val="16"/>
          <w:szCs w:val="16"/>
        </w:rPr>
        <w:t xml:space="preserve">, </w:t>
      </w:r>
      <w:r w:rsidRPr="007D0508">
        <w:rPr>
          <w:sz w:val="16"/>
          <w:szCs w:val="16"/>
        </w:rPr>
        <w:t>bijlage ‘Validatie Instandhoudingskosten</w:t>
      </w:r>
      <w:r>
        <w:rPr>
          <w:sz w:val="16"/>
          <w:szCs w:val="16"/>
        </w:rPr>
        <w:t xml:space="preserve"> </w:t>
      </w:r>
      <w:r w:rsidRPr="007D0508">
        <w:rPr>
          <w:sz w:val="16"/>
          <w:szCs w:val="16"/>
        </w:rPr>
        <w:t>HSWI’, PwC, 6 november 2023</w:t>
      </w:r>
    </w:p>
  </w:footnote>
  <w:footnote w:id="4">
    <w:p w14:paraId="48840DD9" w14:textId="77777777" w:rsidR="00FB090B" w:rsidRDefault="00FB090B">
      <w:pPr>
        <w:pStyle w:val="FootnoteText"/>
      </w:pPr>
      <w:r w:rsidRPr="00FB090B">
        <w:rPr>
          <w:rStyle w:val="FootnoteReference"/>
          <w:sz w:val="16"/>
          <w:szCs w:val="16"/>
        </w:rPr>
        <w:footnoteRef/>
      </w:r>
      <w:r w:rsidRPr="00FB090B">
        <w:rPr>
          <w:sz w:val="16"/>
          <w:szCs w:val="16"/>
        </w:rPr>
        <w:t xml:space="preserve"> </w:t>
      </w:r>
      <w:r>
        <w:rPr>
          <w:sz w:val="16"/>
          <w:szCs w:val="16"/>
        </w:rPr>
        <w:t>Kamerstuk 29 385, nr. 119, ‘Aanleg en de aanpassing van hoofdinfrastructuur’, 17 maart 2023</w:t>
      </w:r>
    </w:p>
  </w:footnote>
  <w:footnote w:id="5">
    <w:p w14:paraId="0D141BDF" w14:textId="77777777" w:rsidR="00FB090B" w:rsidRPr="007F6D86" w:rsidRDefault="00FB090B" w:rsidP="00FB090B">
      <w:pPr>
        <w:pStyle w:val="FootnoteText"/>
        <w:rPr>
          <w:sz w:val="14"/>
          <w:szCs w:val="14"/>
        </w:rPr>
      </w:pPr>
      <w:r w:rsidRPr="00FB090B">
        <w:rPr>
          <w:rStyle w:val="FootnoteReference"/>
          <w:sz w:val="16"/>
          <w:szCs w:val="16"/>
        </w:rPr>
        <w:footnoteRef/>
      </w:r>
      <w:r w:rsidRPr="00FB090B">
        <w:rPr>
          <w:sz w:val="16"/>
          <w:szCs w:val="16"/>
        </w:rPr>
        <w:t xml:space="preserve"> Ka</w:t>
      </w:r>
      <w:r w:rsidR="0008375C">
        <w:rPr>
          <w:sz w:val="16"/>
          <w:szCs w:val="16"/>
        </w:rPr>
        <w:t>merstuk 35 300-A, nr. 94,</w:t>
      </w:r>
      <w:r w:rsidRPr="00FB090B">
        <w:rPr>
          <w:sz w:val="16"/>
          <w:szCs w:val="16"/>
        </w:rPr>
        <w:t xml:space="preserve"> ‘Aanpak instandhouding Rijksinfrastructuur’ en bijlagen, 19 juni 2020</w:t>
      </w:r>
      <w:r>
        <w:rPr>
          <w:sz w:val="16"/>
          <w:szCs w:val="16"/>
        </w:rPr>
        <w:t xml:space="preserve"> en </w:t>
      </w:r>
      <w:r w:rsidRPr="00FB090B">
        <w:rPr>
          <w:sz w:val="16"/>
          <w:szCs w:val="16"/>
        </w:rPr>
        <w:t>Kamerstuk 35 570</w:t>
      </w:r>
      <w:r w:rsidR="0008375C">
        <w:rPr>
          <w:sz w:val="16"/>
          <w:szCs w:val="16"/>
        </w:rPr>
        <w:t>-</w:t>
      </w:r>
      <w:r w:rsidRPr="00FB090B">
        <w:rPr>
          <w:sz w:val="16"/>
          <w:szCs w:val="16"/>
        </w:rPr>
        <w:t>A, nr. 46,</w:t>
      </w:r>
      <w:r>
        <w:rPr>
          <w:sz w:val="16"/>
          <w:szCs w:val="16"/>
        </w:rPr>
        <w:t xml:space="preserve"> </w:t>
      </w:r>
      <w:r w:rsidRPr="00FB090B">
        <w:rPr>
          <w:sz w:val="16"/>
          <w:szCs w:val="16"/>
        </w:rPr>
        <w:t>bijlage ‘Analyse Instandhoudingskosten Rijksinfrastructuur, Deel: RWS’, PwC | REBEL, 13 november 2020</w:t>
      </w:r>
    </w:p>
  </w:footnote>
  <w:footnote w:id="6">
    <w:p w14:paraId="577DEBEA" w14:textId="77777777" w:rsidR="00FB090B" w:rsidRPr="007F6D86" w:rsidRDefault="00FB090B" w:rsidP="00FB090B">
      <w:pPr>
        <w:pStyle w:val="FootnoteText"/>
        <w:rPr>
          <w:sz w:val="18"/>
          <w:szCs w:val="18"/>
        </w:rPr>
      </w:pPr>
      <w:r w:rsidRPr="00FB090B">
        <w:rPr>
          <w:rStyle w:val="FootnoteReference"/>
          <w:sz w:val="16"/>
          <w:szCs w:val="16"/>
        </w:rPr>
        <w:footnoteRef/>
      </w:r>
      <w:r w:rsidRPr="00FB090B">
        <w:rPr>
          <w:sz w:val="16"/>
          <w:szCs w:val="16"/>
        </w:rPr>
        <w:t xml:space="preserve"> Kame</w:t>
      </w:r>
      <w:r w:rsidR="0008375C">
        <w:rPr>
          <w:sz w:val="16"/>
          <w:szCs w:val="16"/>
        </w:rPr>
        <w:t>rstuk 35 570-A, nr. 46,</w:t>
      </w:r>
      <w:r w:rsidRPr="00FB090B">
        <w:rPr>
          <w:sz w:val="16"/>
          <w:szCs w:val="16"/>
        </w:rPr>
        <w:t xml:space="preserve"> ‘Vervolg aanpak instandhouding Rijksinfrastructuur’ en bijlagen, 17 december 2020</w:t>
      </w:r>
    </w:p>
  </w:footnote>
  <w:footnote w:id="7">
    <w:p w14:paraId="41F0F2C9" w14:textId="77777777" w:rsidR="00DB2AE1" w:rsidRDefault="00DB2AE1" w:rsidP="00DB2AE1">
      <w:pPr>
        <w:pStyle w:val="FootnoteText"/>
      </w:pPr>
      <w:r w:rsidRPr="00FB090B">
        <w:rPr>
          <w:rStyle w:val="FootnoteReference"/>
          <w:sz w:val="16"/>
          <w:szCs w:val="16"/>
        </w:rPr>
        <w:footnoteRef/>
      </w:r>
      <w:r w:rsidRPr="00FB090B">
        <w:rPr>
          <w:sz w:val="16"/>
          <w:szCs w:val="16"/>
        </w:rPr>
        <w:t xml:space="preserve"> Ka</w:t>
      </w:r>
      <w:r>
        <w:rPr>
          <w:sz w:val="16"/>
          <w:szCs w:val="16"/>
        </w:rPr>
        <w:t>merstuk 36 200-A, nr. 80</w:t>
      </w:r>
      <w:r w:rsidRPr="00FB090B">
        <w:rPr>
          <w:sz w:val="16"/>
          <w:szCs w:val="16"/>
        </w:rPr>
        <w:t xml:space="preserve"> ‘Voortgang Ontwikkelplan Assetmanagement IenW (RWS-netwerken)’ en bijlagen, 3 juli 2023</w:t>
      </w:r>
    </w:p>
  </w:footnote>
  <w:footnote w:id="8">
    <w:p w14:paraId="539ED200" w14:textId="77777777" w:rsidR="00FB090B" w:rsidRDefault="00FB090B" w:rsidP="00FB090B">
      <w:pPr>
        <w:pStyle w:val="FootnoteText"/>
      </w:pPr>
      <w:r w:rsidRPr="00FB090B">
        <w:rPr>
          <w:rStyle w:val="FootnoteReference"/>
          <w:sz w:val="16"/>
          <w:szCs w:val="16"/>
        </w:rPr>
        <w:footnoteRef/>
      </w:r>
      <w:r w:rsidRPr="00FB090B">
        <w:rPr>
          <w:sz w:val="16"/>
          <w:szCs w:val="16"/>
        </w:rPr>
        <w:t xml:space="preserve"> Kamer</w:t>
      </w:r>
      <w:r>
        <w:rPr>
          <w:sz w:val="16"/>
          <w:szCs w:val="16"/>
        </w:rPr>
        <w:t>stuk 25 268, nr. 206,</w:t>
      </w:r>
      <w:r w:rsidRPr="00FB090B">
        <w:rPr>
          <w:sz w:val="16"/>
          <w:szCs w:val="16"/>
        </w:rPr>
        <w:t xml:space="preserve"> </w:t>
      </w:r>
      <w:r>
        <w:rPr>
          <w:sz w:val="16"/>
          <w:szCs w:val="16"/>
        </w:rPr>
        <w:t>‘</w:t>
      </w:r>
      <w:r w:rsidRPr="00FB090B">
        <w:rPr>
          <w:sz w:val="16"/>
          <w:szCs w:val="16"/>
        </w:rPr>
        <w:t>Aanbieding rapport Doorlichting Rijkswaterstaat</w:t>
      </w:r>
      <w:r>
        <w:rPr>
          <w:sz w:val="16"/>
          <w:szCs w:val="16"/>
        </w:rPr>
        <w:t>’</w:t>
      </w:r>
      <w:r w:rsidRPr="00FB090B">
        <w:rPr>
          <w:sz w:val="16"/>
          <w:szCs w:val="16"/>
        </w:rPr>
        <w:t>, 20 mei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F17C5" w14:textId="77777777" w:rsidR="007700D7" w:rsidRDefault="00770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A4CE7" w14:textId="77777777" w:rsidR="00604637" w:rsidRDefault="0032181E">
    <w:r>
      <w:rPr>
        <w:noProof/>
        <w:lang w:val="en-GB" w:eastAsia="en-GB"/>
      </w:rPr>
      <mc:AlternateContent>
        <mc:Choice Requires="wps">
          <w:drawing>
            <wp:anchor distT="0" distB="0" distL="0" distR="0" simplePos="0" relativeHeight="251651584" behindDoc="0" locked="1" layoutInCell="1" allowOverlap="1" wp14:anchorId="43356B5C" wp14:editId="7364803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EC50C45" w14:textId="77777777" w:rsidR="00604637" w:rsidRDefault="0032181E">
                          <w:pPr>
                            <w:pStyle w:val="AfzendgegevensKop0"/>
                          </w:pPr>
                          <w:r>
                            <w:t>Ministerie van Infrastructuur en Waterstaat</w:t>
                          </w:r>
                        </w:p>
                        <w:p w14:paraId="6874BE5B" w14:textId="77777777" w:rsidR="00604637" w:rsidRDefault="00604637">
                          <w:pPr>
                            <w:pStyle w:val="WitregelW2"/>
                          </w:pPr>
                        </w:p>
                        <w:p w14:paraId="61B79CAC" w14:textId="77777777" w:rsidR="00604637" w:rsidRDefault="0032181E">
                          <w:pPr>
                            <w:pStyle w:val="Referentiegegevenskop"/>
                          </w:pPr>
                          <w:r>
                            <w:t>Ons kenmerk</w:t>
                          </w:r>
                        </w:p>
                        <w:p w14:paraId="5C0256BD" w14:textId="77777777" w:rsidR="00604637" w:rsidRDefault="0032181E">
                          <w:pPr>
                            <w:pStyle w:val="Referentiegegevens"/>
                          </w:pPr>
                          <w:r>
                            <w:t>IENW/BSK-2024/2</w:t>
                          </w:r>
                          <w:r w:rsidR="00750856">
                            <w:t>47626</w:t>
                          </w:r>
                        </w:p>
                      </w:txbxContent>
                    </wps:txbx>
                    <wps:bodyPr vert="horz" wrap="square" lIns="0" tIns="0" rIns="0" bIns="0" anchor="t" anchorCtr="0"/>
                  </wps:wsp>
                </a:graphicData>
              </a:graphic>
            </wp:anchor>
          </w:drawing>
        </mc:Choice>
        <mc:Fallback>
          <w:pict>
            <v:shapetype w14:anchorId="43356B5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EC50C45" w14:textId="77777777" w:rsidR="00604637" w:rsidRDefault="0032181E">
                    <w:pPr>
                      <w:pStyle w:val="AfzendgegevensKop0"/>
                    </w:pPr>
                    <w:r>
                      <w:t>Ministerie van Infrastructuur en Waterstaat</w:t>
                    </w:r>
                  </w:p>
                  <w:p w14:paraId="6874BE5B" w14:textId="77777777" w:rsidR="00604637" w:rsidRDefault="00604637">
                    <w:pPr>
                      <w:pStyle w:val="WitregelW2"/>
                    </w:pPr>
                  </w:p>
                  <w:p w14:paraId="61B79CAC" w14:textId="77777777" w:rsidR="00604637" w:rsidRDefault="0032181E">
                    <w:pPr>
                      <w:pStyle w:val="Referentiegegevenskop"/>
                    </w:pPr>
                    <w:r>
                      <w:t>Ons kenmerk</w:t>
                    </w:r>
                  </w:p>
                  <w:p w14:paraId="5C0256BD" w14:textId="77777777" w:rsidR="00604637" w:rsidRDefault="0032181E">
                    <w:pPr>
                      <w:pStyle w:val="Referentiegegevens"/>
                    </w:pPr>
                    <w:r>
                      <w:t>IENW/BSK-2024/2</w:t>
                    </w:r>
                    <w:r w:rsidR="00750856">
                      <w:t>47626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1987980" wp14:editId="017A1F8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243FD8" w14:textId="51F8A4D9" w:rsidR="00604637" w:rsidRDefault="0032181E">
                          <w:pPr>
                            <w:pStyle w:val="Referentiegegevens"/>
                          </w:pPr>
                          <w:r>
                            <w:t xml:space="preserve">Pagina </w:t>
                          </w:r>
                          <w:r>
                            <w:fldChar w:fldCharType="begin"/>
                          </w:r>
                          <w:r>
                            <w:instrText>PAGE</w:instrText>
                          </w:r>
                          <w:r>
                            <w:fldChar w:fldCharType="separate"/>
                          </w:r>
                          <w:r w:rsidR="004C2065">
                            <w:rPr>
                              <w:noProof/>
                            </w:rPr>
                            <w:t>4</w:t>
                          </w:r>
                          <w:r>
                            <w:fldChar w:fldCharType="end"/>
                          </w:r>
                          <w:r>
                            <w:t xml:space="preserve"> van </w:t>
                          </w:r>
                          <w:r>
                            <w:fldChar w:fldCharType="begin"/>
                          </w:r>
                          <w:r>
                            <w:instrText>NUMPAGES</w:instrText>
                          </w:r>
                          <w:r>
                            <w:fldChar w:fldCharType="separate"/>
                          </w:r>
                          <w:r w:rsidR="004C2065">
                            <w:rPr>
                              <w:noProof/>
                            </w:rPr>
                            <w:t>4</w:t>
                          </w:r>
                          <w:r>
                            <w:fldChar w:fldCharType="end"/>
                          </w:r>
                        </w:p>
                      </w:txbxContent>
                    </wps:txbx>
                    <wps:bodyPr vert="horz" wrap="square" lIns="0" tIns="0" rIns="0" bIns="0" anchor="t" anchorCtr="0"/>
                  </wps:wsp>
                </a:graphicData>
              </a:graphic>
            </wp:anchor>
          </w:drawing>
        </mc:Choice>
        <mc:Fallback>
          <w:pict>
            <v:shape w14:anchorId="7198798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7243FD8" w14:textId="51F8A4D9" w:rsidR="00604637" w:rsidRDefault="0032181E">
                    <w:pPr>
                      <w:pStyle w:val="Referentiegegevens"/>
                    </w:pPr>
                    <w:r>
                      <w:t xml:space="preserve">Pagina </w:t>
                    </w:r>
                    <w:r>
                      <w:fldChar w:fldCharType="begin"/>
                    </w:r>
                    <w:r>
                      <w:instrText>PAGE</w:instrText>
                    </w:r>
                    <w:r>
                      <w:fldChar w:fldCharType="separate"/>
                    </w:r>
                    <w:r w:rsidR="004C2065">
                      <w:rPr>
                        <w:noProof/>
                      </w:rPr>
                      <w:t>4</w:t>
                    </w:r>
                    <w:r>
                      <w:fldChar w:fldCharType="end"/>
                    </w:r>
                    <w:r>
                      <w:t xml:space="preserve"> van </w:t>
                    </w:r>
                    <w:r>
                      <w:fldChar w:fldCharType="begin"/>
                    </w:r>
                    <w:r>
                      <w:instrText>NUMPAGES</w:instrText>
                    </w:r>
                    <w:r>
                      <w:fldChar w:fldCharType="separate"/>
                    </w:r>
                    <w:r w:rsidR="004C2065">
                      <w:rPr>
                        <w:noProof/>
                      </w:rPr>
                      <w:t>4</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5178961" wp14:editId="32FE2F3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01EF3C0" w14:textId="77777777" w:rsidR="00624979" w:rsidRDefault="00624979"/>
                      </w:txbxContent>
                    </wps:txbx>
                    <wps:bodyPr vert="horz" wrap="square" lIns="0" tIns="0" rIns="0" bIns="0" anchor="t" anchorCtr="0"/>
                  </wps:wsp>
                </a:graphicData>
              </a:graphic>
            </wp:anchor>
          </w:drawing>
        </mc:Choice>
        <mc:Fallback>
          <w:pict>
            <v:shape w14:anchorId="45178961"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01EF3C0" w14:textId="77777777" w:rsidR="00624979" w:rsidRDefault="0062497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C65781D" wp14:editId="3BBDE06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57341D3" w14:textId="77777777" w:rsidR="00624979" w:rsidRDefault="00624979"/>
                      </w:txbxContent>
                    </wps:txbx>
                    <wps:bodyPr vert="horz" wrap="square" lIns="0" tIns="0" rIns="0" bIns="0" anchor="t" anchorCtr="0"/>
                  </wps:wsp>
                </a:graphicData>
              </a:graphic>
            </wp:anchor>
          </w:drawing>
        </mc:Choice>
        <mc:Fallback>
          <w:pict>
            <v:shape w14:anchorId="5C65781D"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57341D3" w14:textId="77777777" w:rsidR="00624979" w:rsidRDefault="0062497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4E73" w14:textId="77777777" w:rsidR="00604637" w:rsidRDefault="0032181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E56B086" wp14:editId="5EBEEE1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C2E9286" w14:textId="77777777" w:rsidR="00624979" w:rsidRDefault="00624979"/>
                      </w:txbxContent>
                    </wps:txbx>
                    <wps:bodyPr vert="horz" wrap="square" lIns="0" tIns="0" rIns="0" bIns="0" anchor="t" anchorCtr="0"/>
                  </wps:wsp>
                </a:graphicData>
              </a:graphic>
            </wp:anchor>
          </w:drawing>
        </mc:Choice>
        <mc:Fallback>
          <w:pict>
            <v:shapetype w14:anchorId="7E56B08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C2E9286" w14:textId="77777777" w:rsidR="00624979" w:rsidRDefault="0062497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DC14B29" wp14:editId="5B6D5D6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30B5BC" w14:textId="06A67445" w:rsidR="00604637" w:rsidRDefault="0032181E">
                          <w:pPr>
                            <w:pStyle w:val="Referentiegegevens"/>
                          </w:pPr>
                          <w:r>
                            <w:t xml:space="preserve">Pagina </w:t>
                          </w:r>
                          <w:r>
                            <w:fldChar w:fldCharType="begin"/>
                          </w:r>
                          <w:r>
                            <w:instrText>PAGE</w:instrText>
                          </w:r>
                          <w:r>
                            <w:fldChar w:fldCharType="separate"/>
                          </w:r>
                          <w:r w:rsidR="00A76E54">
                            <w:rPr>
                              <w:noProof/>
                            </w:rPr>
                            <w:t>1</w:t>
                          </w:r>
                          <w:r>
                            <w:fldChar w:fldCharType="end"/>
                          </w:r>
                          <w:r>
                            <w:t xml:space="preserve"> van </w:t>
                          </w:r>
                          <w:r>
                            <w:fldChar w:fldCharType="begin"/>
                          </w:r>
                          <w:r>
                            <w:instrText>NUMPAGES</w:instrText>
                          </w:r>
                          <w:r>
                            <w:fldChar w:fldCharType="separate"/>
                          </w:r>
                          <w:r w:rsidR="00A76E54">
                            <w:rPr>
                              <w:noProof/>
                            </w:rPr>
                            <w:t>1</w:t>
                          </w:r>
                          <w:r>
                            <w:fldChar w:fldCharType="end"/>
                          </w:r>
                        </w:p>
                      </w:txbxContent>
                    </wps:txbx>
                    <wps:bodyPr vert="horz" wrap="square" lIns="0" tIns="0" rIns="0" bIns="0" anchor="t" anchorCtr="0"/>
                  </wps:wsp>
                </a:graphicData>
              </a:graphic>
            </wp:anchor>
          </w:drawing>
        </mc:Choice>
        <mc:Fallback>
          <w:pict>
            <v:shape w14:anchorId="5DC14B29"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730B5BC" w14:textId="06A67445" w:rsidR="00604637" w:rsidRDefault="0032181E">
                    <w:pPr>
                      <w:pStyle w:val="Referentiegegevens"/>
                    </w:pPr>
                    <w:r>
                      <w:t xml:space="preserve">Pagina </w:t>
                    </w:r>
                    <w:r>
                      <w:fldChar w:fldCharType="begin"/>
                    </w:r>
                    <w:r>
                      <w:instrText>PAGE</w:instrText>
                    </w:r>
                    <w:r>
                      <w:fldChar w:fldCharType="separate"/>
                    </w:r>
                    <w:r w:rsidR="00A76E54">
                      <w:rPr>
                        <w:noProof/>
                      </w:rPr>
                      <w:t>1</w:t>
                    </w:r>
                    <w:r>
                      <w:fldChar w:fldCharType="end"/>
                    </w:r>
                    <w:r>
                      <w:t xml:space="preserve"> van </w:t>
                    </w:r>
                    <w:r>
                      <w:fldChar w:fldCharType="begin"/>
                    </w:r>
                    <w:r>
                      <w:instrText>NUMPAGES</w:instrText>
                    </w:r>
                    <w:r>
                      <w:fldChar w:fldCharType="separate"/>
                    </w:r>
                    <w:r w:rsidR="00A76E5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DA61044" wp14:editId="36CAC93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3FBEF8F" w14:textId="77777777" w:rsidR="00604637" w:rsidRDefault="0032181E">
                          <w:pPr>
                            <w:pStyle w:val="AfzendgegevensKop0"/>
                          </w:pPr>
                          <w:r>
                            <w:t>Ministerie van Infrastructuur en Waterstaat</w:t>
                          </w:r>
                        </w:p>
                        <w:p w14:paraId="53223769" w14:textId="77777777" w:rsidR="00604637" w:rsidRDefault="00604637">
                          <w:pPr>
                            <w:pStyle w:val="WitregelW1"/>
                          </w:pPr>
                        </w:p>
                        <w:p w14:paraId="62B497A6" w14:textId="77777777" w:rsidR="00604637" w:rsidRDefault="0032181E">
                          <w:pPr>
                            <w:pStyle w:val="Afzendgegevens"/>
                          </w:pPr>
                          <w:r>
                            <w:t>Rijnstraat 8</w:t>
                          </w:r>
                        </w:p>
                        <w:p w14:paraId="452AB9B5" w14:textId="77777777" w:rsidR="00604637" w:rsidRPr="002C461F" w:rsidRDefault="0032181E">
                          <w:pPr>
                            <w:pStyle w:val="Afzendgegevens"/>
                            <w:rPr>
                              <w:lang w:val="de-DE"/>
                            </w:rPr>
                          </w:pPr>
                          <w:r w:rsidRPr="002C461F">
                            <w:rPr>
                              <w:lang w:val="de-DE"/>
                            </w:rPr>
                            <w:t>2515 XP  Den Haag</w:t>
                          </w:r>
                        </w:p>
                        <w:p w14:paraId="13233F01" w14:textId="77777777" w:rsidR="00604637" w:rsidRPr="002C461F" w:rsidRDefault="0032181E">
                          <w:pPr>
                            <w:pStyle w:val="Afzendgegevens"/>
                            <w:rPr>
                              <w:lang w:val="de-DE"/>
                            </w:rPr>
                          </w:pPr>
                          <w:r w:rsidRPr="002C461F">
                            <w:rPr>
                              <w:lang w:val="de-DE"/>
                            </w:rPr>
                            <w:t>Postbus 20901</w:t>
                          </w:r>
                        </w:p>
                        <w:p w14:paraId="4A34D291" w14:textId="77777777" w:rsidR="00604637" w:rsidRPr="002C461F" w:rsidRDefault="0032181E">
                          <w:pPr>
                            <w:pStyle w:val="Afzendgegevens"/>
                            <w:rPr>
                              <w:lang w:val="de-DE"/>
                            </w:rPr>
                          </w:pPr>
                          <w:r w:rsidRPr="002C461F">
                            <w:rPr>
                              <w:lang w:val="de-DE"/>
                            </w:rPr>
                            <w:t>2500 EX Den Haag</w:t>
                          </w:r>
                        </w:p>
                        <w:p w14:paraId="677EF045" w14:textId="77777777" w:rsidR="00604637" w:rsidRPr="002C461F" w:rsidRDefault="00604637">
                          <w:pPr>
                            <w:pStyle w:val="WitregelW1"/>
                            <w:rPr>
                              <w:lang w:val="de-DE"/>
                            </w:rPr>
                          </w:pPr>
                        </w:p>
                        <w:p w14:paraId="0BD480FA" w14:textId="77777777" w:rsidR="00604637" w:rsidRPr="002C461F" w:rsidRDefault="0032181E">
                          <w:pPr>
                            <w:pStyle w:val="Afzendgegevens"/>
                            <w:rPr>
                              <w:lang w:val="de-DE"/>
                            </w:rPr>
                          </w:pPr>
                          <w:r w:rsidRPr="002C461F">
                            <w:rPr>
                              <w:lang w:val="de-DE"/>
                            </w:rPr>
                            <w:t>T   070-456 0000</w:t>
                          </w:r>
                        </w:p>
                        <w:p w14:paraId="7264BE99" w14:textId="77777777" w:rsidR="00604637" w:rsidRDefault="0032181E">
                          <w:pPr>
                            <w:pStyle w:val="Afzendgegevens"/>
                          </w:pPr>
                          <w:r>
                            <w:t>F   070-456 1111</w:t>
                          </w:r>
                        </w:p>
                        <w:p w14:paraId="1DF0F43C" w14:textId="77777777" w:rsidR="00604637" w:rsidRDefault="00604637">
                          <w:pPr>
                            <w:pStyle w:val="WitregelW2"/>
                          </w:pPr>
                        </w:p>
                        <w:p w14:paraId="3FD676FE" w14:textId="77777777" w:rsidR="00604637" w:rsidRDefault="0032181E">
                          <w:pPr>
                            <w:pStyle w:val="Referentiegegevenskop"/>
                          </w:pPr>
                          <w:r>
                            <w:t>Ons kenmerk</w:t>
                          </w:r>
                        </w:p>
                        <w:p w14:paraId="219FB5E8" w14:textId="77777777" w:rsidR="00604637" w:rsidRDefault="0032181E">
                          <w:pPr>
                            <w:pStyle w:val="Referentiegegevens"/>
                          </w:pPr>
                          <w:r>
                            <w:t>IENW/BSK-2024/2</w:t>
                          </w:r>
                          <w:r w:rsidR="00750856">
                            <w:t>47626</w:t>
                          </w:r>
                        </w:p>
                        <w:p w14:paraId="071251A3" w14:textId="77777777" w:rsidR="00604637" w:rsidRDefault="00604637">
                          <w:pPr>
                            <w:pStyle w:val="WitregelW1"/>
                          </w:pPr>
                        </w:p>
                        <w:p w14:paraId="64D29136" w14:textId="77777777" w:rsidR="00604637" w:rsidRDefault="0032181E">
                          <w:pPr>
                            <w:pStyle w:val="Referentiegegevenskop"/>
                          </w:pPr>
                          <w:r>
                            <w:t>Bijlage(n)</w:t>
                          </w:r>
                        </w:p>
                        <w:p w14:paraId="7D19AAE4" w14:textId="77777777" w:rsidR="00604637" w:rsidRDefault="00B7044A">
                          <w:pPr>
                            <w:pStyle w:val="Referentiegegevens"/>
                          </w:pPr>
                          <w:r>
                            <w:t>1</w:t>
                          </w:r>
                        </w:p>
                      </w:txbxContent>
                    </wps:txbx>
                    <wps:bodyPr vert="horz" wrap="square" lIns="0" tIns="0" rIns="0" bIns="0" anchor="t" anchorCtr="0"/>
                  </wps:wsp>
                </a:graphicData>
              </a:graphic>
            </wp:anchor>
          </w:drawing>
        </mc:Choice>
        <mc:Fallback>
          <w:pict>
            <v:shape w14:anchorId="0DA61044"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3FBEF8F" w14:textId="77777777" w:rsidR="00604637" w:rsidRDefault="0032181E">
                    <w:pPr>
                      <w:pStyle w:val="AfzendgegevensKop0"/>
                    </w:pPr>
                    <w:r>
                      <w:t>Ministerie van Infrastructuur en Waterstaat</w:t>
                    </w:r>
                  </w:p>
                  <w:p w14:paraId="53223769" w14:textId="77777777" w:rsidR="00604637" w:rsidRDefault="00604637">
                    <w:pPr>
                      <w:pStyle w:val="WitregelW1"/>
                    </w:pPr>
                  </w:p>
                  <w:p w14:paraId="62B497A6" w14:textId="77777777" w:rsidR="00604637" w:rsidRDefault="0032181E">
                    <w:pPr>
                      <w:pStyle w:val="Afzendgegevens"/>
                    </w:pPr>
                    <w:r>
                      <w:t>Rijnstraat 8</w:t>
                    </w:r>
                  </w:p>
                  <w:p w14:paraId="452AB9B5" w14:textId="77777777" w:rsidR="00604637" w:rsidRPr="002C461F" w:rsidRDefault="0032181E">
                    <w:pPr>
                      <w:pStyle w:val="Afzendgegevens"/>
                      <w:rPr>
                        <w:lang w:val="de-DE"/>
                      </w:rPr>
                    </w:pPr>
                    <w:r w:rsidRPr="002C461F">
                      <w:rPr>
                        <w:lang w:val="de-DE"/>
                      </w:rPr>
                      <w:t>2515 XP  Den Haag</w:t>
                    </w:r>
                  </w:p>
                  <w:p w14:paraId="13233F01" w14:textId="77777777" w:rsidR="00604637" w:rsidRPr="002C461F" w:rsidRDefault="0032181E">
                    <w:pPr>
                      <w:pStyle w:val="Afzendgegevens"/>
                      <w:rPr>
                        <w:lang w:val="de-DE"/>
                      </w:rPr>
                    </w:pPr>
                    <w:r w:rsidRPr="002C461F">
                      <w:rPr>
                        <w:lang w:val="de-DE"/>
                      </w:rPr>
                      <w:t>Postbus 20901</w:t>
                    </w:r>
                  </w:p>
                  <w:p w14:paraId="4A34D291" w14:textId="77777777" w:rsidR="00604637" w:rsidRPr="002C461F" w:rsidRDefault="0032181E">
                    <w:pPr>
                      <w:pStyle w:val="Afzendgegevens"/>
                      <w:rPr>
                        <w:lang w:val="de-DE"/>
                      </w:rPr>
                    </w:pPr>
                    <w:r w:rsidRPr="002C461F">
                      <w:rPr>
                        <w:lang w:val="de-DE"/>
                      </w:rPr>
                      <w:t>2500 EX Den Haag</w:t>
                    </w:r>
                  </w:p>
                  <w:p w14:paraId="677EF045" w14:textId="77777777" w:rsidR="00604637" w:rsidRPr="002C461F" w:rsidRDefault="00604637">
                    <w:pPr>
                      <w:pStyle w:val="WitregelW1"/>
                      <w:rPr>
                        <w:lang w:val="de-DE"/>
                      </w:rPr>
                    </w:pPr>
                  </w:p>
                  <w:p w14:paraId="0BD480FA" w14:textId="77777777" w:rsidR="00604637" w:rsidRPr="002C461F" w:rsidRDefault="0032181E">
                    <w:pPr>
                      <w:pStyle w:val="Afzendgegevens"/>
                      <w:rPr>
                        <w:lang w:val="de-DE"/>
                      </w:rPr>
                    </w:pPr>
                    <w:r w:rsidRPr="002C461F">
                      <w:rPr>
                        <w:lang w:val="de-DE"/>
                      </w:rPr>
                      <w:t>T   070-456 0000</w:t>
                    </w:r>
                  </w:p>
                  <w:p w14:paraId="7264BE99" w14:textId="77777777" w:rsidR="00604637" w:rsidRDefault="0032181E">
                    <w:pPr>
                      <w:pStyle w:val="Afzendgegevens"/>
                    </w:pPr>
                    <w:r>
                      <w:t>F   070-456 1111</w:t>
                    </w:r>
                  </w:p>
                  <w:p w14:paraId="1DF0F43C" w14:textId="77777777" w:rsidR="00604637" w:rsidRDefault="00604637">
                    <w:pPr>
                      <w:pStyle w:val="WitregelW2"/>
                    </w:pPr>
                  </w:p>
                  <w:p w14:paraId="3FD676FE" w14:textId="77777777" w:rsidR="00604637" w:rsidRDefault="0032181E">
                    <w:pPr>
                      <w:pStyle w:val="Referentiegegevenskop"/>
                    </w:pPr>
                    <w:r>
                      <w:t>Ons kenmerk</w:t>
                    </w:r>
                  </w:p>
                  <w:p w14:paraId="219FB5E8" w14:textId="77777777" w:rsidR="00604637" w:rsidRDefault="0032181E">
                    <w:pPr>
                      <w:pStyle w:val="Referentiegegevens"/>
                    </w:pPr>
                    <w:r>
                      <w:t>IENW/BSK-2024/2</w:t>
                    </w:r>
                    <w:r w:rsidR="00750856">
                      <w:t>47626</w:t>
                    </w:r>
                  </w:p>
                  <w:p w14:paraId="071251A3" w14:textId="77777777" w:rsidR="00604637" w:rsidRDefault="00604637">
                    <w:pPr>
                      <w:pStyle w:val="WitregelW1"/>
                    </w:pPr>
                  </w:p>
                  <w:p w14:paraId="64D29136" w14:textId="77777777" w:rsidR="00604637" w:rsidRDefault="0032181E">
                    <w:pPr>
                      <w:pStyle w:val="Referentiegegevenskop"/>
                    </w:pPr>
                    <w:r>
                      <w:t>Bijlage(n)</w:t>
                    </w:r>
                  </w:p>
                  <w:p w14:paraId="7D19AAE4" w14:textId="77777777" w:rsidR="00604637" w:rsidRDefault="00B7044A">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C96D60B" wp14:editId="619E364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CE20195" w14:textId="77777777" w:rsidR="00624979" w:rsidRDefault="00B7044A">
                          <w:r>
                            <w:rPr>
                              <w:noProof/>
                              <w:lang w:val="en-GB" w:eastAsia="en-GB"/>
                            </w:rPr>
                            <w:drawing>
                              <wp:inline distT="0" distB="0" distL="0" distR="0" wp14:anchorId="206C4F63" wp14:editId="762E413C">
                                <wp:extent cx="467995" cy="1583690"/>
                                <wp:effectExtent l="0" t="0" r="8255" b="0"/>
                                <wp:docPr id="10" name="Afbeelding 10"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96D60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CE20195" w14:textId="77777777" w:rsidR="00624979" w:rsidRDefault="00B7044A">
                    <w:r>
                      <w:rPr>
                        <w:noProof/>
                        <w:lang w:val="en-GB" w:eastAsia="en-GB"/>
                      </w:rPr>
                      <w:drawing>
                        <wp:inline distT="0" distB="0" distL="0" distR="0" wp14:anchorId="206C4F63" wp14:editId="762E413C">
                          <wp:extent cx="467995" cy="1583690"/>
                          <wp:effectExtent l="0" t="0" r="8255" b="0"/>
                          <wp:docPr id="10" name="Afbeelding 10"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D94B97B" wp14:editId="1D9C50F1">
              <wp:simplePos x="0" y="0"/>
              <wp:positionH relativeFrom="page">
                <wp:posOffset>3995420</wp:posOffset>
              </wp:positionH>
              <wp:positionV relativeFrom="page">
                <wp:posOffset>0</wp:posOffset>
              </wp:positionV>
              <wp:extent cx="2339975" cy="1583690"/>
              <wp:effectExtent l="0" t="0" r="0" b="0"/>
              <wp:wrapNone/>
              <wp:docPr id="9"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E6B669E" w14:textId="77777777" w:rsidR="00604637" w:rsidRDefault="0032181E">
                          <w:pPr>
                            <w:spacing w:line="240" w:lineRule="auto"/>
                          </w:pPr>
                          <w:r>
                            <w:rPr>
                              <w:noProof/>
                              <w:lang w:val="en-GB" w:eastAsia="en-GB"/>
                            </w:rPr>
                            <w:drawing>
                              <wp:inline distT="0" distB="0" distL="0" distR="0" wp14:anchorId="67898472" wp14:editId="21AAE7C0">
                                <wp:extent cx="2339975" cy="1582834"/>
                                <wp:effectExtent l="0" t="0" r="0" b="0"/>
                                <wp:docPr id="17" name="Afbeelding 17"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94B97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CRMQAiwgEAAFQDAAAOAAAAAAAAAAAAAAAA&#10;AC4CAABkcnMvZTJvRG9jLnhtbFBLAQItABQABgAIAAAAIQBYw2c/3gAAAAgBAAAPAAAAAAAAAAAA&#10;AAAAABwEAABkcnMvZG93bnJldi54bWxQSwUGAAAAAAQABADzAAAAJwUAAAAA&#10;" filled="f" stroked="f">
              <v:textbox inset="0,0,0,0">
                <w:txbxContent>
                  <w:p w14:paraId="5E6B669E" w14:textId="77777777" w:rsidR="00604637" w:rsidRDefault="0032181E">
                    <w:pPr>
                      <w:spacing w:line="240" w:lineRule="auto"/>
                    </w:pPr>
                    <w:r>
                      <w:rPr>
                        <w:noProof/>
                        <w:lang w:val="en-GB" w:eastAsia="en-GB"/>
                      </w:rPr>
                      <w:drawing>
                        <wp:inline distT="0" distB="0" distL="0" distR="0" wp14:anchorId="67898472" wp14:editId="21AAE7C0">
                          <wp:extent cx="2339975" cy="1582834"/>
                          <wp:effectExtent l="0" t="0" r="0" b="0"/>
                          <wp:docPr id="17" name="Afbeelding 17"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0D9FC4E" wp14:editId="15B0EC25">
              <wp:simplePos x="0" y="0"/>
              <wp:positionH relativeFrom="page">
                <wp:posOffset>1007744</wp:posOffset>
              </wp:positionH>
              <wp:positionV relativeFrom="page">
                <wp:posOffset>1691639</wp:posOffset>
              </wp:positionV>
              <wp:extent cx="3563620" cy="143510"/>
              <wp:effectExtent l="0" t="0" r="0" b="0"/>
              <wp:wrapNone/>
              <wp:docPr id="11"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EDCFF17" w14:textId="77777777" w:rsidR="00604637" w:rsidRDefault="0032181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0D9FC4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Bk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S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CJTbBkwAEAAFQDAAAOAAAAAAAAAAAAAAAA&#10;AC4CAABkcnMvZTJvRG9jLnhtbFBLAQItABQABgAIAAAAIQCGBf3o4AAAAAsBAAAPAAAAAAAAAAAA&#10;AAAAABoEAABkcnMvZG93bnJldi54bWxQSwUGAAAAAAQABADzAAAAJwUAAAAA&#10;" filled="f" stroked="f">
              <v:textbox inset="0,0,0,0">
                <w:txbxContent>
                  <w:p w14:paraId="6EDCFF17" w14:textId="77777777" w:rsidR="00604637" w:rsidRDefault="0032181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F5FF692" wp14:editId="5F83228B">
              <wp:simplePos x="0" y="0"/>
              <wp:positionH relativeFrom="page">
                <wp:posOffset>1007744</wp:posOffset>
              </wp:positionH>
              <wp:positionV relativeFrom="page">
                <wp:posOffset>1943735</wp:posOffset>
              </wp:positionV>
              <wp:extent cx="3491865" cy="1079500"/>
              <wp:effectExtent l="0" t="0" r="0" b="0"/>
              <wp:wrapNone/>
              <wp:docPr id="12"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405D52F" w14:textId="77777777" w:rsidR="00604637" w:rsidRDefault="0032181E">
                          <w:r>
                            <w:t>De voorzitter van de Tweede Kamer</w:t>
                          </w:r>
                          <w:r>
                            <w:br/>
                            <w:t>der Staten-Generaal</w:t>
                          </w:r>
                          <w:r>
                            <w:br/>
                            <w:t>Postbus 20018</w:t>
                          </w:r>
                          <w:r>
                            <w:br/>
                            <w:t>2500 EA  DEN HAAG</w:t>
                          </w:r>
                        </w:p>
                      </w:txbxContent>
                    </wps:txbx>
                    <wps:bodyPr vert="horz" wrap="square" lIns="0" tIns="0" rIns="0" bIns="0" anchor="t" anchorCtr="0"/>
                  </wps:wsp>
                </a:graphicData>
              </a:graphic>
              <wp14:sizeRelH relativeFrom="margin">
                <wp14:pctWidth>0</wp14:pctWidth>
              </wp14:sizeRelH>
            </wp:anchor>
          </w:drawing>
        </mc:Choice>
        <mc:Fallback>
          <w:pict>
            <v:shape w14:anchorId="3F5FF692" id="7268d7b6-823c-11ee-8554-0242ac120003" o:spid="_x0000_s1036" type="#_x0000_t202" style="position:absolute;margin-left:79.35pt;margin-top:153.05pt;width:274.95pt;height:85pt;z-index:2516618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awg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1dRYpjGGe2r&#10;Xd3vu11WV2uelaUQWb3dbrKi2lSMlyh7sY7CTc43WP/kECHM7+yMIEvcYzDqMUvQ8YudEszjCC43&#10;2cUcCMfgenNX1rstJRxzZbG/2xZpMPlruQMfPgirSXRaCjjXJDc7f/IBqeDV5Up8zdhHNY4xHjle&#10;uUQvzN18bTY9EEOd7S/IH1cYcQcLPymZcB1a6n88MxCUjB8N6h13Z3FgcbrFYYZjaUsDJVf3fUg7&#10;tjDA4SWOL4sWt+P3c+L5+jscfwE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DPrE5rCAQAAVgMAAA4AAAAAAAAAAAAA&#10;AAAALgIAAGRycy9lMm9Eb2MueG1sUEsBAi0AFAAGAAgAAAAhAJbtBRbgAAAACwEAAA8AAAAAAAAA&#10;AAAAAAAAHAQAAGRycy9kb3ducmV2LnhtbFBLBQYAAAAABAAEAPMAAAApBQAAAAA=&#10;" filled="f" stroked="f">
              <v:textbox inset="0,0,0,0">
                <w:txbxContent>
                  <w:p w14:paraId="5405D52F" w14:textId="77777777" w:rsidR="00604637" w:rsidRDefault="0032181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4D110BA" wp14:editId="237B8E6E">
              <wp:simplePos x="0" y="0"/>
              <wp:positionH relativeFrom="page">
                <wp:posOffset>1007744</wp:posOffset>
              </wp:positionH>
              <wp:positionV relativeFrom="page">
                <wp:posOffset>3635375</wp:posOffset>
              </wp:positionV>
              <wp:extent cx="4105275" cy="629920"/>
              <wp:effectExtent l="0" t="0" r="0" b="0"/>
              <wp:wrapNone/>
              <wp:docPr id="13"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04637" w14:paraId="122D4024" w14:textId="77777777">
                            <w:trPr>
                              <w:trHeight w:val="200"/>
                            </w:trPr>
                            <w:tc>
                              <w:tcPr>
                                <w:tcW w:w="1140" w:type="dxa"/>
                              </w:tcPr>
                              <w:p w14:paraId="177B8F28" w14:textId="77777777" w:rsidR="00604637" w:rsidRDefault="00604637"/>
                            </w:tc>
                            <w:tc>
                              <w:tcPr>
                                <w:tcW w:w="5400" w:type="dxa"/>
                              </w:tcPr>
                              <w:p w14:paraId="7A2FADD8" w14:textId="77777777" w:rsidR="00604637" w:rsidRDefault="00604637"/>
                            </w:tc>
                          </w:tr>
                          <w:tr w:rsidR="00604637" w14:paraId="6C011905" w14:textId="77777777">
                            <w:trPr>
                              <w:trHeight w:val="240"/>
                            </w:trPr>
                            <w:tc>
                              <w:tcPr>
                                <w:tcW w:w="1140" w:type="dxa"/>
                              </w:tcPr>
                              <w:p w14:paraId="6D02648A" w14:textId="77777777" w:rsidR="00604637" w:rsidRDefault="0032181E">
                                <w:r>
                                  <w:t>Datum</w:t>
                                </w:r>
                              </w:p>
                            </w:tc>
                            <w:tc>
                              <w:tcPr>
                                <w:tcW w:w="5400" w:type="dxa"/>
                              </w:tcPr>
                              <w:p w14:paraId="0FD7FC92" w14:textId="5037514E" w:rsidR="00604637" w:rsidRDefault="007700D7">
                                <w:r>
                                  <w:t>2 oktober 2024</w:t>
                                </w:r>
                              </w:p>
                            </w:tc>
                          </w:tr>
                          <w:tr w:rsidR="00604637" w14:paraId="069C69A6" w14:textId="77777777">
                            <w:trPr>
                              <w:trHeight w:val="240"/>
                            </w:trPr>
                            <w:tc>
                              <w:tcPr>
                                <w:tcW w:w="1140" w:type="dxa"/>
                              </w:tcPr>
                              <w:p w14:paraId="0129C690" w14:textId="77777777" w:rsidR="00604637" w:rsidRDefault="0032181E">
                                <w:r>
                                  <w:t>Betreft</w:t>
                                </w:r>
                              </w:p>
                            </w:tc>
                            <w:tc>
                              <w:tcPr>
                                <w:tcW w:w="5400" w:type="dxa"/>
                              </w:tcPr>
                              <w:p w14:paraId="3AB32B99" w14:textId="77777777" w:rsidR="00604637" w:rsidRDefault="0032181E">
                                <w:r>
                                  <w:t>Inzicht in areaaldata bij ProRail en RWS</w:t>
                                </w:r>
                              </w:p>
                            </w:tc>
                          </w:tr>
                          <w:tr w:rsidR="00604637" w14:paraId="182A5DB4" w14:textId="77777777">
                            <w:trPr>
                              <w:trHeight w:val="200"/>
                            </w:trPr>
                            <w:tc>
                              <w:tcPr>
                                <w:tcW w:w="1140" w:type="dxa"/>
                              </w:tcPr>
                              <w:p w14:paraId="398DB4CF" w14:textId="77777777" w:rsidR="00604637" w:rsidRDefault="00604637"/>
                            </w:tc>
                            <w:tc>
                              <w:tcPr>
                                <w:tcW w:w="5400" w:type="dxa"/>
                              </w:tcPr>
                              <w:p w14:paraId="0C5E4930" w14:textId="77777777" w:rsidR="00604637" w:rsidRDefault="00604637"/>
                            </w:tc>
                          </w:tr>
                        </w:tbl>
                        <w:p w14:paraId="2C597CC3" w14:textId="77777777" w:rsidR="00624979" w:rsidRDefault="00624979"/>
                      </w:txbxContent>
                    </wps:txbx>
                    <wps:bodyPr vert="horz" wrap="square" lIns="0" tIns="0" rIns="0" bIns="0" anchor="t" anchorCtr="0"/>
                  </wps:wsp>
                </a:graphicData>
              </a:graphic>
            </wp:anchor>
          </w:drawing>
        </mc:Choice>
        <mc:Fallback>
          <w:pict>
            <v:shape w14:anchorId="44D110BA"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ysx9V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604637" w14:paraId="122D4024" w14:textId="77777777">
                      <w:trPr>
                        <w:trHeight w:val="200"/>
                      </w:trPr>
                      <w:tc>
                        <w:tcPr>
                          <w:tcW w:w="1140" w:type="dxa"/>
                        </w:tcPr>
                        <w:p w14:paraId="177B8F28" w14:textId="77777777" w:rsidR="00604637" w:rsidRDefault="00604637"/>
                      </w:tc>
                      <w:tc>
                        <w:tcPr>
                          <w:tcW w:w="5400" w:type="dxa"/>
                        </w:tcPr>
                        <w:p w14:paraId="7A2FADD8" w14:textId="77777777" w:rsidR="00604637" w:rsidRDefault="00604637"/>
                      </w:tc>
                    </w:tr>
                    <w:tr w:rsidR="00604637" w14:paraId="6C011905" w14:textId="77777777">
                      <w:trPr>
                        <w:trHeight w:val="240"/>
                      </w:trPr>
                      <w:tc>
                        <w:tcPr>
                          <w:tcW w:w="1140" w:type="dxa"/>
                        </w:tcPr>
                        <w:p w14:paraId="6D02648A" w14:textId="77777777" w:rsidR="00604637" w:rsidRDefault="0032181E">
                          <w:r>
                            <w:t>Datum</w:t>
                          </w:r>
                        </w:p>
                      </w:tc>
                      <w:tc>
                        <w:tcPr>
                          <w:tcW w:w="5400" w:type="dxa"/>
                        </w:tcPr>
                        <w:p w14:paraId="0FD7FC92" w14:textId="5037514E" w:rsidR="00604637" w:rsidRDefault="007700D7">
                          <w:r>
                            <w:t>2 oktober 2024</w:t>
                          </w:r>
                        </w:p>
                      </w:tc>
                    </w:tr>
                    <w:tr w:rsidR="00604637" w14:paraId="069C69A6" w14:textId="77777777">
                      <w:trPr>
                        <w:trHeight w:val="240"/>
                      </w:trPr>
                      <w:tc>
                        <w:tcPr>
                          <w:tcW w:w="1140" w:type="dxa"/>
                        </w:tcPr>
                        <w:p w14:paraId="0129C690" w14:textId="77777777" w:rsidR="00604637" w:rsidRDefault="0032181E">
                          <w:r>
                            <w:t>Betreft</w:t>
                          </w:r>
                        </w:p>
                      </w:tc>
                      <w:tc>
                        <w:tcPr>
                          <w:tcW w:w="5400" w:type="dxa"/>
                        </w:tcPr>
                        <w:p w14:paraId="3AB32B99" w14:textId="77777777" w:rsidR="00604637" w:rsidRDefault="0032181E">
                          <w:r>
                            <w:t>Inzicht in areaaldata bij ProRail en RWS</w:t>
                          </w:r>
                        </w:p>
                      </w:tc>
                    </w:tr>
                    <w:tr w:rsidR="00604637" w14:paraId="182A5DB4" w14:textId="77777777">
                      <w:trPr>
                        <w:trHeight w:val="200"/>
                      </w:trPr>
                      <w:tc>
                        <w:tcPr>
                          <w:tcW w:w="1140" w:type="dxa"/>
                        </w:tcPr>
                        <w:p w14:paraId="398DB4CF" w14:textId="77777777" w:rsidR="00604637" w:rsidRDefault="00604637"/>
                      </w:tc>
                      <w:tc>
                        <w:tcPr>
                          <w:tcW w:w="5400" w:type="dxa"/>
                        </w:tcPr>
                        <w:p w14:paraId="0C5E4930" w14:textId="77777777" w:rsidR="00604637" w:rsidRDefault="00604637"/>
                      </w:tc>
                    </w:tr>
                  </w:tbl>
                  <w:p w14:paraId="2C597CC3" w14:textId="77777777" w:rsidR="00624979" w:rsidRDefault="0062497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613EA27" wp14:editId="550AABFD">
              <wp:simplePos x="0" y="0"/>
              <wp:positionH relativeFrom="page">
                <wp:posOffset>1007744</wp:posOffset>
              </wp:positionH>
              <wp:positionV relativeFrom="page">
                <wp:posOffset>1199515</wp:posOffset>
              </wp:positionV>
              <wp:extent cx="2381250" cy="285750"/>
              <wp:effectExtent l="0" t="0" r="0" b="0"/>
              <wp:wrapNone/>
              <wp:docPr id="14"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C070C1F" w14:textId="77777777" w:rsidR="00624979" w:rsidRDefault="00624979"/>
                      </w:txbxContent>
                    </wps:txbx>
                    <wps:bodyPr vert="horz" wrap="square" lIns="0" tIns="0" rIns="0" bIns="0" anchor="t" anchorCtr="0"/>
                  </wps:wsp>
                </a:graphicData>
              </a:graphic>
            </wp:anchor>
          </w:drawing>
        </mc:Choice>
        <mc:Fallback>
          <w:pict>
            <v:shape w14:anchorId="5613EA27"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vELm74BAABVAwAADgAAAAAAAAAAAAAAAAAu&#10;AgAAZHJzL2Uyb0RvYy54bWxQSwECLQAUAAYACAAAACEAPPsda+AAAAALAQAADwAAAAAAAAAAAAAA&#10;AAAYBAAAZHJzL2Rvd25yZXYueG1sUEsFBgAAAAAEAAQA8wAAACUFAAAAAA==&#10;" filled="f" stroked="f">
              <v:textbox inset="0,0,0,0">
                <w:txbxContent>
                  <w:p w14:paraId="1C070C1F" w14:textId="77777777" w:rsidR="00624979" w:rsidRDefault="0062497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14252E"/>
    <w:multiLevelType w:val="multilevel"/>
    <w:tmpl w:val="E64B439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37F43B"/>
    <w:multiLevelType w:val="multilevel"/>
    <w:tmpl w:val="4108E35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CE19750"/>
    <w:multiLevelType w:val="multilevel"/>
    <w:tmpl w:val="13D7BF5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FB0632"/>
    <w:multiLevelType w:val="multilevel"/>
    <w:tmpl w:val="40E4EEE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FD2CF7"/>
    <w:multiLevelType w:val="multilevel"/>
    <w:tmpl w:val="1941DF2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C5F9E919"/>
    <w:multiLevelType w:val="multilevel"/>
    <w:tmpl w:val="19BA093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8E921A"/>
    <w:multiLevelType w:val="multilevel"/>
    <w:tmpl w:val="78239CF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EE4D478"/>
    <w:multiLevelType w:val="multilevel"/>
    <w:tmpl w:val="D9ACFD9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41A9270"/>
    <w:multiLevelType w:val="multilevel"/>
    <w:tmpl w:val="11623BF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E9BAC33"/>
    <w:multiLevelType w:val="multilevel"/>
    <w:tmpl w:val="74F995B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E78E9A2"/>
    <w:multiLevelType w:val="multilevel"/>
    <w:tmpl w:val="E112A95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4B2897"/>
    <w:multiLevelType w:val="multilevel"/>
    <w:tmpl w:val="0290EBA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F85F2A"/>
    <w:multiLevelType w:val="multilevel"/>
    <w:tmpl w:val="4FF8F5A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20592C"/>
    <w:multiLevelType w:val="multilevel"/>
    <w:tmpl w:val="CFB9C4C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883E30"/>
    <w:multiLevelType w:val="multilevel"/>
    <w:tmpl w:val="9778A4A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779C91"/>
    <w:multiLevelType w:val="multilevel"/>
    <w:tmpl w:val="9497A50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4E935C16"/>
    <w:multiLevelType w:val="multilevel"/>
    <w:tmpl w:val="70DA59F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C60216"/>
    <w:multiLevelType w:val="multilevel"/>
    <w:tmpl w:val="9CCC806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4F703C"/>
    <w:multiLevelType w:val="multilevel"/>
    <w:tmpl w:val="160A0EE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DB7213"/>
    <w:multiLevelType w:val="multilevel"/>
    <w:tmpl w:val="A73D116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278E44"/>
    <w:multiLevelType w:val="multilevel"/>
    <w:tmpl w:val="E369472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8C6CBA"/>
    <w:multiLevelType w:val="multilevel"/>
    <w:tmpl w:val="9116F2D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0A9552"/>
    <w:multiLevelType w:val="multilevel"/>
    <w:tmpl w:val="6478C11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11"/>
  </w:num>
  <w:num w:numId="4">
    <w:abstractNumId w:val="8"/>
  </w:num>
  <w:num w:numId="5">
    <w:abstractNumId w:val="4"/>
  </w:num>
  <w:num w:numId="6">
    <w:abstractNumId w:val="3"/>
  </w:num>
  <w:num w:numId="7">
    <w:abstractNumId w:val="20"/>
  </w:num>
  <w:num w:numId="8">
    <w:abstractNumId w:val="9"/>
  </w:num>
  <w:num w:numId="9">
    <w:abstractNumId w:val="10"/>
  </w:num>
  <w:num w:numId="10">
    <w:abstractNumId w:val="21"/>
  </w:num>
  <w:num w:numId="11">
    <w:abstractNumId w:val="17"/>
  </w:num>
  <w:num w:numId="12">
    <w:abstractNumId w:val="15"/>
  </w:num>
  <w:num w:numId="13">
    <w:abstractNumId w:val="16"/>
  </w:num>
  <w:num w:numId="14">
    <w:abstractNumId w:val="6"/>
  </w:num>
  <w:num w:numId="15">
    <w:abstractNumId w:val="5"/>
  </w:num>
  <w:num w:numId="16">
    <w:abstractNumId w:val="1"/>
  </w:num>
  <w:num w:numId="17">
    <w:abstractNumId w:val="18"/>
  </w:num>
  <w:num w:numId="18">
    <w:abstractNumId w:val="19"/>
  </w:num>
  <w:num w:numId="19">
    <w:abstractNumId w:val="7"/>
  </w:num>
  <w:num w:numId="20">
    <w:abstractNumId w:val="2"/>
  </w:num>
  <w:num w:numId="21">
    <w:abstractNumId w:val="0"/>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1F"/>
    <w:rsid w:val="00004CA2"/>
    <w:rsid w:val="00007975"/>
    <w:rsid w:val="0005553D"/>
    <w:rsid w:val="00081C8D"/>
    <w:rsid w:val="0008375C"/>
    <w:rsid w:val="00083B1F"/>
    <w:rsid w:val="0009153C"/>
    <w:rsid w:val="00095012"/>
    <w:rsid w:val="000B2D6F"/>
    <w:rsid w:val="000C2286"/>
    <w:rsid w:val="0010294F"/>
    <w:rsid w:val="0010729E"/>
    <w:rsid w:val="00120CC8"/>
    <w:rsid w:val="0012521A"/>
    <w:rsid w:val="001350C0"/>
    <w:rsid w:val="00187919"/>
    <w:rsid w:val="00217DA6"/>
    <w:rsid w:val="00224B30"/>
    <w:rsid w:val="00244FCE"/>
    <w:rsid w:val="00277642"/>
    <w:rsid w:val="00284E94"/>
    <w:rsid w:val="00287185"/>
    <w:rsid w:val="002872D1"/>
    <w:rsid w:val="002A6A8C"/>
    <w:rsid w:val="002C461F"/>
    <w:rsid w:val="002D3523"/>
    <w:rsid w:val="0030213E"/>
    <w:rsid w:val="00310173"/>
    <w:rsid w:val="0032181E"/>
    <w:rsid w:val="0032747B"/>
    <w:rsid w:val="00333F87"/>
    <w:rsid w:val="003801C6"/>
    <w:rsid w:val="00383C11"/>
    <w:rsid w:val="003A6761"/>
    <w:rsid w:val="003D3CA1"/>
    <w:rsid w:val="00400704"/>
    <w:rsid w:val="00412DE6"/>
    <w:rsid w:val="00421867"/>
    <w:rsid w:val="00447819"/>
    <w:rsid w:val="004710F5"/>
    <w:rsid w:val="00476093"/>
    <w:rsid w:val="004974F4"/>
    <w:rsid w:val="00497EF0"/>
    <w:rsid w:val="004A585A"/>
    <w:rsid w:val="004B6AD6"/>
    <w:rsid w:val="004C2065"/>
    <w:rsid w:val="004E7A1A"/>
    <w:rsid w:val="00550193"/>
    <w:rsid w:val="00554E22"/>
    <w:rsid w:val="00583B66"/>
    <w:rsid w:val="005955A1"/>
    <w:rsid w:val="00596F5A"/>
    <w:rsid w:val="005B6436"/>
    <w:rsid w:val="005D00C4"/>
    <w:rsid w:val="005D6E18"/>
    <w:rsid w:val="00604067"/>
    <w:rsid w:val="00604637"/>
    <w:rsid w:val="00624979"/>
    <w:rsid w:val="00625B48"/>
    <w:rsid w:val="00632D7E"/>
    <w:rsid w:val="00640BCE"/>
    <w:rsid w:val="00666C0A"/>
    <w:rsid w:val="00675770"/>
    <w:rsid w:val="006778F5"/>
    <w:rsid w:val="00687EBB"/>
    <w:rsid w:val="00694269"/>
    <w:rsid w:val="006A12BF"/>
    <w:rsid w:val="006E4173"/>
    <w:rsid w:val="006E4362"/>
    <w:rsid w:val="007325C7"/>
    <w:rsid w:val="00740960"/>
    <w:rsid w:val="00750856"/>
    <w:rsid w:val="007700D7"/>
    <w:rsid w:val="007C08BB"/>
    <w:rsid w:val="007C4601"/>
    <w:rsid w:val="007D0508"/>
    <w:rsid w:val="007D159A"/>
    <w:rsid w:val="007D5B4B"/>
    <w:rsid w:val="007D6395"/>
    <w:rsid w:val="007D6C3C"/>
    <w:rsid w:val="007E71B6"/>
    <w:rsid w:val="00830E3A"/>
    <w:rsid w:val="008616F5"/>
    <w:rsid w:val="00880C93"/>
    <w:rsid w:val="00885142"/>
    <w:rsid w:val="008A1DA1"/>
    <w:rsid w:val="008A5645"/>
    <w:rsid w:val="008D27DF"/>
    <w:rsid w:val="008E09A6"/>
    <w:rsid w:val="008E483F"/>
    <w:rsid w:val="008F3D89"/>
    <w:rsid w:val="009333C0"/>
    <w:rsid w:val="00937131"/>
    <w:rsid w:val="00943B3C"/>
    <w:rsid w:val="00951044"/>
    <w:rsid w:val="00963B09"/>
    <w:rsid w:val="009673BC"/>
    <w:rsid w:val="00967A6F"/>
    <w:rsid w:val="009906D5"/>
    <w:rsid w:val="009A0458"/>
    <w:rsid w:val="009C583A"/>
    <w:rsid w:val="009C70D2"/>
    <w:rsid w:val="00A1457D"/>
    <w:rsid w:val="00A201D6"/>
    <w:rsid w:val="00A2621E"/>
    <w:rsid w:val="00A31C1B"/>
    <w:rsid w:val="00A33C95"/>
    <w:rsid w:val="00A40299"/>
    <w:rsid w:val="00A76E54"/>
    <w:rsid w:val="00A8520F"/>
    <w:rsid w:val="00A92A78"/>
    <w:rsid w:val="00AA3438"/>
    <w:rsid w:val="00AC0C7D"/>
    <w:rsid w:val="00B004CA"/>
    <w:rsid w:val="00B14D64"/>
    <w:rsid w:val="00B262F7"/>
    <w:rsid w:val="00B467A4"/>
    <w:rsid w:val="00B50FE7"/>
    <w:rsid w:val="00B63DA6"/>
    <w:rsid w:val="00B67FA8"/>
    <w:rsid w:val="00B7044A"/>
    <w:rsid w:val="00BB18AB"/>
    <w:rsid w:val="00BE0010"/>
    <w:rsid w:val="00C0235F"/>
    <w:rsid w:val="00C0625D"/>
    <w:rsid w:val="00C40E2B"/>
    <w:rsid w:val="00C45EB3"/>
    <w:rsid w:val="00C55BB0"/>
    <w:rsid w:val="00C66573"/>
    <w:rsid w:val="00C968A3"/>
    <w:rsid w:val="00CB7C88"/>
    <w:rsid w:val="00CB7DB9"/>
    <w:rsid w:val="00CC3804"/>
    <w:rsid w:val="00D03D4A"/>
    <w:rsid w:val="00D1058C"/>
    <w:rsid w:val="00D254D7"/>
    <w:rsid w:val="00D31648"/>
    <w:rsid w:val="00D31C76"/>
    <w:rsid w:val="00D44BA3"/>
    <w:rsid w:val="00D63272"/>
    <w:rsid w:val="00D82144"/>
    <w:rsid w:val="00DA47A7"/>
    <w:rsid w:val="00DB07CA"/>
    <w:rsid w:val="00DB1FEF"/>
    <w:rsid w:val="00DB2AE1"/>
    <w:rsid w:val="00DE4C61"/>
    <w:rsid w:val="00E41E0A"/>
    <w:rsid w:val="00E72676"/>
    <w:rsid w:val="00E72C59"/>
    <w:rsid w:val="00E84985"/>
    <w:rsid w:val="00EA0B8B"/>
    <w:rsid w:val="00EC1F57"/>
    <w:rsid w:val="00EE4800"/>
    <w:rsid w:val="00F16BC7"/>
    <w:rsid w:val="00F258F9"/>
    <w:rsid w:val="00F5022D"/>
    <w:rsid w:val="00F90524"/>
    <w:rsid w:val="00F96358"/>
    <w:rsid w:val="00F975F8"/>
    <w:rsid w:val="00FB090B"/>
    <w:rsid w:val="00FB3DB5"/>
    <w:rsid w:val="00FB4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F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C461F"/>
    <w:pPr>
      <w:tabs>
        <w:tab w:val="center" w:pos="4536"/>
        <w:tab w:val="right" w:pos="9072"/>
      </w:tabs>
      <w:spacing w:line="240" w:lineRule="auto"/>
    </w:pPr>
  </w:style>
  <w:style w:type="character" w:customStyle="1" w:styleId="HeaderChar">
    <w:name w:val="Header Char"/>
    <w:basedOn w:val="DefaultParagraphFont"/>
    <w:link w:val="Header"/>
    <w:uiPriority w:val="99"/>
    <w:rsid w:val="002C461F"/>
    <w:rPr>
      <w:rFonts w:ascii="Verdana" w:hAnsi="Verdana"/>
      <w:color w:val="000000"/>
      <w:sz w:val="18"/>
      <w:szCs w:val="18"/>
    </w:rPr>
  </w:style>
  <w:style w:type="paragraph" w:styleId="Footer">
    <w:name w:val="footer"/>
    <w:basedOn w:val="Normal"/>
    <w:link w:val="FooterChar"/>
    <w:uiPriority w:val="99"/>
    <w:unhideWhenUsed/>
    <w:rsid w:val="002C461F"/>
    <w:pPr>
      <w:tabs>
        <w:tab w:val="center" w:pos="4536"/>
        <w:tab w:val="right" w:pos="9072"/>
      </w:tabs>
      <w:spacing w:line="240" w:lineRule="auto"/>
    </w:pPr>
  </w:style>
  <w:style w:type="character" w:customStyle="1" w:styleId="FooterChar">
    <w:name w:val="Footer Char"/>
    <w:basedOn w:val="DefaultParagraphFont"/>
    <w:link w:val="Footer"/>
    <w:uiPriority w:val="99"/>
    <w:rsid w:val="002C461F"/>
    <w:rPr>
      <w:rFonts w:ascii="Verdana" w:hAnsi="Verdana"/>
      <w:color w:val="000000"/>
      <w:sz w:val="18"/>
      <w:szCs w:val="18"/>
    </w:rPr>
  </w:style>
  <w:style w:type="paragraph" w:styleId="FootnoteText">
    <w:name w:val="footnote text"/>
    <w:basedOn w:val="Normal"/>
    <w:link w:val="FootnoteTextChar"/>
    <w:uiPriority w:val="99"/>
    <w:semiHidden/>
    <w:unhideWhenUsed/>
    <w:rsid w:val="002C461F"/>
    <w:pPr>
      <w:spacing w:line="240" w:lineRule="auto"/>
    </w:pPr>
    <w:rPr>
      <w:sz w:val="20"/>
      <w:szCs w:val="20"/>
    </w:rPr>
  </w:style>
  <w:style w:type="character" w:customStyle="1" w:styleId="FootnoteTextChar">
    <w:name w:val="Footnote Text Char"/>
    <w:basedOn w:val="DefaultParagraphFont"/>
    <w:link w:val="FootnoteText"/>
    <w:uiPriority w:val="99"/>
    <w:semiHidden/>
    <w:rsid w:val="002C461F"/>
    <w:rPr>
      <w:rFonts w:ascii="Verdana" w:hAnsi="Verdana"/>
      <w:color w:val="000000"/>
    </w:rPr>
  </w:style>
  <w:style w:type="character" w:styleId="FootnoteReference">
    <w:name w:val="footnote reference"/>
    <w:basedOn w:val="DefaultParagraphFont"/>
    <w:uiPriority w:val="99"/>
    <w:semiHidden/>
    <w:unhideWhenUsed/>
    <w:rsid w:val="002C461F"/>
    <w:rPr>
      <w:vertAlign w:val="superscript"/>
    </w:rPr>
  </w:style>
  <w:style w:type="character" w:styleId="CommentReference">
    <w:name w:val="annotation reference"/>
    <w:basedOn w:val="DefaultParagraphFont"/>
    <w:uiPriority w:val="99"/>
    <w:semiHidden/>
    <w:unhideWhenUsed/>
    <w:rsid w:val="002C461F"/>
    <w:rPr>
      <w:sz w:val="16"/>
      <w:szCs w:val="16"/>
    </w:rPr>
  </w:style>
  <w:style w:type="paragraph" w:styleId="CommentText">
    <w:name w:val="annotation text"/>
    <w:basedOn w:val="Normal"/>
    <w:link w:val="CommentTextChar"/>
    <w:uiPriority w:val="99"/>
    <w:unhideWhenUsed/>
    <w:rsid w:val="002C461F"/>
    <w:pPr>
      <w:widowControl w:val="0"/>
      <w:autoSpaceDE w:val="0"/>
      <w:spacing w:line="240" w:lineRule="auto"/>
      <w:textAlignment w:val="auto"/>
    </w:pPr>
    <w:rPr>
      <w:rFonts w:eastAsia="Verdana" w:cs="Verdana"/>
      <w:color w:val="auto"/>
      <w:sz w:val="20"/>
      <w:szCs w:val="20"/>
      <w:lang w:eastAsia="en-US"/>
    </w:rPr>
  </w:style>
  <w:style w:type="character" w:customStyle="1" w:styleId="CommentTextChar">
    <w:name w:val="Comment Text Char"/>
    <w:basedOn w:val="DefaultParagraphFont"/>
    <w:link w:val="CommentText"/>
    <w:uiPriority w:val="99"/>
    <w:rsid w:val="002C461F"/>
    <w:rPr>
      <w:rFonts w:ascii="Verdana" w:eastAsia="Verdana" w:hAnsi="Verdana" w:cs="Verdana"/>
      <w:lang w:eastAsia="en-US"/>
    </w:rPr>
  </w:style>
  <w:style w:type="paragraph" w:styleId="CommentSubject">
    <w:name w:val="annotation subject"/>
    <w:basedOn w:val="CommentText"/>
    <w:next w:val="CommentText"/>
    <w:link w:val="CommentSubjectChar"/>
    <w:uiPriority w:val="99"/>
    <w:semiHidden/>
    <w:unhideWhenUsed/>
    <w:rsid w:val="009C583A"/>
    <w:pPr>
      <w:widowControl/>
      <w:autoSpaceDE/>
      <w:textAlignment w:val="baseline"/>
    </w:pPr>
    <w:rPr>
      <w:rFonts w:eastAsia="DejaVu Sans" w:cs="Lohit Hindi"/>
      <w:b/>
      <w:bCs/>
      <w:color w:val="000000"/>
      <w:lang w:eastAsia="nl-NL"/>
    </w:rPr>
  </w:style>
  <w:style w:type="character" w:customStyle="1" w:styleId="CommentSubjectChar">
    <w:name w:val="Comment Subject Char"/>
    <w:basedOn w:val="CommentTextChar"/>
    <w:link w:val="CommentSubject"/>
    <w:uiPriority w:val="99"/>
    <w:semiHidden/>
    <w:rsid w:val="009C583A"/>
    <w:rPr>
      <w:rFonts w:ascii="Verdana" w:eastAsia="Verdana" w:hAnsi="Verdana" w:cs="Verdana"/>
      <w:b/>
      <w:bCs/>
      <w:color w:val="000000"/>
      <w:lang w:eastAsia="en-US"/>
    </w:rPr>
  </w:style>
  <w:style w:type="table" w:customStyle="1" w:styleId="StandaardRapportpag11">
    <w:name w:val="Standaard_Rapport_pag11"/>
    <w:rsid w:val="007D0508"/>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styleId="Revision">
    <w:name w:val="Revision"/>
    <w:hidden/>
    <w:uiPriority w:val="99"/>
    <w:semiHidden/>
    <w:rsid w:val="00310173"/>
    <w:pPr>
      <w:autoSpaceDN/>
      <w:textAlignment w:val="auto"/>
    </w:pPr>
    <w:rPr>
      <w:rFonts w:ascii="Verdana" w:hAnsi="Verdana"/>
      <w:color w:val="000000"/>
      <w:sz w:val="18"/>
      <w:szCs w:val="18"/>
    </w:rPr>
  </w:style>
  <w:style w:type="paragraph" w:styleId="BalloonText">
    <w:name w:val="Balloon Text"/>
    <w:basedOn w:val="Normal"/>
    <w:link w:val="BalloonTextChar"/>
    <w:uiPriority w:val="99"/>
    <w:semiHidden/>
    <w:unhideWhenUsed/>
    <w:rsid w:val="00F96358"/>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9635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1261</ap:Words>
  <ap:Characters>7191</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Brief aan Parlement - Inzicht in areaaldata bij ProRail en RWS</vt:lpstr>
    </vt:vector>
  </ap:TitlesOfParts>
  <ap:LinksUpToDate>false</ap:LinksUpToDate>
  <ap:CharactersWithSpaces>8436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2024-10-02T13:35:00.0000000Z</dcterms:created>
  <dcterms:modified xsi:type="dcterms:W3CDTF">2024-10-02T13:35:00.0000000Z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Inzicht in areaaldata bij ProRail en RWS</vt:lpwstr>
  </property>
  <property fmtid="{D5CDD505-2E9C-101B-9397-08002B2CF9AE}" pid="5" name="Publicatiedatum">
    <vt:lpwstr/>
  </property>
  <property fmtid="{D5CDD505-2E9C-101B-9397-08002B2CF9AE}" pid="6" name="Verantwoordelijke organisatie">
    <vt:lpwstr>Unit Instandhouding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G.M. Stouten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