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2024Z14831</w:t>
        <w:br/>
      </w:r>
      <w:proofErr w:type="spellEnd"/>
    </w:p>
    <w:p>
      <w:pPr>
        <w:pStyle w:val="Normal"/>
        <w:rPr>
          <w:b w:val="1"/>
          <w:bCs w:val="1"/>
        </w:rPr>
      </w:pPr>
      <w:r w:rsidR="250AE766">
        <w:rPr>
          <w:b w:val="0"/>
          <w:bCs w:val="0"/>
        </w:rPr>
        <w:t>(ingezonden 2 oktober 2024)</w:t>
        <w:br/>
      </w:r>
    </w:p>
    <w:p>
      <w:r>
        <w:t xml:space="preserve">Vragen van het lid Westerveld (GroenLinks-PvdA) aan de staatssecretarissen van Volksgezonheid, Welzijn en Sport en van Justitie en Veiligheid over mishandelingen in een jeugdzorginstelling.</w:t>
      </w:r>
      <w:r>
        <w:br/>
      </w:r>
    </w:p>
    <w:p>
      <w:r>
        <w:t xml:space="preserve"/>
      </w:r>
      <w:r>
        <w:rPr>
          <w:b w:val="1"/>
          <w:bCs w:val="1"/>
        </w:rPr>
        <w:t xml:space="preserve">Vraag 1</w:t>
      </w:r>
      <w:r>
        <w:rPr/>
        <w:t xml:space="preserve">
          <w:br/>
Bent u bekend met het artikel ‘ Daisy deed aangifte van mishandeling in jeugdzorginstelling, maar wat ze meemaakte was ‘volgens protocol’? 1)
          <w:br/>
          <w:br/>
        </w:t>
      </w:r>
      <w:r>
        <w:rPr>
          <w:b w:val="1"/>
          <w:bCs w:val="1"/>
        </w:rPr>
        <w:t xml:space="preserve">Vraag 2</w:t>
      </w:r>
      <w:r>
        <w:rPr/>
        <w:t xml:space="preserve">
          <w:br/>
Kunt u verklaren hoe het inzetten van pijnprikkels als ‘onderdeel van het protocol’, kennelijk is toegestaan in Nederland? Is het nog steeds zo dat jeugdhulpaanbieders pijnprikkels mogen inzetten? Zo ja, hoe verhoudt zich dit tot (internationale) mensen- en kinderrechten? Zo nee, sinds wanneer mag dit niet meer?
        </w:t>
      </w:r>
      <w:r>
        <w:br/>
      </w:r>
    </w:p>
    <w:p>
      <w:r>
        <w:t xml:space="preserve"/>
      </w:r>
      <w:r>
        <w:rPr>
          <w:b w:val="1"/>
          <w:bCs w:val="1"/>
        </w:rPr>
        <w:t xml:space="preserve">Vraag 3</w:t>
      </w:r>
      <w:r>
        <w:rPr/>
        <w:t xml:space="preserve">
          <w:br/>
Deelt u de mening dat onder de vrijheidsbeperkende maatregelen die onder bepaalde voorwaarden in de jeugdwet mogen worden ingezet, op geen enkele manier maatregelen vallen die bewust pijn toebrengen? Zo ja, hoe verhoudt zich dit tot het bokkepootje, een handeling waarbij de duim naar de pols wordt gedraaid en die 
        </w:t>
      </w:r>
      <w:r>
        <w:rPr>
          <w:i w:val="1"/>
          <w:iCs w:val="1"/>
        </w:rPr>
        <w:t xml:space="preserve">per definitie</w:t>
      </w:r>
      <w:r>
        <w:rPr/>
        <w:t xml:space="preserve"> flinke pijn veroorzaakt?</w:t>
      </w:r>
      <w:r>
        <w:br/>
      </w:r>
    </w:p>
    <w:p>
      <w:r>
        <w:t xml:space="preserve"/>
      </w:r>
      <w:r>
        <w:rPr>
          <w:b w:val="1"/>
          <w:bCs w:val="1"/>
        </w:rPr>
        <w:t xml:space="preserve">Vraag 4</w:t>
      </w:r>
      <w:r>
        <w:rPr/>
        <w:t xml:space="preserve">
          <w:br/>
Valt het toedienen van het bokkepootje aan minderjarigen volgens u onder kindermishandeling? Onder welke voorwaarden wel en niet?
        </w:t>
      </w:r>
      <w:r>
        <w:br/>
      </w:r>
    </w:p>
    <w:p>
      <w:r>
        <w:t xml:space="preserve"/>
      </w:r>
      <w:r>
        <w:rPr>
          <w:b w:val="1"/>
          <w:bCs w:val="1"/>
        </w:rPr>
        <w:t xml:space="preserve">Vraag 5</w:t>
      </w:r>
      <w:r>
        <w:rPr/>
        <w:t xml:space="preserve">
          <w:br/>
Bij wie moeten jongeren terecht die in een instelling zaten die diverse keren door de Inspectie Gezondheidszorg en Jeugd (IGJ) is berispt, onder toezicht heeft gestaan en uiteindelijk zelfs is gesloten vanwege geconstateerde misstanden, nu de strafrechtelijke weg afgesloten lijkt te zijn?
        </w:t>
      </w:r>
      <w:r>
        <w:br/>
      </w:r>
    </w:p>
    <w:p>
      <w:r>
        <w:t xml:space="preserve"/>
      </w:r>
      <w:r>
        <w:rPr>
          <w:b w:val="1"/>
          <w:bCs w:val="1"/>
        </w:rPr>
        <w:t xml:space="preserve">Vraag 6</w:t>
      </w:r>
      <w:r>
        <w:rPr/>
        <w:t xml:space="preserve">
          <w:br/>
Deelt u onze mening en die van Kinderrechter Bart Tromp, die vorig jaar stelde dat hier fundamentele rechten van kinderen en ouders zijn geschonden? Zo nee, waarom niet? Zo ja, welke fundamentele rechten zijn dat volgens u? 2)
          <w:br/>
          <w:br/>
        </w:t>
      </w:r>
      <w:r>
        <w:rPr>
          <w:b w:val="1"/>
          <w:bCs w:val="1"/>
        </w:rPr>
        <w:t xml:space="preserve">Vraag 7</w:t>
      </w:r>
      <w:r>
        <w:rPr/>
        <w:t xml:space="preserve">
          <w:br/>
Zou u, gezien de eerdere bevindingen in onder meer inspectierapporten, de inzet van pijnprikkels aan minderjarigen en de andere gebeurtenissen kwalificeren als ‘lichte’ of ‘zware’ mishandelingen? Op basis waarvan wordt deze afweging gemaakt?
          <w:br/>
          <w:br/>
        </w:t>
      </w:r>
      <w:r>
        <w:rPr>
          <w:b w:val="1"/>
          <w:bCs w:val="1"/>
        </w:rPr>
        <w:t xml:space="preserve">Vraag 8</w:t>
      </w:r>
      <w:r>
        <w:rPr/>
        <w:t xml:space="preserve">
          <w:br/>
Herinnert u zich het rapport van commissie De Winter die onderzoek deed naar geweld en grensoverschrijdend gedrag in de jeugdzorg? Herinnert u zich de belofte van uw ambtsvoorganger om de aanbevelingen over te nemen? Geldt deze belofte ook onverkort voor u?
          <w:br/>
          <w:br/>
        </w:t>
      </w:r>
      <w:r>
        <w:rPr>
          <w:b w:val="1"/>
          <w:bCs w:val="1"/>
        </w:rPr>
        <w:t xml:space="preserve">Vraag 9</w:t>
      </w:r>
      <w:r>
        <w:rPr/>
        <w:t xml:space="preserve">
          <w:br/>
Zo ja, hoe plaatst u deze uitkomst in het proces tot de aanbevelingen die gaan over erkenning en hulp aan slachtoffers?
        </w:t>
      </w:r>
      <w:r>
        <w:br/>
      </w:r>
    </w:p>
    <w:p>
      <w:r>
        <w:t xml:space="preserve"/>
      </w:r>
      <w:r>
        <w:rPr>
          <w:b w:val="1"/>
          <w:bCs w:val="1"/>
        </w:rPr>
        <w:t xml:space="preserve">Vraag 10</w:t>
      </w:r>
      <w:r>
        <w:rPr/>
        <w:t xml:space="preserve">
          <w:br/>
Hoe kan het dat er voor de slachtoffers in dit artikel geen slachtofferhulp voorhanden is? Deelt u de mening dat ook dit niet in lijn is met de aanbevelingen van de commissie De Winter?
        </w:t>
      </w:r>
      <w:r>
        <w:br/>
      </w:r>
    </w:p>
    <w:p>
      <w:r>
        <w:t xml:space="preserve"/>
      </w:r>
      <w:r>
        <w:rPr>
          <w:b w:val="1"/>
          <w:bCs w:val="1"/>
        </w:rPr>
        <w:t xml:space="preserve">Vraag 11</w:t>
      </w:r>
      <w:r>
        <w:rPr/>
        <w:t xml:space="preserve">
          <w:br/>
Begrijpt u hoe moeilijk het is voor slachtoffers om met hun verhaal naar buiten te treden en aangifte te doen en dat het zelfs hertraumatiserend is als blijkt dat een aangifte tot niets leidt? Welke boodschap geeft dit aan andere slachtoffers volgens u?
        </w:t>
      </w:r>
      <w:r>
        <w:br/>
      </w:r>
    </w:p>
    <w:p>
      <w:r>
        <w:t xml:space="preserve"/>
      </w:r>
      <w:r>
        <w:rPr>
          <w:b w:val="1"/>
          <w:bCs w:val="1"/>
        </w:rPr>
        <w:t xml:space="preserve">Vraag 12</w:t>
      </w:r>
      <w:r>
        <w:rPr/>
        <w:t xml:space="preserve">
          <w:br/>
Bent u ervan bewust dat veel pijn bij slachtoffers zit in het feit dat mishandelingen die zij als kind meemaakten inmiddels zijn verjaard en daardoor vaak de erkenning ontbreekt voor wat zij hebben meegemaakt? Zo ja, bent u bereid om ook in navolging van de commissie De Winter meer te doen om slachtoffers te ondersteunen en te erkennen?
        </w:t>
      </w:r>
      <w:r>
        <w:br/>
      </w:r>
    </w:p>
    <w:p>
      <w:r>
        <w:t xml:space="preserve"> </w:t>
      </w:r>
      <w:r>
        <w:br/>
      </w:r>
    </w:p>
    <w:p>
      <w:r>
        <w:t xml:space="preserve"> </w:t>
      </w:r>
      <w:r>
        <w:br/>
      </w:r>
    </w:p>
    <w:p>
      <w:r>
        <w:t xml:space="preserve"> </w:t>
      </w:r>
      <w:r>
        <w:br/>
      </w:r>
    </w:p>
    <w:p>
      <w:r>
        <w:t xml:space="preserve">1) AD, 25 september 2024, 'Daisy deed aangifte van mishandeling in jeugdzorginstelling, maar wat ze meemaakte was ‘volgens protocol’' (Daisy deed aangifte van mishandeling in jeugdzorginstelling, maar wat ze meemaakte was ‘volgens protocol’ | Binnenland | AD.nl)</w:t>
      </w:r>
      <w:r>
        <w:br/>
      </w:r>
    </w:p>
    <w:p>
      <w:r>
        <w:t xml:space="preserve">2) AD, 23 augustus 2023, 'Niet geholpen, wel pijn gedaan: schokkend onderzoek bij jeugdzorginstelling' (Niet geholpen, wel pijn gedaan: schokkend onderzoek bij jeugdzorginstelling | Binnenland | AD.nl)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570">
    <w:abstractNumId w:val="100455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