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5A9" w:rsidP="009825A9" w:rsidRDefault="009825A9" w14:paraId="3E60F2CF" w14:textId="77777777">
      <w:r>
        <w:t>Met de brief van 14 maart jl.</w:t>
      </w:r>
      <w:r>
        <w:rPr>
          <w:rStyle w:val="Voetnootmarkering"/>
        </w:rPr>
        <w:footnoteReference w:id="1"/>
      </w:r>
      <w:r>
        <w:t xml:space="preserve"> is uw Kamer geïnformeerd over de stappen die worden gezet om de kwaliteit van het energielabel te verbeteren. Met deze brief worden de resultaten van de kwaliteitsmonitoringsrapportage over 2023 met de Kamer gedeeld. Tevens bevat de brief de uitkomsten van het tweede deel van het onderzoek naar de inzet van nieuwe technologieën voor een nauwkeuriger en betrouwbaarder energielabel. Deze brief gaat ook in op de stand van zaken van de energielabel C verplichting voor kantoren in Nederland, die op 1 januari 2023 in werking is getreden. </w:t>
      </w:r>
    </w:p>
    <w:p w:rsidR="009825A9" w:rsidP="009825A9" w:rsidRDefault="009825A9" w14:paraId="284FC6DE" w14:textId="77777777"/>
    <w:p w:rsidR="009825A9" w:rsidP="4679195D" w:rsidRDefault="4679195D" w14:paraId="178CFA0F" w14:textId="77777777">
      <w:pPr>
        <w:rPr>
          <w:b/>
          <w:bCs/>
        </w:rPr>
      </w:pPr>
      <w:r w:rsidRPr="4679195D">
        <w:rPr>
          <w:b/>
          <w:bCs/>
        </w:rPr>
        <w:t>Kwaliteit energielabel</w:t>
      </w:r>
    </w:p>
    <w:p w:rsidR="009825A9" w:rsidP="009825A9" w:rsidRDefault="009825A9" w14:paraId="1661C8E6" w14:textId="77777777"/>
    <w:p w:rsidR="009825A9" w:rsidP="4679195D" w:rsidRDefault="4679195D" w14:paraId="4064E2EA" w14:textId="77777777">
      <w:pPr>
        <w:rPr>
          <w:i/>
          <w:iCs/>
        </w:rPr>
      </w:pPr>
      <w:r w:rsidRPr="4679195D">
        <w:rPr>
          <w:i/>
          <w:iCs/>
        </w:rPr>
        <w:t>Kwaliteitsmonitoring</w:t>
      </w:r>
    </w:p>
    <w:p w:rsidR="009825A9" w:rsidP="009825A9" w:rsidRDefault="009825A9" w14:paraId="79621028" w14:textId="77777777">
      <w:r>
        <w:t xml:space="preserve">Op 22 mei jl. heb ik de resultaten van de kwaliteitsmonitoringsrapportage van het energielabel over 2023 ontvangen. Deze rapportage is bijgevoegd bij deze brief. De resultaten laten een beperkte verbetering zien in de kwaliteit van de opgenomen </w:t>
      </w:r>
      <w:proofErr w:type="spellStart"/>
      <w:r>
        <w:t>energielabels</w:t>
      </w:r>
      <w:proofErr w:type="spellEnd"/>
      <w:r>
        <w:t>. Dit onderstreept het belang van de reeds in gang gezette en de aangekondigde maatregelen om die kwaliteit van het energielabel te verhogen. In vergelijking met 2022 is het aantal kritieke afwijkingen bij woningen op hetzelfde niveau uitgekomen. Tijdens de controle zijn bij 7,2%</w:t>
      </w:r>
      <w:r>
        <w:rPr>
          <w:rStyle w:val="Voetnootmarkering"/>
        </w:rPr>
        <w:footnoteReference w:id="2"/>
      </w:r>
      <w:r>
        <w:t xml:space="preserve"> van de </w:t>
      </w:r>
      <w:proofErr w:type="spellStart"/>
      <w:r>
        <w:t>energielabels</w:t>
      </w:r>
      <w:proofErr w:type="spellEnd"/>
      <w:r>
        <w:t xml:space="preserve"> kritieke afwijkingen geconstateerd. In 2022 was dit ook 7,2% en in 2021 nog 14,2%. Bij utiliteitsgebouwen is het aantal kritieke afwijkingen wel afgenomen. Daar werden bij 9,6%</w:t>
      </w:r>
      <w:r>
        <w:rPr>
          <w:rStyle w:val="Voetnootmarkering"/>
        </w:rPr>
        <w:footnoteReference w:id="3"/>
      </w:r>
      <w:r>
        <w:t xml:space="preserve"> van de </w:t>
      </w:r>
      <w:proofErr w:type="spellStart"/>
      <w:r>
        <w:t>energielabels</w:t>
      </w:r>
      <w:proofErr w:type="spellEnd"/>
      <w:r>
        <w:t xml:space="preserve"> kritieke afwijkingen geconstateerd. In 2022 was dit 10,7% en in 2021 10,8%.</w:t>
      </w:r>
      <w:r>
        <w:rPr>
          <w:rStyle w:val="Voetnootmarkering"/>
        </w:rPr>
        <w:footnoteReference w:id="4"/>
      </w:r>
    </w:p>
    <w:p w:rsidR="009825A9" w:rsidP="009825A9" w:rsidRDefault="009825A9" w14:paraId="4212D6FA" w14:textId="77777777"/>
    <w:p w:rsidR="009825A9" w:rsidP="009825A9" w:rsidRDefault="009825A9" w14:paraId="67CE05D1" w14:textId="77777777">
      <w:r>
        <w:t xml:space="preserve">Om de kwaliteit van </w:t>
      </w:r>
      <w:proofErr w:type="spellStart"/>
      <w:r>
        <w:t>energielabels</w:t>
      </w:r>
      <w:proofErr w:type="spellEnd"/>
      <w:r>
        <w:t xml:space="preserve"> te verbeteren is ingezet op verschillende maatregelen zoals beschreven in de Kamerbrief van 14 maart jl. Per 1 juli 2024 </w:t>
      </w:r>
      <w:r>
        <w:lastRenderedPageBreak/>
        <w:t>zijn de nieuwe beoordelingsrichtlijnen</w:t>
      </w:r>
      <w:r>
        <w:rPr>
          <w:rStyle w:val="Voetnootmarkering"/>
        </w:rPr>
        <w:footnoteReference w:id="5"/>
      </w:r>
      <w:r>
        <w:t xml:space="preserve"> van kracht geworden waarin verschillende maatregelen zijn opgenomen, zoals de vergrote steekproef en de extra vervolgcontroles bij fouten. Daarnaast werk ik momenteel aan </w:t>
      </w:r>
      <w:r w:rsidRPr="00FD001F" w:rsidR="00FD001F">
        <w:t xml:space="preserve">wetgeving </w:t>
      </w:r>
      <w:r>
        <w:t xml:space="preserve">waarin </w:t>
      </w:r>
      <w:r w:rsidRPr="00FD001F" w:rsidR="00FD001F">
        <w:t xml:space="preserve">publiekrechtelijk toezicht op dit </w:t>
      </w:r>
      <w:r w:rsidR="00FD001F">
        <w:t xml:space="preserve">stelsel </w:t>
      </w:r>
      <w:r>
        <w:t xml:space="preserve">zal </w:t>
      </w:r>
      <w:r w:rsidR="00FD001F">
        <w:t>worden opgenomen</w:t>
      </w:r>
      <w:r>
        <w:t xml:space="preserve">. </w:t>
      </w:r>
    </w:p>
    <w:p w:rsidR="009825A9" w:rsidP="009825A9" w:rsidRDefault="009825A9" w14:paraId="65C20A53" w14:textId="77777777"/>
    <w:p w:rsidR="009825A9" w:rsidP="009825A9" w:rsidRDefault="009825A9" w14:paraId="60130577" w14:textId="77777777">
      <w:r>
        <w:t>De nadere analyse van de resultaten laat zien dat een groot deel van de kritieke afwijkingen afkomstig is van enkele slecht presterende certificaathouders</w:t>
      </w:r>
      <w:r>
        <w:rPr>
          <w:rStyle w:val="Voetnootmarkering"/>
        </w:rPr>
        <w:footnoteReference w:id="6"/>
      </w:r>
      <w:r>
        <w:t xml:space="preserve">, die zwaar drukken op het percentage kritieke afwijkingen. Ik zal in gesprek gaan met de partijen in het kwaliteitsborgingstelsel hoe we de focus van het toezicht meer kunnen verleggen naar slecht presterende adviseurs en certificaathouders. </w:t>
      </w:r>
    </w:p>
    <w:p w:rsidR="009825A9" w:rsidP="009825A9" w:rsidRDefault="009825A9" w14:paraId="54C594F9" w14:textId="77777777"/>
    <w:p w:rsidR="009825A9" w:rsidP="4679195D" w:rsidRDefault="4679195D" w14:paraId="3AF10021" w14:textId="77777777">
      <w:pPr>
        <w:pStyle w:val="Geenafstand"/>
        <w:rPr>
          <w:b/>
          <w:bCs/>
        </w:rPr>
      </w:pPr>
      <w:r w:rsidRPr="4679195D">
        <w:rPr>
          <w:b/>
          <w:bCs/>
        </w:rPr>
        <w:t xml:space="preserve">Onderzoek technologieën die kunnen bijdragen aan een betrouwbaar en nauwkeurig energielabel </w:t>
      </w:r>
    </w:p>
    <w:p w:rsidR="009825A9" w:rsidP="009825A9" w:rsidRDefault="009825A9" w14:paraId="4A9ECC80" w14:textId="77777777">
      <w:pPr>
        <w:pStyle w:val="Geenafstand"/>
        <w:rPr>
          <w:b/>
          <w:bCs/>
        </w:rPr>
      </w:pPr>
    </w:p>
    <w:p w:rsidR="009825A9" w:rsidP="4679195D" w:rsidRDefault="009825A9" w14:paraId="49183486" w14:textId="77777777">
      <w:pPr>
        <w:rPr>
          <w:rFonts w:cs="Calibri"/>
        </w:rPr>
      </w:pPr>
      <w:r>
        <w:rPr>
          <w:rFonts w:cs="Calibri"/>
        </w:rPr>
        <w:t>Op verzoek van de Kamer is onderzoek uitgevoerd naar nieuwe technologieën die kunnen bijdragen aan een betrouwbaar en nauwkeurig energielabel. Daarmee wordt invulling gegeven aan de motie van de leden De Groot en Beckerman</w:t>
      </w:r>
      <w:r>
        <w:rPr>
          <w:rStyle w:val="Voetnootmarkering"/>
          <w:rFonts w:cs="Calibri"/>
        </w:rPr>
        <w:footnoteReference w:id="7"/>
      </w:r>
      <w:r>
        <w:rPr>
          <w:rFonts w:cs="Calibri"/>
        </w:rPr>
        <w:t>. In de brief van 14 maart jl. heb ik de resultaten van het eerste deel, een brede verkenning naar kansrijke technologieën, met de Kamer gedeeld. Het tweede deel van het onderzoek over het inzetten van gemeten data voor het energielabel is afgerond en is bijgevoegd bij deze brief.</w:t>
      </w:r>
    </w:p>
    <w:p w:rsidR="009825A9" w:rsidP="009825A9" w:rsidRDefault="009825A9" w14:paraId="40A3D358" w14:textId="77777777">
      <w:pPr>
        <w:rPr>
          <w:rFonts w:cs="Calibri"/>
        </w:rPr>
      </w:pPr>
    </w:p>
    <w:p w:rsidRPr="00BC0EB9" w:rsidR="009825A9" w:rsidP="4679195D" w:rsidRDefault="4679195D" w14:paraId="67EFA890" w14:textId="77777777">
      <w:pPr>
        <w:rPr>
          <w:rFonts w:cs="Calibri"/>
        </w:rPr>
      </w:pPr>
      <w:r w:rsidRPr="4679195D">
        <w:rPr>
          <w:rFonts w:cs="Calibri"/>
        </w:rPr>
        <w:t>De conclusie van het eerste deel van het onderzoek is dat veel van de technologieën nog niet voldoende zijn doorontwikkeld om op grote schaal in te zetten. Andere belemmeringen zijn de hoge kosten en privacywetgeving. Een kansrijke toepassing die ik de komende tijd verder zal uitwerken is een automatische controle op de juistheid van de invoerdata door de opnamesoftware en via de energielabeldatabase (EP-online).</w:t>
      </w:r>
    </w:p>
    <w:p w:rsidR="009825A9" w:rsidP="009825A9" w:rsidRDefault="009825A9" w14:paraId="70229518" w14:textId="77777777">
      <w:pPr>
        <w:rPr>
          <w:rFonts w:cs="Calibri"/>
          <w:b/>
          <w:bCs/>
          <w:highlight w:val="yellow"/>
        </w:rPr>
      </w:pPr>
    </w:p>
    <w:p w:rsidR="009825A9" w:rsidP="4679195D" w:rsidRDefault="4679195D" w14:paraId="79BEB26D" w14:textId="77777777">
      <w:pPr>
        <w:rPr>
          <w:rFonts w:cs="Calibri"/>
        </w:rPr>
      </w:pPr>
      <w:r w:rsidRPr="4679195D">
        <w:rPr>
          <w:rFonts w:cs="Calibri"/>
        </w:rPr>
        <w:t xml:space="preserve">In het tweede deel is nog aanvullend gekeken hoe andere EU lidstaten gemeten data benutten </w:t>
      </w:r>
      <w:r>
        <w:t xml:space="preserve">bij het opnemen of verifiëren van het energielabel. </w:t>
      </w:r>
      <w:r w:rsidRPr="4679195D">
        <w:rPr>
          <w:rFonts w:cs="Calibri"/>
        </w:rPr>
        <w:t xml:space="preserve">Het onderzoek laat zien dat gemeten data bij andere EU-lidstaten op verschillende manieren wordt ingezet: ter verbetering van aannames in de onderliggende rekenmethodiek, als aanvulling of als ondersteuning bij de opname of om het energielabel in zijn geheel daarop te baseren. </w:t>
      </w:r>
    </w:p>
    <w:p w:rsidR="009825A9" w:rsidP="009825A9" w:rsidRDefault="009825A9" w14:paraId="23CFF16A" w14:textId="77777777"/>
    <w:p w:rsidR="009825A9" w:rsidP="4679195D" w:rsidRDefault="4679195D" w14:paraId="7B6D460C" w14:textId="77777777">
      <w:pPr>
        <w:rPr>
          <w:rFonts w:cs="Calibri"/>
        </w:rPr>
      </w:pPr>
      <w:r>
        <w:t xml:space="preserve">De Nederlandse bepalingsmethode (NTA8800) is theoretisch, dat wil zeggen dat er geen werkelijke energiegebruiksgegevens als invoerdata worden gebruikt. Hiervoor is gekozen omdat zo de energieprestatie van een woning beter vergeleken kan worden met andere woningen. De energieprestatie, en daarmee de hoogte van het energielabel, wordt hiermee namelijk niet vertekend door bijvoorbeeld het stookgedrag, de gezinsgrootte en het gebruik van huishoudelijke </w:t>
      </w:r>
      <w:r>
        <w:lastRenderedPageBreak/>
        <w:t xml:space="preserve">apparaten. </w:t>
      </w:r>
      <w:r w:rsidRPr="4679195D">
        <w:rPr>
          <w:rFonts w:cs="Calibri"/>
        </w:rPr>
        <w:t xml:space="preserve">De conclusie van het onderzoek is dat voor de Nederlandse bepalingsmethode de inzet van meetdata ter verbetering van aannames in de rekenmethodiek een bijdrage kan leveren aan de nauwkeurigheid van het energielabel. </w:t>
      </w:r>
      <w:r w:rsidR="009825A9">
        <w:br/>
      </w:r>
      <w:r w:rsidR="009825A9">
        <w:br/>
      </w:r>
      <w:r w:rsidRPr="4679195D">
        <w:rPr>
          <w:rFonts w:cs="Calibri"/>
        </w:rPr>
        <w:t>Omdat het doorvoeren van aanpassingen in de bepalingsmethode kan zorgen voor verschuivingen in de hoogte van het energielabel van gebouwen, neem ik deze aanbeveling mee bij de ontwikkeling van een nieuwe bepalingsmethode. De implementatie van de recente Energy Performance of Buildings Directive (EPBD IV) vereist een wijziging van de energielabelklasseindeling vanaf 2030. Ik ben voornemens dit gelijktijdig met een wijziging van de bepalingsmethode</w:t>
      </w:r>
      <w:r>
        <w:t xml:space="preserve"> </w:t>
      </w:r>
      <w:r w:rsidRPr="4679195D">
        <w:rPr>
          <w:rFonts w:cs="Calibri"/>
        </w:rPr>
        <w:t xml:space="preserve">in te voeren om het aantal grote wijzigingen en verschuivingen in </w:t>
      </w:r>
      <w:proofErr w:type="spellStart"/>
      <w:r w:rsidRPr="4679195D">
        <w:rPr>
          <w:rFonts w:cs="Calibri"/>
        </w:rPr>
        <w:t>energielabels</w:t>
      </w:r>
      <w:proofErr w:type="spellEnd"/>
      <w:r w:rsidRPr="4679195D">
        <w:rPr>
          <w:rFonts w:cs="Calibri"/>
        </w:rPr>
        <w:t xml:space="preserve">, en daarmee de onduidelijkheid voor gebouweigenaren en huurders, te beperken. </w:t>
      </w:r>
    </w:p>
    <w:p w:rsidRPr="00BD292F" w:rsidR="009825A9" w:rsidP="009825A9" w:rsidRDefault="009825A9" w14:paraId="2A2532B2" w14:textId="77777777">
      <w:pPr>
        <w:pStyle w:val="WitregelW1bodytekst"/>
      </w:pPr>
      <w:r w:rsidRPr="00BD292F">
        <w:t xml:space="preserve"> </w:t>
      </w:r>
    </w:p>
    <w:p w:rsidRPr="00BD292F" w:rsidR="009825A9" w:rsidP="4679195D" w:rsidRDefault="4679195D" w14:paraId="7016A5B6" w14:textId="77777777">
      <w:pPr>
        <w:autoSpaceDN/>
        <w:spacing w:after="160" w:line="259" w:lineRule="auto"/>
        <w:textAlignment w:val="auto"/>
        <w:rPr>
          <w:rFonts w:eastAsiaTheme="minorEastAsia" w:cstheme="minorBidi"/>
          <w:b/>
          <w:bCs/>
          <w:color w:val="auto"/>
          <w:lang w:eastAsia="en-US"/>
        </w:rPr>
      </w:pPr>
      <w:r w:rsidRPr="4679195D">
        <w:rPr>
          <w:rFonts w:eastAsiaTheme="minorEastAsia" w:cstheme="minorBidi"/>
          <w:b/>
          <w:bCs/>
          <w:color w:val="auto"/>
          <w:lang w:eastAsia="en-US"/>
        </w:rPr>
        <w:t xml:space="preserve">Stand van zaken energielabel C verplichting Nederlandse kantorenvoorraad </w:t>
      </w:r>
    </w:p>
    <w:p w:rsidRPr="00BD292F" w:rsidR="009825A9" w:rsidP="4679195D" w:rsidRDefault="009825A9" w14:paraId="2FE02929" w14:textId="77777777">
      <w:pPr>
        <w:autoSpaceDN/>
        <w:spacing w:after="160" w:line="259" w:lineRule="auto"/>
        <w:textAlignment w:val="auto"/>
        <w:rPr>
          <w:rFonts w:eastAsiaTheme="minorEastAsia" w:cstheme="minorBidi"/>
          <w:color w:val="auto"/>
          <w:lang w:eastAsia="en-US"/>
        </w:rPr>
      </w:pPr>
      <w:r w:rsidRPr="4679195D">
        <w:rPr>
          <w:rFonts w:eastAsiaTheme="minorEastAsia" w:cstheme="minorBidi"/>
          <w:color w:val="auto"/>
          <w:lang w:eastAsia="en-US"/>
        </w:rPr>
        <w:t xml:space="preserve">Sinds 1 januari 2023 geldt de verplichting dat kantoren minimaal energielabel C moeten hebben. Bij deze treft u de stand van zaken bij de Nederlandse kantorenvoorraad aan. Hierbij zoom ik naar aanleiding van de motie </w:t>
      </w:r>
      <w:proofErr w:type="spellStart"/>
      <w:r w:rsidRPr="4679195D">
        <w:rPr>
          <w:rFonts w:eastAsiaTheme="minorEastAsia" w:cstheme="minorBidi"/>
          <w:color w:val="auto"/>
          <w:lang w:eastAsia="en-US"/>
        </w:rPr>
        <w:t>Kröger</w:t>
      </w:r>
      <w:proofErr w:type="spellEnd"/>
      <w:r w:rsidRPr="4679195D">
        <w:rPr>
          <w:rStyle w:val="Voetnootmarkering"/>
          <w:rFonts w:eastAsiaTheme="minorEastAsia" w:cstheme="minorBidi"/>
          <w:color w:val="auto"/>
          <w:lang w:eastAsia="en-US"/>
        </w:rPr>
        <w:footnoteReference w:id="8"/>
      </w:r>
      <w:r w:rsidRPr="4679195D">
        <w:rPr>
          <w:rFonts w:eastAsiaTheme="minorEastAsia" w:cstheme="minorBidi"/>
          <w:color w:val="auto"/>
          <w:lang w:eastAsia="en-US"/>
        </w:rPr>
        <w:t xml:space="preserve"> specifiek in op de kantoren van de Rijksoverheid.</w:t>
      </w:r>
    </w:p>
    <w:p w:rsidRPr="00BD292F" w:rsidR="009825A9" w:rsidP="4679195D" w:rsidRDefault="4679195D" w14:paraId="4597CF0E" w14:textId="77777777">
      <w:pPr>
        <w:autoSpaceDN/>
        <w:spacing w:line="259" w:lineRule="auto"/>
        <w:textAlignment w:val="auto"/>
        <w:rPr>
          <w:rFonts w:eastAsiaTheme="minorEastAsia" w:cstheme="minorBidi"/>
          <w:color w:val="auto"/>
          <w:u w:val="single"/>
          <w:lang w:eastAsia="en-US"/>
        </w:rPr>
      </w:pPr>
      <w:r w:rsidRPr="4679195D">
        <w:rPr>
          <w:rFonts w:eastAsiaTheme="minorEastAsia" w:cstheme="minorBidi"/>
          <w:color w:val="auto"/>
          <w:u w:val="single"/>
          <w:lang w:eastAsia="en-US"/>
        </w:rPr>
        <w:t>Stand van zaken Nederland</w:t>
      </w:r>
    </w:p>
    <w:p w:rsidRPr="00BD292F" w:rsidR="009825A9" w:rsidP="4679195D" w:rsidRDefault="009825A9" w14:paraId="6BEF18A9" w14:textId="77777777">
      <w:pPr>
        <w:autoSpaceDN/>
        <w:spacing w:after="160" w:line="259" w:lineRule="auto"/>
        <w:textAlignment w:val="auto"/>
        <w:rPr>
          <w:rFonts w:eastAsiaTheme="minorEastAsia" w:cstheme="minorBidi"/>
          <w:color w:val="auto"/>
          <w:lang w:eastAsia="en-US"/>
        </w:rPr>
      </w:pPr>
      <w:r>
        <w:rPr>
          <w:noProof/>
        </w:rPr>
        <w:drawing>
          <wp:anchor distT="0" distB="0" distL="114300" distR="114300" simplePos="0" relativeHeight="251659264" behindDoc="1" locked="0" layoutInCell="1" allowOverlap="1" wp14:editId="1DF33464" wp14:anchorId="61D0AFC0">
            <wp:simplePos x="0" y="0"/>
            <wp:positionH relativeFrom="margin">
              <wp:align>left</wp:align>
            </wp:positionH>
            <wp:positionV relativeFrom="paragraph">
              <wp:posOffset>905510</wp:posOffset>
            </wp:positionV>
            <wp:extent cx="5237480" cy="843280"/>
            <wp:effectExtent l="0" t="0" r="1270" b="0"/>
            <wp:wrapTopAndBottom/>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37480" cy="843280"/>
                    </a:xfrm>
                    <a:prstGeom prst="rect">
                      <a:avLst/>
                    </a:prstGeom>
                  </pic:spPr>
                </pic:pic>
              </a:graphicData>
            </a:graphic>
            <wp14:sizeRelH relativeFrom="margin">
              <wp14:pctWidth>0</wp14:pctWidth>
            </wp14:sizeRelH>
            <wp14:sizeRelV relativeFrom="margin">
              <wp14:pctHeight>0</wp14:pctHeight>
            </wp14:sizeRelV>
          </wp:anchor>
        </w:drawing>
      </w:r>
      <w:r w:rsidRPr="4679195D">
        <w:rPr>
          <w:rFonts w:eastAsiaTheme="minorEastAsia" w:cstheme="minorBidi"/>
          <w:color w:val="auto"/>
          <w:lang w:eastAsia="en-US"/>
        </w:rPr>
        <w:t xml:space="preserve">Het aantal kantoren met een energielabel C of beter is sinds de bekendmaking van de verplichting in de Staatscourant in 2018 sterk verbeterd. Door RVO is de afgelopen jaren gemonitord hoe het stond met de kantorenvoorraad op basis van gegevens uit de energielabeldatabase (EP-online), de Basisadministratie gebouwen (BAG) en de Waardering onroerende zaken (WOZ). </w:t>
      </w:r>
    </w:p>
    <w:p w:rsidR="00300F97" w:rsidRDefault="00AD2E8C" w14:paraId="4E91FDA9" w14:textId="77777777">
      <w:pPr>
        <w:keepNext/>
        <w:autoSpaceDN/>
        <w:spacing w:after="160" w:line="259" w:lineRule="auto"/>
        <w:textAlignment w:val="auto"/>
        <w:rPr>
          <w:rFonts w:eastAsiaTheme="minorEastAsia" w:cstheme="minorBidi"/>
          <w:i/>
          <w:iCs/>
          <w:color w:val="44546A" w:themeColor="text2"/>
          <w:lang w:eastAsia="en-US"/>
        </w:rPr>
      </w:pPr>
      <w:r>
        <w:rPr>
          <w:noProof/>
        </w:rPr>
        <w:t xml:space="preserve"> </w:t>
      </w:r>
      <w:r>
        <w:rPr>
          <w:rFonts w:eastAsiaTheme="minorEastAsia" w:cstheme="minorBidi"/>
          <w:i/>
          <w:iCs/>
          <w:color w:val="44546A" w:themeColor="text2"/>
          <w:lang w:eastAsia="en-US"/>
        </w:rPr>
        <w:t xml:space="preserve">Figuur </w:t>
      </w:r>
      <w:r>
        <w:rPr>
          <w:rFonts w:eastAsiaTheme="minorHAnsi" w:cstheme="minorBidi"/>
          <w:i/>
          <w:iCs/>
          <w:color w:val="44546A" w:themeColor="text2"/>
          <w:lang w:eastAsia="en-US"/>
        </w:rPr>
        <w:fldChar w:fldCharType="begin"/>
      </w:r>
      <w:r>
        <w:rPr>
          <w:rFonts w:eastAsiaTheme="minorHAnsi" w:cstheme="minorBidi"/>
          <w:i/>
          <w:iCs/>
          <w:color w:val="44546A" w:themeColor="text2"/>
          <w:lang w:eastAsia="en-US"/>
        </w:rPr>
        <w:instrText xml:space="preserve"> SEQ Figuur \* ARABIC </w:instrText>
      </w:r>
      <w:r>
        <w:rPr>
          <w:rFonts w:eastAsiaTheme="minorHAnsi" w:cstheme="minorBidi"/>
          <w:i/>
          <w:iCs/>
          <w:color w:val="44546A" w:themeColor="text2"/>
          <w:lang w:eastAsia="en-US"/>
        </w:rPr>
        <w:fldChar w:fldCharType="separate"/>
      </w:r>
      <w:r>
        <w:t>1</w:t>
      </w:r>
      <w:r>
        <w:fldChar w:fldCharType="end"/>
      </w:r>
      <w:r>
        <w:rPr>
          <w:rFonts w:eastAsiaTheme="minorEastAsia" w:cstheme="minorBidi"/>
          <w:i/>
          <w:iCs/>
          <w:color w:val="44546A" w:themeColor="text2"/>
          <w:lang w:eastAsia="en-US"/>
        </w:rPr>
        <w:t>: Aantal objecten/adressen in labelpercentages (RVO, juli 2024)</w:t>
      </w:r>
    </w:p>
    <w:p w:rsidRPr="00BD292F" w:rsidR="009825A9" w:rsidP="4679195D" w:rsidRDefault="4679195D" w14:paraId="51BD1662" w14:textId="77777777">
      <w:pPr>
        <w:autoSpaceDN/>
        <w:spacing w:after="160" w:line="259" w:lineRule="auto"/>
        <w:textAlignment w:val="auto"/>
        <w:rPr>
          <w:rFonts w:eastAsiaTheme="minorEastAsia" w:cstheme="minorBidi"/>
          <w:color w:val="auto"/>
          <w:lang w:eastAsia="en-US"/>
        </w:rPr>
      </w:pPr>
      <w:r w:rsidRPr="4679195D">
        <w:rPr>
          <w:rFonts w:eastAsiaTheme="minorEastAsia" w:cstheme="minorBidi"/>
          <w:color w:val="auto"/>
          <w:lang w:eastAsia="en-US"/>
        </w:rPr>
        <w:t>Per 1 juli 2024 voldoet ongeveer 64% van de verwachte energielabel C plichtige kantoren in Nederland en heeft dus een label A+++++ t/m C (groen label). 9% heeft nog een label D t/m G (rood label) en 27% heeft geen label.</w:t>
      </w:r>
    </w:p>
    <w:p w:rsidR="00300F97" w:rsidRDefault="00AD2E8C" w14:paraId="5E108D35" w14:textId="77777777">
      <w:pPr>
        <w:keepNext/>
        <w:autoSpaceDN/>
        <w:spacing w:after="160" w:line="259" w:lineRule="auto"/>
        <w:textAlignment w:val="auto"/>
        <w:rPr>
          <w:rFonts w:eastAsiaTheme="minorEastAsia" w:cstheme="minorBidi"/>
          <w:i/>
          <w:iCs/>
          <w:color w:val="44546A" w:themeColor="text2"/>
          <w:lang w:eastAsia="en-US"/>
        </w:rPr>
      </w:pPr>
      <w:r>
        <w:rPr>
          <w:noProof/>
        </w:rPr>
        <w:drawing>
          <wp:inline distT="0" distB="0" distL="0" distR="0" wp14:anchorId="162D996D" wp14:editId="6E63ADCE">
            <wp:extent cx="5139925" cy="834390"/>
            <wp:effectExtent l="0" t="0" r="3810" b="381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45891" cy="835359"/>
                    </a:xfrm>
                    <a:prstGeom prst="rect">
                      <a:avLst/>
                    </a:prstGeom>
                  </pic:spPr>
                </pic:pic>
              </a:graphicData>
            </a:graphic>
          </wp:inline>
        </w:drawing>
      </w:r>
      <w:r>
        <w:rPr>
          <w:rFonts w:eastAsiaTheme="minorEastAsia" w:cstheme="minorBidi"/>
          <w:i/>
          <w:iCs/>
          <w:color w:val="44546A" w:themeColor="text2"/>
          <w:lang w:eastAsia="en-US"/>
        </w:rPr>
        <w:t xml:space="preserve">Figuur </w:t>
      </w:r>
      <w:r>
        <w:rPr>
          <w:rFonts w:eastAsiaTheme="minorHAnsi" w:cstheme="minorBidi"/>
          <w:i/>
          <w:iCs/>
          <w:color w:val="44546A" w:themeColor="text2"/>
          <w:lang w:eastAsia="en-US"/>
        </w:rPr>
        <w:fldChar w:fldCharType="begin"/>
      </w:r>
      <w:r>
        <w:rPr>
          <w:rFonts w:eastAsiaTheme="minorHAnsi" w:cstheme="minorBidi"/>
          <w:i/>
          <w:iCs/>
          <w:color w:val="44546A" w:themeColor="text2"/>
          <w:lang w:eastAsia="en-US"/>
        </w:rPr>
        <w:instrText xml:space="preserve"> SEQ Figuur \* ARABIC </w:instrText>
      </w:r>
      <w:r>
        <w:rPr>
          <w:rFonts w:eastAsiaTheme="minorHAnsi" w:cstheme="minorBidi"/>
          <w:i/>
          <w:iCs/>
          <w:color w:val="44546A" w:themeColor="text2"/>
          <w:lang w:eastAsia="en-US"/>
        </w:rPr>
        <w:fldChar w:fldCharType="separate"/>
      </w:r>
      <w:r>
        <w:t>2</w:t>
      </w:r>
      <w:r>
        <w:fldChar w:fldCharType="end"/>
      </w:r>
      <w:r>
        <w:rPr>
          <w:rFonts w:eastAsiaTheme="minorEastAsia" w:cstheme="minorBidi"/>
          <w:i/>
          <w:iCs/>
          <w:color w:val="44546A" w:themeColor="text2"/>
          <w:lang w:eastAsia="en-US"/>
        </w:rPr>
        <w:t>: Labels uitgedrukt in percentages afgezet tegen de totale oppervlakte (RVO, juli 2024)</w:t>
      </w:r>
    </w:p>
    <w:p w:rsidRPr="00BD292F" w:rsidR="009825A9" w:rsidP="4679195D" w:rsidRDefault="4679195D" w14:paraId="3C0621C4" w14:textId="77777777">
      <w:pPr>
        <w:autoSpaceDN/>
        <w:spacing w:after="160" w:line="259" w:lineRule="auto"/>
        <w:textAlignment w:val="auto"/>
        <w:rPr>
          <w:rFonts w:eastAsiaTheme="minorEastAsia" w:cstheme="minorBidi"/>
          <w:color w:val="auto"/>
          <w:lang w:eastAsia="en-US"/>
        </w:rPr>
      </w:pPr>
      <w:r w:rsidRPr="4679195D">
        <w:rPr>
          <w:rFonts w:eastAsiaTheme="minorEastAsia" w:cstheme="minorBidi"/>
          <w:color w:val="auto"/>
          <w:lang w:eastAsia="en-US"/>
        </w:rPr>
        <w:t>Bovenstaand overzicht geeft een ander beeld als we de labelverdeling uitdrukken in het aantal vierkante meters gebruiksoppervlak dat voldoet aan deze verplichting, omdat met name grote kantoren al een groen label hebben. 78% van de vierkante meters kantoorruimte heeft dus minimaal label C.</w:t>
      </w:r>
    </w:p>
    <w:p w:rsidRPr="00BD292F" w:rsidR="009825A9" w:rsidP="4679195D" w:rsidRDefault="4679195D" w14:paraId="524A2B2D" w14:textId="77777777">
      <w:pPr>
        <w:autoSpaceDN/>
        <w:spacing w:line="259" w:lineRule="auto"/>
        <w:textAlignment w:val="auto"/>
        <w:rPr>
          <w:rFonts w:eastAsiaTheme="minorEastAsia" w:cstheme="minorBidi"/>
          <w:color w:val="auto"/>
          <w:u w:val="single"/>
          <w:lang w:eastAsia="en-US"/>
        </w:rPr>
      </w:pPr>
      <w:r w:rsidRPr="4679195D">
        <w:rPr>
          <w:rFonts w:eastAsiaTheme="minorEastAsia" w:cstheme="minorBidi"/>
          <w:color w:val="auto"/>
          <w:lang w:eastAsia="en-US"/>
        </w:rPr>
        <w:t xml:space="preserve">Door toezichthouders wordt bovendien aangegeven dat meer gebouwen voldoen aan de verplichting dan de data van RVO weergeven. Toezichthouders van gemeenten die hierover cijfers hebben aangeleverd geven aan dat in hun gemeente gemiddeld 81% van de kantoren reeds voldoet. Oorzaak van dit verschil kan bijvoorbeeld zijn dat de openbare gegevens van de BAG en de WOZ verouderde informatie bevatten en dat gebouwen soms niet meer als kantoor worden gebruikt. Om hier meer zicht op te krijgen laat ik onderzoeken welke gegevens er beschikbaar zijn vanuit de kantorenmarkt en of de monitoringscijfers hiermee aangescherpt kunnen worden. </w:t>
      </w:r>
    </w:p>
    <w:p w:rsidRPr="00BD292F" w:rsidR="009825A9" w:rsidP="009825A9" w:rsidRDefault="009825A9" w14:paraId="0267486D" w14:textId="77777777">
      <w:pPr>
        <w:autoSpaceDN/>
        <w:spacing w:line="259" w:lineRule="auto"/>
        <w:textAlignment w:val="auto"/>
        <w:rPr>
          <w:rFonts w:eastAsiaTheme="minorHAnsi" w:cstheme="minorBidi"/>
          <w:color w:val="auto"/>
          <w:u w:val="single"/>
          <w:lang w:eastAsia="en-US"/>
        </w:rPr>
      </w:pPr>
    </w:p>
    <w:p w:rsidRPr="00BD292F" w:rsidR="009825A9" w:rsidP="4679195D" w:rsidRDefault="4679195D" w14:paraId="4F52205D" w14:textId="77777777">
      <w:pPr>
        <w:autoSpaceDN/>
        <w:spacing w:line="259" w:lineRule="auto"/>
        <w:textAlignment w:val="auto"/>
        <w:rPr>
          <w:rFonts w:eastAsiaTheme="minorEastAsia" w:cstheme="minorBidi"/>
          <w:color w:val="auto"/>
          <w:u w:val="single"/>
          <w:lang w:eastAsia="en-US"/>
        </w:rPr>
      </w:pPr>
      <w:r w:rsidRPr="4679195D">
        <w:rPr>
          <w:rFonts w:eastAsiaTheme="minorEastAsia" w:cstheme="minorBidi"/>
          <w:color w:val="auto"/>
          <w:u w:val="single"/>
          <w:lang w:eastAsia="en-US"/>
        </w:rPr>
        <w:t>Stand van zaken rijksoverheid</w:t>
      </w:r>
    </w:p>
    <w:p w:rsidRPr="00BD292F" w:rsidR="009825A9" w:rsidP="4679195D" w:rsidRDefault="4679195D" w14:paraId="1CB0746B" w14:textId="77777777">
      <w:pPr>
        <w:autoSpaceDN/>
        <w:spacing w:after="160" w:line="259" w:lineRule="auto"/>
        <w:textAlignment w:val="auto"/>
        <w:rPr>
          <w:rFonts w:eastAsiaTheme="minorEastAsia" w:cstheme="minorBidi"/>
          <w:color w:val="auto"/>
          <w:lang w:eastAsia="en-US"/>
        </w:rPr>
      </w:pPr>
      <w:r w:rsidRPr="4679195D">
        <w:rPr>
          <w:rFonts w:eastAsiaTheme="minorEastAsia" w:cstheme="minorBidi"/>
          <w:color w:val="auto"/>
          <w:lang w:eastAsia="en-US"/>
        </w:rPr>
        <w:t>Onderstaande tabellen geven inzicht in de status van de kantorenvoorraad bij de rijksoverheid per juni 2024. Het gemiddelde energielabel binnen de gehele Rijksportefeuille is energielabel B bij 1.144 kantoren. Er is nog een groot aantal kantoren zonder energielabel. Deze bevinden zich vooral in de vastgoedportefeuille van Defensie: 503 van de 536 kantoren hebben daar geen energielabel.</w:t>
      </w:r>
    </w:p>
    <w:tbl>
      <w:tblPr>
        <w:tblW w:w="6950" w:type="dxa"/>
        <w:tblCellMar>
          <w:left w:w="70" w:type="dxa"/>
          <w:right w:w="70" w:type="dxa"/>
        </w:tblCellMar>
        <w:tblLook w:val="04A0" w:firstRow="1" w:lastRow="0" w:firstColumn="1" w:lastColumn="0" w:noHBand="0" w:noVBand="1"/>
      </w:tblPr>
      <w:tblGrid>
        <w:gridCol w:w="2259"/>
        <w:gridCol w:w="946"/>
        <w:gridCol w:w="1422"/>
        <w:gridCol w:w="1276"/>
        <w:gridCol w:w="1154"/>
      </w:tblGrid>
      <w:tr w:rsidRPr="00BD292F" w:rsidR="009825A9" w:rsidTr="4679195D" w14:paraId="3D4DAB64" w14:textId="77777777">
        <w:trPr>
          <w:trHeight w:val="291"/>
        </w:trPr>
        <w:tc>
          <w:tcPr>
            <w:tcW w:w="225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D292F" w:rsidR="009825A9" w:rsidP="002871C1" w:rsidRDefault="009825A9" w14:paraId="386EF52D" w14:textId="77777777">
            <w:pPr>
              <w:autoSpaceDN/>
              <w:spacing w:line="240" w:lineRule="auto"/>
              <w:textAlignment w:val="auto"/>
              <w:rPr>
                <w:rFonts w:eastAsia="Times New Roman" w:cs="Calibri"/>
                <w:b/>
                <w:bCs/>
              </w:rPr>
            </w:pPr>
          </w:p>
        </w:tc>
        <w:tc>
          <w:tcPr>
            <w:tcW w:w="839" w:type="dxa"/>
            <w:tcBorders>
              <w:top w:val="single" w:color="auto" w:sz="4" w:space="0"/>
              <w:left w:val="nil"/>
              <w:bottom w:val="single" w:color="auto" w:sz="4" w:space="0"/>
              <w:right w:val="single" w:color="auto" w:sz="4" w:space="0"/>
            </w:tcBorders>
          </w:tcPr>
          <w:p w:rsidRPr="00BD292F" w:rsidR="009825A9" w:rsidP="4679195D" w:rsidRDefault="4679195D" w14:paraId="13C0A40E" w14:textId="77777777">
            <w:pPr>
              <w:autoSpaceDN/>
              <w:spacing w:line="240" w:lineRule="auto"/>
              <w:textAlignment w:val="auto"/>
              <w:rPr>
                <w:rFonts w:eastAsia="Times New Roman" w:cs="Calibri"/>
                <w:i/>
                <w:iCs/>
                <w:color w:val="00B050"/>
              </w:rPr>
            </w:pPr>
            <w:r w:rsidRPr="4679195D">
              <w:rPr>
                <w:rFonts w:eastAsia="Times New Roman" w:cs="Calibri"/>
                <w:i/>
                <w:iCs/>
                <w:color w:val="auto"/>
              </w:rPr>
              <w:t>Aantal kantoren</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D292F" w:rsidR="009825A9" w:rsidP="4679195D" w:rsidRDefault="4679195D" w14:paraId="6062655B" w14:textId="77777777">
            <w:pPr>
              <w:autoSpaceDN/>
              <w:spacing w:line="240" w:lineRule="auto"/>
              <w:textAlignment w:val="auto"/>
              <w:rPr>
                <w:rFonts w:eastAsia="Times New Roman" w:cs="Calibri"/>
                <w:i/>
                <w:iCs/>
                <w:color w:val="00B050"/>
              </w:rPr>
            </w:pPr>
            <w:r w:rsidRPr="4679195D">
              <w:rPr>
                <w:rFonts w:eastAsia="Times New Roman" w:cs="Calibri"/>
                <w:i/>
                <w:iCs/>
                <w:color w:val="00B050"/>
              </w:rPr>
              <w:t>Groen label</w:t>
            </w:r>
          </w:p>
        </w:tc>
        <w:tc>
          <w:tcPr>
            <w:tcW w:w="1276" w:type="dxa"/>
            <w:tcBorders>
              <w:top w:val="single" w:color="auto" w:sz="4" w:space="0"/>
              <w:left w:val="nil"/>
              <w:bottom w:val="single" w:color="auto" w:sz="4" w:space="0"/>
              <w:right w:val="single" w:color="auto" w:sz="4" w:space="0"/>
            </w:tcBorders>
            <w:shd w:val="clear" w:color="auto" w:fill="auto"/>
            <w:noWrap/>
            <w:vAlign w:val="bottom"/>
            <w:hideMark/>
          </w:tcPr>
          <w:p w:rsidRPr="00BD292F" w:rsidR="009825A9" w:rsidP="4679195D" w:rsidRDefault="4679195D" w14:paraId="39D73DB5" w14:textId="77777777">
            <w:pPr>
              <w:autoSpaceDN/>
              <w:spacing w:line="240" w:lineRule="auto"/>
              <w:textAlignment w:val="auto"/>
              <w:rPr>
                <w:rFonts w:eastAsia="Times New Roman" w:cs="Calibri"/>
                <w:i/>
                <w:iCs/>
                <w:color w:val="FF0000"/>
              </w:rPr>
            </w:pPr>
            <w:r w:rsidRPr="4679195D">
              <w:rPr>
                <w:rFonts w:eastAsia="Times New Roman" w:cs="Calibri"/>
                <w:i/>
                <w:iCs/>
                <w:color w:val="FF0000"/>
              </w:rPr>
              <w:t>Rood label</w:t>
            </w:r>
          </w:p>
        </w:tc>
        <w:tc>
          <w:tcPr>
            <w:tcW w:w="1154" w:type="dxa"/>
            <w:tcBorders>
              <w:top w:val="single" w:color="auto" w:sz="4" w:space="0"/>
              <w:left w:val="nil"/>
              <w:bottom w:val="single" w:color="auto" w:sz="4" w:space="0"/>
              <w:right w:val="single" w:color="auto" w:sz="4" w:space="0"/>
            </w:tcBorders>
            <w:shd w:val="clear" w:color="auto" w:fill="auto"/>
            <w:noWrap/>
            <w:vAlign w:val="bottom"/>
            <w:hideMark/>
          </w:tcPr>
          <w:p w:rsidRPr="005A1C17" w:rsidR="009825A9" w:rsidP="4679195D" w:rsidRDefault="4679195D" w14:paraId="116726F1" w14:textId="77777777">
            <w:pPr>
              <w:autoSpaceDN/>
              <w:spacing w:line="240" w:lineRule="auto"/>
              <w:textAlignment w:val="auto"/>
              <w:rPr>
                <w:rFonts w:eastAsia="Times New Roman" w:cs="Calibri"/>
                <w:i/>
                <w:iCs/>
                <w:color w:val="auto"/>
              </w:rPr>
            </w:pPr>
            <w:r w:rsidRPr="4679195D">
              <w:rPr>
                <w:rFonts w:eastAsia="Times New Roman" w:cs="Calibri"/>
                <w:i/>
                <w:iCs/>
                <w:color w:val="auto"/>
              </w:rPr>
              <w:t>Geen label</w:t>
            </w:r>
          </w:p>
        </w:tc>
      </w:tr>
      <w:tr w:rsidRPr="00BD292F" w:rsidR="009825A9" w:rsidTr="4679195D" w14:paraId="40A0196A" w14:textId="77777777">
        <w:trPr>
          <w:trHeight w:val="70"/>
        </w:trPr>
        <w:tc>
          <w:tcPr>
            <w:tcW w:w="2259" w:type="dxa"/>
            <w:tcBorders>
              <w:top w:val="nil"/>
              <w:left w:val="single" w:color="auto" w:sz="4" w:space="0"/>
              <w:bottom w:val="single" w:color="auto" w:sz="4" w:space="0"/>
              <w:right w:val="single" w:color="auto" w:sz="4" w:space="0"/>
            </w:tcBorders>
            <w:shd w:val="clear" w:color="auto" w:fill="FFFFFF" w:themeFill="background1"/>
            <w:noWrap/>
            <w:vAlign w:val="bottom"/>
            <w:hideMark/>
          </w:tcPr>
          <w:p w:rsidRPr="00BD292F" w:rsidR="009825A9" w:rsidP="4679195D" w:rsidRDefault="4679195D" w14:paraId="67B4EBE0" w14:textId="77777777">
            <w:pPr>
              <w:autoSpaceDN/>
              <w:spacing w:line="240" w:lineRule="auto"/>
              <w:textAlignment w:val="auto"/>
              <w:rPr>
                <w:rFonts w:eastAsia="Times New Roman" w:cs="Calibri"/>
                <w:i/>
                <w:iCs/>
              </w:rPr>
            </w:pPr>
            <w:r w:rsidRPr="4679195D">
              <w:rPr>
                <w:rFonts w:eastAsia="Times New Roman" w:cs="Calibri"/>
                <w:i/>
                <w:iCs/>
              </w:rPr>
              <w:t>Politie</w:t>
            </w:r>
          </w:p>
        </w:tc>
        <w:tc>
          <w:tcPr>
            <w:tcW w:w="839" w:type="dxa"/>
            <w:tcBorders>
              <w:top w:val="single" w:color="auto" w:sz="4" w:space="0"/>
              <w:left w:val="nil"/>
              <w:bottom w:val="single" w:color="auto" w:sz="4" w:space="0"/>
              <w:right w:val="single" w:color="auto" w:sz="4" w:space="0"/>
            </w:tcBorders>
          </w:tcPr>
          <w:p w:rsidRPr="00BD292F" w:rsidR="009825A9" w:rsidP="4679195D" w:rsidRDefault="4679195D" w14:paraId="22C9D455" w14:textId="77777777">
            <w:pPr>
              <w:autoSpaceDN/>
              <w:spacing w:line="240" w:lineRule="auto"/>
              <w:textAlignment w:val="auto"/>
              <w:rPr>
                <w:rFonts w:eastAsia="Times New Roman" w:cs="Calibri"/>
                <w:i/>
                <w:iCs/>
              </w:rPr>
            </w:pPr>
            <w:r w:rsidRPr="4679195D">
              <w:rPr>
                <w:rFonts w:eastAsia="Times New Roman" w:cs="Calibri"/>
                <w:i/>
                <w:iCs/>
              </w:rPr>
              <w:t>312</w:t>
            </w:r>
          </w:p>
        </w:tc>
        <w:tc>
          <w:tcPr>
            <w:tcW w:w="1422" w:type="dxa"/>
            <w:tcBorders>
              <w:top w:val="nil"/>
              <w:left w:val="single" w:color="auto" w:sz="4" w:space="0"/>
              <w:bottom w:val="single" w:color="auto" w:sz="4" w:space="0"/>
              <w:right w:val="single" w:color="auto" w:sz="4" w:space="0"/>
            </w:tcBorders>
            <w:shd w:val="clear" w:color="auto" w:fill="auto"/>
            <w:noWrap/>
            <w:vAlign w:val="bottom"/>
            <w:hideMark/>
          </w:tcPr>
          <w:p w:rsidRPr="00BD292F" w:rsidR="009825A9" w:rsidP="4679195D" w:rsidRDefault="4679195D" w14:paraId="33E38032" w14:textId="77777777">
            <w:pPr>
              <w:autoSpaceDN/>
              <w:spacing w:line="240" w:lineRule="auto"/>
              <w:textAlignment w:val="auto"/>
              <w:rPr>
                <w:rFonts w:eastAsia="Times New Roman" w:cs="Calibri"/>
                <w:i/>
                <w:iCs/>
              </w:rPr>
            </w:pPr>
            <w:r w:rsidRPr="4679195D">
              <w:rPr>
                <w:rFonts w:eastAsia="Times New Roman" w:cs="Calibri"/>
                <w:i/>
                <w:iCs/>
              </w:rPr>
              <w:t>80%</w:t>
            </w:r>
          </w:p>
        </w:tc>
        <w:tc>
          <w:tcPr>
            <w:tcW w:w="1276" w:type="dxa"/>
            <w:tcBorders>
              <w:top w:val="nil"/>
              <w:left w:val="nil"/>
              <w:bottom w:val="single" w:color="auto" w:sz="4" w:space="0"/>
              <w:right w:val="single" w:color="auto" w:sz="4" w:space="0"/>
            </w:tcBorders>
            <w:shd w:val="clear" w:color="auto" w:fill="auto"/>
            <w:noWrap/>
            <w:vAlign w:val="bottom"/>
            <w:hideMark/>
          </w:tcPr>
          <w:p w:rsidRPr="00BD292F" w:rsidR="009825A9" w:rsidP="4679195D" w:rsidRDefault="4679195D" w14:paraId="39B9C44C" w14:textId="77777777">
            <w:pPr>
              <w:autoSpaceDN/>
              <w:spacing w:line="240" w:lineRule="auto"/>
              <w:textAlignment w:val="auto"/>
              <w:rPr>
                <w:rFonts w:eastAsia="Times New Roman" w:cs="Calibri"/>
                <w:i/>
                <w:iCs/>
              </w:rPr>
            </w:pPr>
            <w:r w:rsidRPr="4679195D">
              <w:rPr>
                <w:rFonts w:eastAsia="Times New Roman" w:cs="Calibri"/>
                <w:i/>
                <w:iCs/>
              </w:rPr>
              <w:t>20%</w:t>
            </w:r>
          </w:p>
        </w:tc>
        <w:tc>
          <w:tcPr>
            <w:tcW w:w="1154" w:type="dxa"/>
            <w:tcBorders>
              <w:top w:val="nil"/>
              <w:left w:val="nil"/>
              <w:bottom w:val="single" w:color="auto" w:sz="4" w:space="0"/>
              <w:right w:val="single" w:color="auto" w:sz="4" w:space="0"/>
            </w:tcBorders>
            <w:shd w:val="clear" w:color="auto" w:fill="auto"/>
            <w:noWrap/>
            <w:vAlign w:val="bottom"/>
            <w:hideMark/>
          </w:tcPr>
          <w:p w:rsidRPr="00BD292F" w:rsidR="009825A9" w:rsidP="4679195D" w:rsidRDefault="4679195D" w14:paraId="26AC720D" w14:textId="77777777">
            <w:pPr>
              <w:autoSpaceDN/>
              <w:spacing w:line="240" w:lineRule="auto"/>
              <w:textAlignment w:val="auto"/>
              <w:rPr>
                <w:rFonts w:eastAsia="Times New Roman" w:cs="Calibri"/>
                <w:i/>
                <w:iCs/>
              </w:rPr>
            </w:pPr>
            <w:r w:rsidRPr="4679195D">
              <w:rPr>
                <w:rFonts w:eastAsia="Times New Roman" w:cs="Calibri"/>
                <w:i/>
                <w:iCs/>
              </w:rPr>
              <w:t>1%</w:t>
            </w:r>
          </w:p>
        </w:tc>
      </w:tr>
      <w:tr w:rsidRPr="00B154C4" w:rsidR="009825A9" w:rsidTr="4679195D" w14:paraId="3A1B1FF7" w14:textId="77777777">
        <w:trPr>
          <w:trHeight w:val="70"/>
        </w:trPr>
        <w:tc>
          <w:tcPr>
            <w:tcW w:w="2259" w:type="dxa"/>
            <w:tcBorders>
              <w:top w:val="nil"/>
              <w:left w:val="single" w:color="auto" w:sz="4" w:space="0"/>
              <w:bottom w:val="single" w:color="auto" w:sz="4" w:space="0"/>
              <w:right w:val="single" w:color="auto" w:sz="4" w:space="0"/>
            </w:tcBorders>
            <w:shd w:val="clear" w:color="auto" w:fill="FFFFFF" w:themeFill="background1"/>
            <w:noWrap/>
            <w:vAlign w:val="bottom"/>
            <w:hideMark/>
          </w:tcPr>
          <w:p w:rsidRPr="00B154C4" w:rsidR="009825A9" w:rsidP="4679195D" w:rsidRDefault="4679195D" w14:paraId="58FBD64A" w14:textId="77777777">
            <w:pPr>
              <w:autoSpaceDN/>
              <w:spacing w:line="240" w:lineRule="auto"/>
              <w:textAlignment w:val="auto"/>
              <w:rPr>
                <w:rFonts w:eastAsia="Times New Roman" w:cs="Calibri"/>
                <w:i/>
                <w:iCs/>
              </w:rPr>
            </w:pPr>
            <w:r w:rsidRPr="4679195D">
              <w:rPr>
                <w:rFonts w:eastAsia="Times New Roman" w:cs="Calibri"/>
                <w:i/>
                <w:iCs/>
              </w:rPr>
              <w:t>Rijksvastgoedbedrijf</w:t>
            </w:r>
          </w:p>
        </w:tc>
        <w:tc>
          <w:tcPr>
            <w:tcW w:w="839" w:type="dxa"/>
            <w:tcBorders>
              <w:top w:val="single" w:color="auto" w:sz="4" w:space="0"/>
              <w:left w:val="nil"/>
              <w:bottom w:val="single" w:color="auto" w:sz="4" w:space="0"/>
              <w:right w:val="single" w:color="auto" w:sz="4" w:space="0"/>
            </w:tcBorders>
          </w:tcPr>
          <w:p w:rsidRPr="00B154C4" w:rsidR="009825A9" w:rsidP="4679195D" w:rsidRDefault="4679195D" w14:paraId="5058CC78" w14:textId="77777777">
            <w:pPr>
              <w:autoSpaceDN/>
              <w:spacing w:line="240" w:lineRule="auto"/>
              <w:textAlignment w:val="auto"/>
              <w:rPr>
                <w:rFonts w:eastAsia="Times New Roman" w:cs="Calibri"/>
              </w:rPr>
            </w:pPr>
            <w:r w:rsidRPr="4679195D">
              <w:rPr>
                <w:rFonts w:eastAsia="Times New Roman" w:cs="Calibri"/>
              </w:rPr>
              <w:t>138</w:t>
            </w:r>
          </w:p>
        </w:tc>
        <w:tc>
          <w:tcPr>
            <w:tcW w:w="1422" w:type="dxa"/>
            <w:tcBorders>
              <w:top w:val="nil"/>
              <w:left w:val="single" w:color="auto" w:sz="4" w:space="0"/>
              <w:bottom w:val="single" w:color="auto" w:sz="4" w:space="0"/>
              <w:right w:val="single" w:color="auto" w:sz="4" w:space="0"/>
            </w:tcBorders>
            <w:shd w:val="clear" w:color="auto" w:fill="auto"/>
            <w:noWrap/>
            <w:vAlign w:val="bottom"/>
            <w:hideMark/>
          </w:tcPr>
          <w:p w:rsidRPr="00B154C4" w:rsidR="009825A9" w:rsidP="4679195D" w:rsidRDefault="4679195D" w14:paraId="79A8ED89" w14:textId="77777777">
            <w:pPr>
              <w:autoSpaceDN/>
              <w:spacing w:line="240" w:lineRule="auto"/>
              <w:textAlignment w:val="auto"/>
              <w:rPr>
                <w:rFonts w:eastAsia="Times New Roman" w:cs="Calibri"/>
              </w:rPr>
            </w:pPr>
            <w:r w:rsidRPr="4679195D">
              <w:rPr>
                <w:rFonts w:eastAsia="Times New Roman" w:cs="Calibri"/>
              </w:rPr>
              <w:t>93%</w:t>
            </w:r>
          </w:p>
        </w:tc>
        <w:tc>
          <w:tcPr>
            <w:tcW w:w="1276" w:type="dxa"/>
            <w:tcBorders>
              <w:top w:val="nil"/>
              <w:left w:val="nil"/>
              <w:bottom w:val="single" w:color="auto" w:sz="4" w:space="0"/>
              <w:right w:val="single" w:color="auto" w:sz="4" w:space="0"/>
            </w:tcBorders>
            <w:shd w:val="clear" w:color="auto" w:fill="auto"/>
            <w:noWrap/>
            <w:vAlign w:val="bottom"/>
            <w:hideMark/>
          </w:tcPr>
          <w:p w:rsidRPr="00B154C4" w:rsidR="009825A9" w:rsidP="4679195D" w:rsidRDefault="4679195D" w14:paraId="60AD87B8" w14:textId="77777777">
            <w:pPr>
              <w:autoSpaceDN/>
              <w:spacing w:line="240" w:lineRule="auto"/>
              <w:textAlignment w:val="auto"/>
              <w:rPr>
                <w:rFonts w:eastAsia="Times New Roman" w:cs="Calibri"/>
              </w:rPr>
            </w:pPr>
            <w:r w:rsidRPr="4679195D">
              <w:rPr>
                <w:rFonts w:eastAsia="Times New Roman" w:cs="Calibri"/>
              </w:rPr>
              <w:t>4%</w:t>
            </w:r>
          </w:p>
        </w:tc>
        <w:tc>
          <w:tcPr>
            <w:tcW w:w="1154" w:type="dxa"/>
            <w:tcBorders>
              <w:top w:val="nil"/>
              <w:left w:val="nil"/>
              <w:bottom w:val="single" w:color="auto" w:sz="4" w:space="0"/>
              <w:right w:val="single" w:color="auto" w:sz="4" w:space="0"/>
            </w:tcBorders>
            <w:shd w:val="clear" w:color="auto" w:fill="auto"/>
            <w:noWrap/>
            <w:vAlign w:val="bottom"/>
            <w:hideMark/>
          </w:tcPr>
          <w:p w:rsidRPr="00B154C4" w:rsidR="009825A9" w:rsidP="4679195D" w:rsidRDefault="4679195D" w14:paraId="7C3C8DDC" w14:textId="77777777">
            <w:pPr>
              <w:autoSpaceDN/>
              <w:spacing w:line="240" w:lineRule="auto"/>
              <w:textAlignment w:val="auto"/>
              <w:rPr>
                <w:rFonts w:eastAsia="Times New Roman" w:cs="Calibri"/>
              </w:rPr>
            </w:pPr>
            <w:r w:rsidRPr="4679195D">
              <w:rPr>
                <w:rFonts w:eastAsia="Times New Roman" w:cs="Calibri"/>
              </w:rPr>
              <w:t>4%</w:t>
            </w:r>
          </w:p>
        </w:tc>
      </w:tr>
      <w:tr w:rsidRPr="00B154C4" w:rsidR="009825A9" w:rsidTr="4679195D" w14:paraId="6D4176CF" w14:textId="77777777">
        <w:trPr>
          <w:trHeight w:val="70"/>
        </w:trPr>
        <w:tc>
          <w:tcPr>
            <w:tcW w:w="2259" w:type="dxa"/>
            <w:tcBorders>
              <w:top w:val="nil"/>
              <w:left w:val="single" w:color="auto" w:sz="4" w:space="0"/>
              <w:bottom w:val="single" w:color="auto" w:sz="4" w:space="0"/>
              <w:right w:val="single" w:color="auto" w:sz="4" w:space="0"/>
            </w:tcBorders>
            <w:shd w:val="clear" w:color="auto" w:fill="FFFFFF" w:themeFill="background1"/>
            <w:noWrap/>
            <w:vAlign w:val="bottom"/>
            <w:hideMark/>
          </w:tcPr>
          <w:p w:rsidRPr="00B154C4" w:rsidR="009825A9" w:rsidP="4679195D" w:rsidRDefault="4679195D" w14:paraId="3DA62810" w14:textId="77777777">
            <w:pPr>
              <w:autoSpaceDN/>
              <w:spacing w:line="240" w:lineRule="auto"/>
              <w:textAlignment w:val="auto"/>
              <w:rPr>
                <w:rFonts w:eastAsia="Times New Roman" w:cs="Calibri"/>
                <w:i/>
                <w:iCs/>
              </w:rPr>
            </w:pPr>
            <w:r w:rsidRPr="4679195D">
              <w:rPr>
                <w:rFonts w:eastAsia="Times New Roman" w:cs="Calibri"/>
                <w:i/>
                <w:iCs/>
              </w:rPr>
              <w:t>IND</w:t>
            </w:r>
          </w:p>
        </w:tc>
        <w:tc>
          <w:tcPr>
            <w:tcW w:w="839" w:type="dxa"/>
            <w:tcBorders>
              <w:top w:val="single" w:color="auto" w:sz="4" w:space="0"/>
              <w:left w:val="nil"/>
              <w:bottom w:val="single" w:color="auto" w:sz="4" w:space="0"/>
              <w:right w:val="single" w:color="auto" w:sz="4" w:space="0"/>
            </w:tcBorders>
          </w:tcPr>
          <w:p w:rsidRPr="00B154C4" w:rsidR="009825A9" w:rsidP="4679195D" w:rsidRDefault="4679195D" w14:paraId="2A5BC5C8" w14:textId="77777777">
            <w:pPr>
              <w:autoSpaceDN/>
              <w:spacing w:line="240" w:lineRule="auto"/>
              <w:textAlignment w:val="auto"/>
              <w:rPr>
                <w:rFonts w:eastAsia="Times New Roman" w:cs="Calibri"/>
              </w:rPr>
            </w:pPr>
            <w:r w:rsidRPr="4679195D">
              <w:rPr>
                <w:rFonts w:eastAsia="Times New Roman" w:cs="Calibri"/>
              </w:rPr>
              <w:t>17</w:t>
            </w:r>
          </w:p>
        </w:tc>
        <w:tc>
          <w:tcPr>
            <w:tcW w:w="1422" w:type="dxa"/>
            <w:tcBorders>
              <w:top w:val="nil"/>
              <w:left w:val="single" w:color="auto" w:sz="4" w:space="0"/>
              <w:bottom w:val="single" w:color="auto" w:sz="4" w:space="0"/>
              <w:right w:val="single" w:color="auto" w:sz="4" w:space="0"/>
            </w:tcBorders>
            <w:shd w:val="clear" w:color="auto" w:fill="auto"/>
            <w:noWrap/>
            <w:vAlign w:val="bottom"/>
            <w:hideMark/>
          </w:tcPr>
          <w:p w:rsidRPr="00B154C4" w:rsidR="009825A9" w:rsidP="4679195D" w:rsidRDefault="4679195D" w14:paraId="1DBF4693" w14:textId="77777777">
            <w:pPr>
              <w:autoSpaceDN/>
              <w:spacing w:line="240" w:lineRule="auto"/>
              <w:textAlignment w:val="auto"/>
              <w:rPr>
                <w:rFonts w:eastAsia="Times New Roman" w:cs="Calibri"/>
              </w:rPr>
            </w:pPr>
            <w:r w:rsidRPr="4679195D">
              <w:rPr>
                <w:rFonts w:eastAsia="Times New Roman" w:cs="Calibri"/>
              </w:rPr>
              <w:t>100%</w:t>
            </w:r>
          </w:p>
        </w:tc>
        <w:tc>
          <w:tcPr>
            <w:tcW w:w="1276" w:type="dxa"/>
            <w:tcBorders>
              <w:top w:val="nil"/>
              <w:left w:val="nil"/>
              <w:bottom w:val="single" w:color="auto" w:sz="4" w:space="0"/>
              <w:right w:val="single" w:color="auto" w:sz="4" w:space="0"/>
            </w:tcBorders>
            <w:shd w:val="clear" w:color="auto" w:fill="auto"/>
            <w:noWrap/>
            <w:vAlign w:val="bottom"/>
            <w:hideMark/>
          </w:tcPr>
          <w:p w:rsidRPr="00B154C4" w:rsidR="009825A9" w:rsidP="4679195D" w:rsidRDefault="4679195D" w14:paraId="4E0342BA" w14:textId="77777777">
            <w:pPr>
              <w:autoSpaceDN/>
              <w:spacing w:line="240" w:lineRule="auto"/>
              <w:textAlignment w:val="auto"/>
              <w:rPr>
                <w:rFonts w:eastAsia="Times New Roman" w:cs="Calibri"/>
              </w:rPr>
            </w:pPr>
            <w:r w:rsidRPr="4679195D">
              <w:rPr>
                <w:rFonts w:eastAsia="Times New Roman" w:cs="Calibri"/>
              </w:rPr>
              <w:t>0%</w:t>
            </w:r>
          </w:p>
        </w:tc>
        <w:tc>
          <w:tcPr>
            <w:tcW w:w="1154" w:type="dxa"/>
            <w:tcBorders>
              <w:top w:val="nil"/>
              <w:left w:val="nil"/>
              <w:bottom w:val="single" w:color="auto" w:sz="4" w:space="0"/>
              <w:right w:val="single" w:color="auto" w:sz="4" w:space="0"/>
            </w:tcBorders>
            <w:shd w:val="clear" w:color="auto" w:fill="auto"/>
            <w:noWrap/>
            <w:vAlign w:val="bottom"/>
            <w:hideMark/>
          </w:tcPr>
          <w:p w:rsidRPr="00B154C4" w:rsidR="009825A9" w:rsidP="4679195D" w:rsidRDefault="4679195D" w14:paraId="6E23C4CA" w14:textId="77777777">
            <w:pPr>
              <w:autoSpaceDN/>
              <w:spacing w:line="240" w:lineRule="auto"/>
              <w:textAlignment w:val="auto"/>
              <w:rPr>
                <w:rFonts w:eastAsia="Times New Roman" w:cs="Calibri"/>
              </w:rPr>
            </w:pPr>
            <w:r w:rsidRPr="4679195D">
              <w:rPr>
                <w:rFonts w:eastAsia="Times New Roman" w:cs="Calibri"/>
              </w:rPr>
              <w:t>0%</w:t>
            </w:r>
          </w:p>
        </w:tc>
      </w:tr>
      <w:tr w:rsidRPr="00B154C4" w:rsidR="009825A9" w:rsidTr="4679195D" w14:paraId="0A5D5F5D" w14:textId="77777777">
        <w:trPr>
          <w:trHeight w:val="70"/>
        </w:trPr>
        <w:tc>
          <w:tcPr>
            <w:tcW w:w="2259" w:type="dxa"/>
            <w:tcBorders>
              <w:top w:val="nil"/>
              <w:left w:val="single" w:color="auto" w:sz="4" w:space="0"/>
              <w:bottom w:val="single" w:color="auto" w:sz="4" w:space="0"/>
              <w:right w:val="single" w:color="auto" w:sz="4" w:space="0"/>
            </w:tcBorders>
            <w:shd w:val="clear" w:color="auto" w:fill="FFFFFF" w:themeFill="background1"/>
            <w:noWrap/>
            <w:vAlign w:val="bottom"/>
            <w:hideMark/>
          </w:tcPr>
          <w:p w:rsidRPr="00331FA4" w:rsidR="009825A9" w:rsidP="4679195D" w:rsidRDefault="4679195D" w14:paraId="0377E61A" w14:textId="77777777">
            <w:pPr>
              <w:autoSpaceDN/>
              <w:spacing w:line="240" w:lineRule="auto"/>
              <w:textAlignment w:val="auto"/>
              <w:rPr>
                <w:rFonts w:eastAsia="Times New Roman" w:cs="Calibri"/>
                <w:i/>
                <w:iCs/>
              </w:rPr>
            </w:pPr>
            <w:r w:rsidRPr="4679195D">
              <w:rPr>
                <w:rFonts w:eastAsia="Times New Roman" w:cs="Calibri"/>
                <w:i/>
                <w:iCs/>
              </w:rPr>
              <w:t>Defensie</w:t>
            </w:r>
          </w:p>
        </w:tc>
        <w:tc>
          <w:tcPr>
            <w:tcW w:w="839" w:type="dxa"/>
            <w:tcBorders>
              <w:top w:val="single" w:color="auto" w:sz="4" w:space="0"/>
              <w:left w:val="nil"/>
              <w:bottom w:val="single" w:color="auto" w:sz="4" w:space="0"/>
              <w:right w:val="single" w:color="auto" w:sz="4" w:space="0"/>
            </w:tcBorders>
          </w:tcPr>
          <w:p w:rsidRPr="00331FA4" w:rsidR="009825A9" w:rsidP="4679195D" w:rsidRDefault="4679195D" w14:paraId="29C33383" w14:textId="77777777">
            <w:pPr>
              <w:autoSpaceDN/>
              <w:spacing w:line="240" w:lineRule="auto"/>
              <w:textAlignment w:val="auto"/>
              <w:rPr>
                <w:rFonts w:eastAsia="Times New Roman" w:cs="Calibri"/>
              </w:rPr>
            </w:pPr>
            <w:r w:rsidRPr="4679195D">
              <w:rPr>
                <w:rFonts w:eastAsia="Times New Roman" w:cs="Calibri"/>
              </w:rPr>
              <w:t>536</w:t>
            </w:r>
          </w:p>
        </w:tc>
        <w:tc>
          <w:tcPr>
            <w:tcW w:w="1422" w:type="dxa"/>
            <w:tcBorders>
              <w:top w:val="nil"/>
              <w:left w:val="single" w:color="auto" w:sz="4" w:space="0"/>
              <w:bottom w:val="single" w:color="auto" w:sz="4" w:space="0"/>
              <w:right w:val="single" w:color="auto" w:sz="4" w:space="0"/>
            </w:tcBorders>
            <w:shd w:val="clear" w:color="auto" w:fill="auto"/>
            <w:noWrap/>
            <w:vAlign w:val="bottom"/>
            <w:hideMark/>
          </w:tcPr>
          <w:p w:rsidRPr="00331FA4" w:rsidR="009825A9" w:rsidP="4679195D" w:rsidRDefault="4679195D" w14:paraId="409BE7AE" w14:textId="77777777">
            <w:pPr>
              <w:autoSpaceDN/>
              <w:spacing w:line="240" w:lineRule="auto"/>
              <w:textAlignment w:val="auto"/>
              <w:rPr>
                <w:rFonts w:eastAsia="Times New Roman" w:cs="Calibri"/>
              </w:rPr>
            </w:pPr>
            <w:r w:rsidRPr="4679195D">
              <w:rPr>
                <w:rFonts w:eastAsia="Times New Roman" w:cs="Calibri"/>
              </w:rPr>
              <w:t>3%</w:t>
            </w:r>
          </w:p>
        </w:tc>
        <w:tc>
          <w:tcPr>
            <w:tcW w:w="1276" w:type="dxa"/>
            <w:tcBorders>
              <w:top w:val="nil"/>
              <w:left w:val="nil"/>
              <w:bottom w:val="single" w:color="auto" w:sz="4" w:space="0"/>
              <w:right w:val="single" w:color="auto" w:sz="4" w:space="0"/>
            </w:tcBorders>
            <w:shd w:val="clear" w:color="auto" w:fill="auto"/>
            <w:noWrap/>
            <w:vAlign w:val="bottom"/>
            <w:hideMark/>
          </w:tcPr>
          <w:p w:rsidRPr="00331FA4" w:rsidR="009825A9" w:rsidP="4679195D" w:rsidRDefault="4679195D" w14:paraId="3813D5CE" w14:textId="77777777">
            <w:pPr>
              <w:autoSpaceDN/>
              <w:spacing w:line="240" w:lineRule="auto"/>
              <w:textAlignment w:val="auto"/>
              <w:rPr>
                <w:rFonts w:eastAsia="Times New Roman" w:cs="Calibri"/>
              </w:rPr>
            </w:pPr>
            <w:r w:rsidRPr="4679195D">
              <w:rPr>
                <w:rFonts w:eastAsia="Times New Roman" w:cs="Calibri"/>
              </w:rPr>
              <w:t>3%</w:t>
            </w:r>
          </w:p>
        </w:tc>
        <w:tc>
          <w:tcPr>
            <w:tcW w:w="1154" w:type="dxa"/>
            <w:tcBorders>
              <w:top w:val="nil"/>
              <w:left w:val="nil"/>
              <w:bottom w:val="single" w:color="auto" w:sz="4" w:space="0"/>
              <w:right w:val="single" w:color="auto" w:sz="4" w:space="0"/>
            </w:tcBorders>
            <w:shd w:val="clear" w:color="auto" w:fill="auto"/>
            <w:noWrap/>
            <w:vAlign w:val="bottom"/>
            <w:hideMark/>
          </w:tcPr>
          <w:p w:rsidRPr="00331FA4" w:rsidR="009825A9" w:rsidP="4679195D" w:rsidRDefault="4679195D" w14:paraId="6BFE0046" w14:textId="77777777">
            <w:pPr>
              <w:autoSpaceDN/>
              <w:spacing w:line="240" w:lineRule="auto"/>
              <w:textAlignment w:val="auto"/>
              <w:rPr>
                <w:rFonts w:eastAsia="Times New Roman" w:cs="Calibri"/>
              </w:rPr>
            </w:pPr>
            <w:r w:rsidRPr="4679195D">
              <w:rPr>
                <w:rFonts w:eastAsia="Times New Roman" w:cs="Calibri"/>
              </w:rPr>
              <w:t>94%</w:t>
            </w:r>
          </w:p>
        </w:tc>
      </w:tr>
      <w:tr w:rsidRPr="00B154C4" w:rsidR="009825A9" w:rsidTr="4679195D" w14:paraId="0DD8F1A6" w14:textId="77777777">
        <w:trPr>
          <w:trHeight w:val="70"/>
        </w:trPr>
        <w:tc>
          <w:tcPr>
            <w:tcW w:w="2259" w:type="dxa"/>
            <w:tcBorders>
              <w:top w:val="nil"/>
              <w:left w:val="single" w:color="auto" w:sz="4" w:space="0"/>
              <w:bottom w:val="single" w:color="auto" w:sz="4" w:space="0"/>
              <w:right w:val="single" w:color="auto" w:sz="4" w:space="0"/>
            </w:tcBorders>
            <w:shd w:val="clear" w:color="auto" w:fill="FFFFFF" w:themeFill="background1"/>
            <w:noWrap/>
            <w:vAlign w:val="bottom"/>
            <w:hideMark/>
          </w:tcPr>
          <w:p w:rsidRPr="00331FA4" w:rsidR="009825A9" w:rsidP="4679195D" w:rsidRDefault="4679195D" w14:paraId="3B2035D9" w14:textId="77777777">
            <w:pPr>
              <w:autoSpaceDN/>
              <w:spacing w:line="240" w:lineRule="auto"/>
              <w:textAlignment w:val="auto"/>
              <w:rPr>
                <w:rFonts w:eastAsia="Times New Roman" w:cs="Calibri"/>
                <w:i/>
                <w:iCs/>
              </w:rPr>
            </w:pPr>
            <w:r w:rsidRPr="4679195D">
              <w:rPr>
                <w:rFonts w:eastAsia="Times New Roman" w:cs="Calibri"/>
                <w:i/>
                <w:iCs/>
              </w:rPr>
              <w:t>COA</w:t>
            </w:r>
          </w:p>
        </w:tc>
        <w:tc>
          <w:tcPr>
            <w:tcW w:w="839" w:type="dxa"/>
            <w:tcBorders>
              <w:top w:val="single" w:color="auto" w:sz="4" w:space="0"/>
              <w:left w:val="nil"/>
              <w:bottom w:val="single" w:color="auto" w:sz="4" w:space="0"/>
              <w:right w:val="single" w:color="auto" w:sz="4" w:space="0"/>
            </w:tcBorders>
          </w:tcPr>
          <w:p w:rsidRPr="00331FA4" w:rsidR="009825A9" w:rsidP="4679195D" w:rsidRDefault="4679195D" w14:paraId="5DBE8F1C" w14:textId="77777777">
            <w:pPr>
              <w:autoSpaceDN/>
              <w:spacing w:line="240" w:lineRule="auto"/>
              <w:textAlignment w:val="auto"/>
              <w:rPr>
                <w:rFonts w:eastAsia="Times New Roman" w:cs="Calibri"/>
              </w:rPr>
            </w:pPr>
            <w:r w:rsidRPr="4679195D">
              <w:rPr>
                <w:rFonts w:eastAsia="Times New Roman" w:cs="Calibri"/>
              </w:rPr>
              <w:t>17</w:t>
            </w:r>
          </w:p>
        </w:tc>
        <w:tc>
          <w:tcPr>
            <w:tcW w:w="1422" w:type="dxa"/>
            <w:tcBorders>
              <w:top w:val="nil"/>
              <w:left w:val="single" w:color="auto" w:sz="4" w:space="0"/>
              <w:bottom w:val="single" w:color="auto" w:sz="4" w:space="0"/>
              <w:right w:val="single" w:color="auto" w:sz="4" w:space="0"/>
            </w:tcBorders>
            <w:shd w:val="clear" w:color="auto" w:fill="auto"/>
            <w:noWrap/>
            <w:vAlign w:val="bottom"/>
            <w:hideMark/>
          </w:tcPr>
          <w:p w:rsidRPr="00331FA4" w:rsidR="009825A9" w:rsidP="4679195D" w:rsidRDefault="4679195D" w14:paraId="728517BC" w14:textId="77777777">
            <w:pPr>
              <w:autoSpaceDN/>
              <w:spacing w:line="240" w:lineRule="auto"/>
              <w:textAlignment w:val="auto"/>
              <w:rPr>
                <w:rFonts w:eastAsia="Times New Roman" w:cs="Calibri"/>
              </w:rPr>
            </w:pPr>
            <w:r w:rsidRPr="4679195D">
              <w:rPr>
                <w:rFonts w:eastAsia="Times New Roman" w:cs="Calibri"/>
              </w:rPr>
              <w:t>24%</w:t>
            </w:r>
          </w:p>
        </w:tc>
        <w:tc>
          <w:tcPr>
            <w:tcW w:w="1276" w:type="dxa"/>
            <w:tcBorders>
              <w:top w:val="nil"/>
              <w:left w:val="nil"/>
              <w:bottom w:val="single" w:color="auto" w:sz="4" w:space="0"/>
              <w:right w:val="single" w:color="auto" w:sz="4" w:space="0"/>
            </w:tcBorders>
            <w:shd w:val="clear" w:color="auto" w:fill="auto"/>
            <w:noWrap/>
            <w:vAlign w:val="bottom"/>
            <w:hideMark/>
          </w:tcPr>
          <w:p w:rsidRPr="00331FA4" w:rsidR="009825A9" w:rsidP="4679195D" w:rsidRDefault="4679195D" w14:paraId="76EC7D15" w14:textId="77777777">
            <w:pPr>
              <w:autoSpaceDN/>
              <w:spacing w:line="240" w:lineRule="auto"/>
              <w:textAlignment w:val="auto"/>
              <w:rPr>
                <w:rFonts w:eastAsia="Times New Roman" w:cs="Calibri"/>
              </w:rPr>
            </w:pPr>
            <w:r w:rsidRPr="4679195D">
              <w:rPr>
                <w:rFonts w:eastAsia="Times New Roman" w:cs="Calibri"/>
              </w:rPr>
              <w:t>0%</w:t>
            </w:r>
          </w:p>
        </w:tc>
        <w:tc>
          <w:tcPr>
            <w:tcW w:w="1154" w:type="dxa"/>
            <w:tcBorders>
              <w:top w:val="nil"/>
              <w:left w:val="nil"/>
              <w:bottom w:val="single" w:color="auto" w:sz="4" w:space="0"/>
              <w:right w:val="single" w:color="auto" w:sz="4" w:space="0"/>
            </w:tcBorders>
            <w:shd w:val="clear" w:color="auto" w:fill="auto"/>
            <w:noWrap/>
            <w:vAlign w:val="bottom"/>
            <w:hideMark/>
          </w:tcPr>
          <w:p w:rsidRPr="00331FA4" w:rsidR="009825A9" w:rsidP="4679195D" w:rsidRDefault="4679195D" w14:paraId="69877D25" w14:textId="77777777">
            <w:pPr>
              <w:autoSpaceDN/>
              <w:spacing w:line="240" w:lineRule="auto"/>
              <w:textAlignment w:val="auto"/>
              <w:rPr>
                <w:rFonts w:eastAsia="Times New Roman" w:cs="Calibri"/>
              </w:rPr>
            </w:pPr>
            <w:r w:rsidRPr="4679195D">
              <w:rPr>
                <w:rFonts w:eastAsia="Times New Roman" w:cs="Calibri"/>
              </w:rPr>
              <w:t>76%</w:t>
            </w:r>
          </w:p>
        </w:tc>
      </w:tr>
      <w:tr w:rsidRPr="00B154C4" w:rsidR="009825A9" w:rsidTr="4679195D" w14:paraId="2746D60E" w14:textId="77777777">
        <w:trPr>
          <w:trHeight w:val="70"/>
        </w:trPr>
        <w:tc>
          <w:tcPr>
            <w:tcW w:w="22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B154C4" w:rsidR="009825A9" w:rsidP="4679195D" w:rsidRDefault="4679195D" w14:paraId="56BB34C9" w14:textId="77777777">
            <w:pPr>
              <w:autoSpaceDN/>
              <w:spacing w:line="240" w:lineRule="auto"/>
              <w:textAlignment w:val="auto"/>
              <w:rPr>
                <w:rFonts w:eastAsia="Times New Roman" w:cs="Calibri"/>
                <w:i/>
                <w:iCs/>
              </w:rPr>
            </w:pPr>
            <w:r w:rsidRPr="4679195D">
              <w:rPr>
                <w:rFonts w:eastAsia="Times New Roman" w:cs="Calibri"/>
                <w:i/>
                <w:iCs/>
              </w:rPr>
              <w:t>Rijkswaterstaat</w:t>
            </w:r>
          </w:p>
        </w:tc>
        <w:tc>
          <w:tcPr>
            <w:tcW w:w="839" w:type="dxa"/>
            <w:tcBorders>
              <w:top w:val="single" w:color="auto" w:sz="4" w:space="0"/>
              <w:left w:val="nil"/>
              <w:bottom w:val="single" w:color="auto" w:sz="4" w:space="0"/>
              <w:right w:val="single" w:color="auto" w:sz="4" w:space="0"/>
            </w:tcBorders>
          </w:tcPr>
          <w:p w:rsidRPr="00B154C4" w:rsidR="009825A9" w:rsidP="4679195D" w:rsidRDefault="4679195D" w14:paraId="66E4E7CC" w14:textId="77777777">
            <w:pPr>
              <w:autoSpaceDN/>
              <w:spacing w:line="240" w:lineRule="auto"/>
              <w:textAlignment w:val="auto"/>
              <w:rPr>
                <w:rFonts w:eastAsia="Times New Roman" w:cs="Calibri"/>
              </w:rPr>
            </w:pPr>
            <w:r w:rsidRPr="4679195D">
              <w:rPr>
                <w:rFonts w:eastAsia="Times New Roman" w:cs="Calibri"/>
              </w:rPr>
              <w:t>124</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4C4" w:rsidR="009825A9" w:rsidP="4679195D" w:rsidRDefault="4679195D" w14:paraId="769D62B6" w14:textId="77777777">
            <w:pPr>
              <w:autoSpaceDN/>
              <w:spacing w:line="240" w:lineRule="auto"/>
              <w:textAlignment w:val="auto"/>
              <w:rPr>
                <w:rFonts w:eastAsia="Times New Roman" w:cs="Calibri"/>
              </w:rPr>
            </w:pPr>
            <w:r w:rsidRPr="4679195D">
              <w:rPr>
                <w:rFonts w:eastAsia="Times New Roman" w:cs="Calibri"/>
              </w:rPr>
              <w:t>56%</w:t>
            </w:r>
          </w:p>
        </w:tc>
        <w:tc>
          <w:tcPr>
            <w:tcW w:w="1276" w:type="dxa"/>
            <w:tcBorders>
              <w:top w:val="single" w:color="auto" w:sz="4" w:space="0"/>
              <w:left w:val="nil"/>
              <w:bottom w:val="single" w:color="auto" w:sz="4" w:space="0"/>
              <w:right w:val="single" w:color="auto" w:sz="4" w:space="0"/>
            </w:tcBorders>
            <w:shd w:val="clear" w:color="auto" w:fill="auto"/>
            <w:noWrap/>
            <w:vAlign w:val="bottom"/>
            <w:hideMark/>
          </w:tcPr>
          <w:p w:rsidRPr="00B154C4" w:rsidR="009825A9" w:rsidP="4679195D" w:rsidRDefault="4679195D" w14:paraId="0EE0C5A6" w14:textId="77777777">
            <w:pPr>
              <w:autoSpaceDN/>
              <w:spacing w:line="240" w:lineRule="auto"/>
              <w:textAlignment w:val="auto"/>
              <w:rPr>
                <w:rFonts w:eastAsia="Times New Roman" w:cs="Calibri"/>
              </w:rPr>
            </w:pPr>
            <w:r w:rsidRPr="4679195D">
              <w:rPr>
                <w:rFonts w:eastAsia="Times New Roman" w:cs="Calibri"/>
              </w:rPr>
              <w:t>44%</w:t>
            </w:r>
          </w:p>
        </w:tc>
        <w:tc>
          <w:tcPr>
            <w:tcW w:w="1154" w:type="dxa"/>
            <w:tcBorders>
              <w:top w:val="single" w:color="auto" w:sz="4" w:space="0"/>
              <w:left w:val="nil"/>
              <w:bottom w:val="single" w:color="auto" w:sz="4" w:space="0"/>
              <w:right w:val="single" w:color="auto" w:sz="4" w:space="0"/>
            </w:tcBorders>
            <w:shd w:val="clear" w:color="auto" w:fill="auto"/>
            <w:noWrap/>
            <w:vAlign w:val="bottom"/>
            <w:hideMark/>
          </w:tcPr>
          <w:p w:rsidRPr="00B154C4" w:rsidR="009825A9" w:rsidP="4679195D" w:rsidRDefault="4679195D" w14:paraId="600B2993" w14:textId="77777777">
            <w:pPr>
              <w:keepNext/>
              <w:autoSpaceDN/>
              <w:spacing w:line="240" w:lineRule="auto"/>
              <w:textAlignment w:val="auto"/>
              <w:rPr>
                <w:rFonts w:eastAsia="Times New Roman" w:cs="Calibri"/>
              </w:rPr>
            </w:pPr>
            <w:r w:rsidRPr="4679195D">
              <w:rPr>
                <w:rFonts w:eastAsia="Times New Roman" w:cs="Calibri"/>
              </w:rPr>
              <w:t>0%</w:t>
            </w:r>
          </w:p>
        </w:tc>
      </w:tr>
      <w:tr w:rsidRPr="00B154C4" w:rsidR="009825A9" w:rsidTr="4679195D" w14:paraId="49658EC8" w14:textId="77777777">
        <w:trPr>
          <w:trHeight w:val="70"/>
        </w:trPr>
        <w:tc>
          <w:tcPr>
            <w:tcW w:w="22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Pr="00B154C4" w:rsidR="009825A9" w:rsidP="4679195D" w:rsidRDefault="4679195D" w14:paraId="638E8EE8" w14:textId="77777777">
            <w:pPr>
              <w:autoSpaceDN/>
              <w:spacing w:line="240" w:lineRule="auto"/>
              <w:textAlignment w:val="auto"/>
              <w:rPr>
                <w:rFonts w:eastAsia="Times New Roman" w:cs="Calibri"/>
                <w:i/>
                <w:iCs/>
              </w:rPr>
            </w:pPr>
            <w:r w:rsidRPr="4679195D">
              <w:rPr>
                <w:rFonts w:eastAsia="Times New Roman" w:cs="Calibri"/>
                <w:i/>
                <w:iCs/>
              </w:rPr>
              <w:t>Totaal Rijk</w:t>
            </w:r>
          </w:p>
        </w:tc>
        <w:tc>
          <w:tcPr>
            <w:tcW w:w="839" w:type="dxa"/>
            <w:tcBorders>
              <w:top w:val="single" w:color="auto" w:sz="4" w:space="0"/>
              <w:left w:val="nil"/>
              <w:bottom w:val="single" w:color="auto" w:sz="4" w:space="0"/>
              <w:right w:val="single" w:color="auto" w:sz="4" w:space="0"/>
            </w:tcBorders>
          </w:tcPr>
          <w:p w:rsidRPr="00B154C4" w:rsidR="009825A9" w:rsidP="4679195D" w:rsidRDefault="4679195D" w14:paraId="6F0D407B" w14:textId="77777777">
            <w:pPr>
              <w:autoSpaceDN/>
              <w:spacing w:line="240" w:lineRule="auto"/>
              <w:textAlignment w:val="auto"/>
              <w:rPr>
                <w:rFonts w:eastAsia="Times New Roman" w:cs="Calibri"/>
              </w:rPr>
            </w:pPr>
            <w:r w:rsidRPr="4679195D">
              <w:rPr>
                <w:rFonts w:eastAsia="Times New Roman" w:cs="Calibri"/>
              </w:rPr>
              <w:t>1.144</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154C4" w:rsidR="009825A9" w:rsidP="4679195D" w:rsidRDefault="001E528A" w14:paraId="6A6FA598" w14:textId="77777777">
            <w:pPr>
              <w:autoSpaceDN/>
              <w:spacing w:line="240" w:lineRule="auto"/>
              <w:textAlignment w:val="auto"/>
              <w:rPr>
                <w:rFonts w:eastAsia="Times New Roman" w:cs="Calibri"/>
              </w:rPr>
            </w:pPr>
            <w:r>
              <w:rPr>
                <w:rFonts w:eastAsia="Times New Roman" w:cs="Calibri"/>
              </w:rPr>
              <w:t>42,1</w:t>
            </w:r>
            <w:r w:rsidRPr="4679195D" w:rsidR="4679195D">
              <w:rPr>
                <w:rFonts w:eastAsia="Times New Roman" w:cs="Calibri"/>
              </w:rPr>
              <w:t>%</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B154C4" w:rsidR="009825A9" w:rsidP="4679195D" w:rsidRDefault="001E528A" w14:paraId="58309C3F" w14:textId="77777777">
            <w:pPr>
              <w:autoSpaceDN/>
              <w:spacing w:line="240" w:lineRule="auto"/>
              <w:textAlignment w:val="auto"/>
              <w:rPr>
                <w:rFonts w:eastAsia="Times New Roman" w:cs="Calibri"/>
              </w:rPr>
            </w:pPr>
            <w:r>
              <w:rPr>
                <w:rFonts w:eastAsia="Times New Roman" w:cs="Calibri"/>
              </w:rPr>
              <w:t>12</w:t>
            </w:r>
            <w:r w:rsidRPr="4679195D" w:rsidR="4679195D">
              <w:rPr>
                <w:rFonts w:eastAsia="Times New Roman" w:cs="Calibri"/>
              </w:rPr>
              <w:t>,</w:t>
            </w:r>
            <w:r>
              <w:rPr>
                <w:rFonts w:eastAsia="Times New Roman" w:cs="Calibri"/>
              </w:rPr>
              <w:t>2</w:t>
            </w:r>
            <w:r w:rsidRPr="4679195D" w:rsidR="4679195D">
              <w:rPr>
                <w:rFonts w:eastAsia="Times New Roman" w:cs="Calibri"/>
              </w:rPr>
              <w:t>%</w:t>
            </w:r>
          </w:p>
        </w:tc>
        <w:tc>
          <w:tcPr>
            <w:tcW w:w="1154" w:type="dxa"/>
            <w:tcBorders>
              <w:top w:val="single" w:color="auto" w:sz="4" w:space="0"/>
              <w:left w:val="nil"/>
              <w:bottom w:val="single" w:color="auto" w:sz="4" w:space="0"/>
              <w:right w:val="single" w:color="auto" w:sz="4" w:space="0"/>
            </w:tcBorders>
            <w:shd w:val="clear" w:color="auto" w:fill="auto"/>
            <w:noWrap/>
            <w:vAlign w:val="bottom"/>
          </w:tcPr>
          <w:p w:rsidRPr="00B154C4" w:rsidR="009825A9" w:rsidP="4679195D" w:rsidRDefault="001E528A" w14:paraId="5BE70988" w14:textId="77777777">
            <w:pPr>
              <w:keepNext/>
              <w:autoSpaceDN/>
              <w:spacing w:line="240" w:lineRule="auto"/>
              <w:textAlignment w:val="auto"/>
              <w:rPr>
                <w:rFonts w:eastAsia="Times New Roman" w:cs="Calibri"/>
              </w:rPr>
            </w:pPr>
            <w:r>
              <w:rPr>
                <w:rFonts w:eastAsia="Times New Roman" w:cs="Calibri"/>
              </w:rPr>
              <w:t>45</w:t>
            </w:r>
            <w:r w:rsidRPr="4679195D" w:rsidR="4679195D">
              <w:rPr>
                <w:rFonts w:eastAsia="Times New Roman" w:cs="Calibri"/>
              </w:rPr>
              <w:t>,7%</w:t>
            </w:r>
          </w:p>
        </w:tc>
      </w:tr>
    </w:tbl>
    <w:p w:rsidR="00300F97" w:rsidRDefault="00AD2E8C" w14:paraId="58236978" w14:textId="77777777">
      <w:pPr>
        <w:autoSpaceDN/>
        <w:spacing w:after="200" w:line="240" w:lineRule="auto"/>
        <w:textAlignment w:val="auto"/>
        <w:rPr>
          <w:rFonts w:eastAsiaTheme="minorEastAsia" w:cstheme="minorBidi"/>
          <w:i/>
          <w:iCs/>
          <w:color w:val="44546A" w:themeColor="text2"/>
          <w:lang w:eastAsia="en-US"/>
        </w:rPr>
      </w:pPr>
      <w:r>
        <w:rPr>
          <w:rFonts w:eastAsiaTheme="minorEastAsia" w:cstheme="minorBidi"/>
          <w:i/>
          <w:iCs/>
          <w:color w:val="44546A" w:themeColor="text2"/>
          <w:lang w:eastAsia="en-US"/>
        </w:rPr>
        <w:t xml:space="preserve">Tabel </w:t>
      </w:r>
      <w:r>
        <w:rPr>
          <w:rFonts w:eastAsiaTheme="minorHAnsi" w:cstheme="minorBidi"/>
          <w:i/>
          <w:iCs/>
          <w:color w:val="44546A" w:themeColor="text2"/>
          <w:lang w:eastAsia="en-US"/>
        </w:rPr>
        <w:fldChar w:fldCharType="begin"/>
      </w:r>
      <w:r>
        <w:rPr>
          <w:rFonts w:eastAsiaTheme="minorHAnsi" w:cstheme="minorBidi"/>
          <w:i/>
          <w:iCs/>
          <w:color w:val="44546A" w:themeColor="text2"/>
          <w:lang w:eastAsia="en-US"/>
        </w:rPr>
        <w:instrText xml:space="preserve"> SEQ Tabel \* ARABIC </w:instrText>
      </w:r>
      <w:r>
        <w:rPr>
          <w:rFonts w:eastAsiaTheme="minorHAnsi" w:cstheme="minorBidi"/>
          <w:i/>
          <w:iCs/>
          <w:color w:val="44546A" w:themeColor="text2"/>
          <w:lang w:eastAsia="en-US"/>
        </w:rPr>
        <w:fldChar w:fldCharType="separate"/>
      </w:r>
      <w:r>
        <w:t>1</w:t>
      </w:r>
      <w:r>
        <w:fldChar w:fldCharType="end"/>
      </w:r>
      <w:r>
        <w:rPr>
          <w:rFonts w:eastAsiaTheme="minorEastAsia" w:cstheme="minorBidi"/>
          <w:i/>
          <w:iCs/>
          <w:color w:val="44546A" w:themeColor="text2"/>
          <w:lang w:eastAsia="en-US"/>
        </w:rPr>
        <w:t>: Naleving Rijksorganisaties (BZK, juni 2024)</w:t>
      </w:r>
    </w:p>
    <w:p w:rsidRPr="00B154C4" w:rsidR="009825A9" w:rsidP="009825A9" w:rsidRDefault="009825A9" w14:paraId="61920020" w14:textId="77777777">
      <w:pPr>
        <w:keepNext/>
        <w:autoSpaceDN/>
        <w:spacing w:after="160" w:line="259" w:lineRule="auto"/>
        <w:textAlignment w:val="auto"/>
        <w:rPr>
          <w:rFonts w:eastAsiaTheme="minorHAnsi" w:cstheme="minorBidi"/>
          <w:color w:val="auto"/>
          <w:lang w:eastAsia="en-US"/>
        </w:rPr>
      </w:pPr>
      <w:r w:rsidRPr="00B154C4">
        <w:rPr>
          <w:noProof/>
        </w:rPr>
        <w:drawing>
          <wp:inline distT="0" distB="0" distL="0" distR="0" wp14:anchorId="010FB56B" wp14:editId="52AF8DD5">
            <wp:extent cx="3067050" cy="2247265"/>
            <wp:effectExtent l="0" t="0" r="0" b="635"/>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03113" cy="2273689"/>
                    </a:xfrm>
                    <a:prstGeom prst="rect">
                      <a:avLst/>
                    </a:prstGeom>
                  </pic:spPr>
                </pic:pic>
              </a:graphicData>
            </a:graphic>
          </wp:inline>
        </w:drawing>
      </w:r>
    </w:p>
    <w:p w:rsidRPr="00B154C4" w:rsidR="009825A9" w:rsidP="4679195D" w:rsidRDefault="4679195D" w14:paraId="391BBC2B" w14:textId="77777777">
      <w:pPr>
        <w:autoSpaceDN/>
        <w:spacing w:after="200" w:line="240" w:lineRule="auto"/>
        <w:textAlignment w:val="auto"/>
        <w:rPr>
          <w:rFonts w:eastAsiaTheme="minorEastAsia" w:cstheme="minorBidi"/>
          <w:i/>
          <w:iCs/>
          <w:color w:val="44546A" w:themeColor="text2"/>
          <w:lang w:eastAsia="en-US"/>
        </w:rPr>
      </w:pPr>
      <w:r w:rsidRPr="4679195D">
        <w:rPr>
          <w:rFonts w:eastAsiaTheme="minorEastAsia" w:cstheme="minorBidi"/>
          <w:i/>
          <w:iCs/>
          <w:color w:val="44546A" w:themeColor="text2"/>
          <w:lang w:eastAsia="en-US"/>
        </w:rPr>
        <w:t>Tabel 2: Indeling Rijkskantoren per energielabel (BZK, juni 2024)</w:t>
      </w:r>
    </w:p>
    <w:p w:rsidR="009825A9" w:rsidP="4679195D" w:rsidRDefault="4679195D" w14:paraId="780E90B7" w14:textId="77777777">
      <w:pPr>
        <w:autoSpaceDN/>
        <w:spacing w:after="160" w:line="259" w:lineRule="auto"/>
        <w:textAlignment w:val="auto"/>
        <w:rPr>
          <w:rFonts w:eastAsiaTheme="minorEastAsia" w:cstheme="minorBidi"/>
          <w:color w:val="auto"/>
          <w:lang w:eastAsia="en-US"/>
        </w:rPr>
      </w:pPr>
      <w:r w:rsidRPr="4679195D">
        <w:rPr>
          <w:rFonts w:eastAsiaTheme="minorEastAsia" w:cstheme="minorBidi"/>
          <w:color w:val="auto"/>
          <w:lang w:eastAsia="en-US"/>
        </w:rPr>
        <w:t xml:space="preserve">De resultaten laten zien dat sommige Rijksorganisaties, zoals de IND en het Rijksvastgoedbedrijf nagenoeg voldoen aan de verplichting, maar dat andere nog achterblijven. Mede hierdoor heb ik mij de afgelopen tijd ingezet in overleg met de toezichthouders en de </w:t>
      </w:r>
      <w:proofErr w:type="spellStart"/>
      <w:r w:rsidRPr="4679195D">
        <w:rPr>
          <w:rFonts w:eastAsiaTheme="minorEastAsia" w:cstheme="minorBidi"/>
          <w:color w:val="auto"/>
          <w:lang w:eastAsia="en-US"/>
        </w:rPr>
        <w:t>Rijksvastgoedhoudende</w:t>
      </w:r>
      <w:proofErr w:type="spellEnd"/>
      <w:r w:rsidRPr="4679195D">
        <w:rPr>
          <w:rFonts w:eastAsiaTheme="minorEastAsia" w:cstheme="minorBidi"/>
          <w:color w:val="auto"/>
          <w:lang w:eastAsia="en-US"/>
        </w:rPr>
        <w:t xml:space="preserve"> partijen om de voorbeeldrol van het Rijk bij de verduurzaming van gebouwen beter invulling te geven. Daarbij zijn afspraken gemaakt om zo snel mogelijk te voldoen aan de energielabel C verplichting.</w:t>
      </w:r>
    </w:p>
    <w:p w:rsidRPr="00BD292F" w:rsidR="009825A9" w:rsidP="4679195D" w:rsidRDefault="009825A9" w14:paraId="61D2A72D" w14:textId="77777777">
      <w:pPr>
        <w:autoSpaceDN/>
        <w:spacing w:after="160" w:line="259" w:lineRule="auto"/>
        <w:textAlignment w:val="auto"/>
        <w:rPr>
          <w:rFonts w:eastAsiaTheme="minorEastAsia" w:cstheme="minorBidi"/>
          <w:color w:val="auto"/>
          <w:lang w:eastAsia="en-US"/>
        </w:rPr>
      </w:pPr>
      <w:r w:rsidRPr="4679195D">
        <w:rPr>
          <w:rFonts w:eastAsiaTheme="minorEastAsia" w:cstheme="minorBidi"/>
          <w:color w:val="auto"/>
          <w:lang w:eastAsia="en-US"/>
        </w:rPr>
        <w:t>Verschillende rijkspartijen, zoals het Rijksvastgoedbedrijf, Rijkswaterstaat, Politie en het COA doen mee met de portefeuilleaanpak. Dit programma moet zorgen voor een versnelling van verduurzaming door vastgoedeigenaren met een grote gebouwenportefeuille. In deze aanpak dienen de deelnemers ambitieuze doelstellingen</w:t>
      </w:r>
      <w:r w:rsidRPr="4679195D">
        <w:rPr>
          <w:rStyle w:val="Voetnootmarkering"/>
          <w:rFonts w:eastAsiaTheme="minorEastAsia" w:cstheme="minorBidi"/>
          <w:color w:val="auto"/>
          <w:lang w:eastAsia="en-US"/>
        </w:rPr>
        <w:footnoteReference w:id="9"/>
      </w:r>
      <w:r w:rsidRPr="4679195D">
        <w:rPr>
          <w:rFonts w:eastAsiaTheme="minorEastAsia" w:cstheme="minorBidi"/>
          <w:color w:val="auto"/>
          <w:lang w:eastAsia="en-US"/>
        </w:rPr>
        <w:t xml:space="preserve"> voor verduurzaming te realiseren op portefeuilleniveau. Daarbij krijgen de deelnemers één aanspreekpunt voor toezicht en handhaving (in plaats van verschillende, lokale aanspreekpunten). Gevolg hiervan is dat door toezichthouders de voortgang van de verduurzaming van het (Rijks)vastgoed nauwlettend gemonitord kan worden.</w:t>
      </w:r>
    </w:p>
    <w:p w:rsidR="009825A9" w:rsidP="4679195D" w:rsidRDefault="009825A9" w14:paraId="69645C5C" w14:textId="77777777">
      <w:pPr>
        <w:autoSpaceDN/>
        <w:spacing w:after="160" w:line="259" w:lineRule="auto"/>
        <w:textAlignment w:val="auto"/>
        <w:rPr>
          <w:rFonts w:eastAsiaTheme="minorEastAsia" w:cstheme="minorBidi"/>
          <w:color w:val="auto"/>
          <w:lang w:eastAsia="en-US"/>
        </w:rPr>
      </w:pPr>
      <w:r w:rsidRPr="4679195D">
        <w:rPr>
          <w:rFonts w:eastAsiaTheme="minorEastAsia" w:cstheme="minorBidi"/>
          <w:color w:val="auto"/>
          <w:lang w:eastAsia="en-US"/>
        </w:rPr>
        <w:t>Vanuit het Klimaatfonds is ongeveer 380 miljoen euro beschikbaar om Rijksvastgoed versneld te verduurzamen. Deze projecten hebben hoge ambities waarbij actief gestuurd wordt op de renovatiestandaard</w:t>
      </w:r>
      <w:r w:rsidRPr="4679195D">
        <w:rPr>
          <w:rStyle w:val="Voetnootmarkering"/>
          <w:rFonts w:eastAsiaTheme="minorEastAsia" w:cstheme="minorBidi"/>
          <w:color w:val="auto"/>
          <w:lang w:eastAsia="en-US"/>
        </w:rPr>
        <w:footnoteReference w:id="10"/>
      </w:r>
      <w:r w:rsidRPr="4679195D">
        <w:rPr>
          <w:rFonts w:eastAsiaTheme="minorEastAsia" w:cstheme="minorBidi"/>
          <w:color w:val="auto"/>
          <w:lang w:eastAsia="en-US"/>
        </w:rPr>
        <w:t xml:space="preserve"> en het treffen van </w:t>
      </w:r>
      <w:proofErr w:type="spellStart"/>
      <w:r w:rsidRPr="4679195D">
        <w:rPr>
          <w:rFonts w:eastAsiaTheme="minorEastAsia" w:cstheme="minorBidi"/>
          <w:color w:val="auto"/>
          <w:lang w:eastAsia="en-US"/>
        </w:rPr>
        <w:t>klimaatadaptieve</w:t>
      </w:r>
      <w:proofErr w:type="spellEnd"/>
      <w:r w:rsidRPr="4679195D">
        <w:rPr>
          <w:rFonts w:eastAsiaTheme="minorEastAsia" w:cstheme="minorBidi"/>
          <w:color w:val="auto"/>
          <w:lang w:eastAsia="en-US"/>
        </w:rPr>
        <w:t xml:space="preserve">, </w:t>
      </w:r>
      <w:proofErr w:type="spellStart"/>
      <w:r w:rsidRPr="4679195D">
        <w:rPr>
          <w:rFonts w:eastAsiaTheme="minorEastAsia" w:cstheme="minorBidi"/>
          <w:color w:val="auto"/>
          <w:lang w:eastAsia="en-US"/>
        </w:rPr>
        <w:t>natuurinclusieve</w:t>
      </w:r>
      <w:proofErr w:type="spellEnd"/>
      <w:r w:rsidRPr="4679195D">
        <w:rPr>
          <w:rFonts w:eastAsiaTheme="minorEastAsia" w:cstheme="minorBidi"/>
          <w:color w:val="auto"/>
          <w:lang w:eastAsia="en-US"/>
        </w:rPr>
        <w:t xml:space="preserve"> en circulaire maatregelen. In de eerste ronde in juni is voor ongeveer 156 miljoen euro aan middelen verstrekt voor 33 projecten. Deze projecten starten in 2025. </w:t>
      </w:r>
      <w:r>
        <w:rPr>
          <w:rFonts w:eastAsiaTheme="minorHAnsi" w:cstheme="minorBidi"/>
          <w:color w:val="auto"/>
          <w:lang w:eastAsia="en-US"/>
        </w:rPr>
        <w:br/>
      </w:r>
      <w:r>
        <w:rPr>
          <w:rFonts w:eastAsiaTheme="minorHAnsi" w:cstheme="minorBidi"/>
          <w:color w:val="auto"/>
          <w:lang w:eastAsia="en-US"/>
        </w:rPr>
        <w:br/>
      </w:r>
      <w:r w:rsidRPr="4679195D">
        <w:rPr>
          <w:rFonts w:eastAsiaTheme="minorEastAsia" w:cstheme="minorBidi"/>
          <w:color w:val="auto"/>
          <w:lang w:eastAsia="en-US"/>
        </w:rPr>
        <w:t>De minister van Defensie heeft de Kamer op 30 mei jl. geïnformeerd</w:t>
      </w:r>
      <w:r w:rsidRPr="4679195D">
        <w:rPr>
          <w:rStyle w:val="Voetnootmarkering"/>
          <w:rFonts w:eastAsiaTheme="minorEastAsia" w:cstheme="minorBidi"/>
          <w:color w:val="auto"/>
          <w:lang w:eastAsia="en-US"/>
        </w:rPr>
        <w:footnoteReference w:id="11"/>
      </w:r>
      <w:r w:rsidRPr="4679195D">
        <w:rPr>
          <w:rFonts w:eastAsiaTheme="minorEastAsia" w:cstheme="minorBidi"/>
          <w:color w:val="auto"/>
          <w:lang w:eastAsia="en-US"/>
        </w:rPr>
        <w:t xml:space="preserve"> over de wijze waarop het vastgoed van Defensie wordt aangepakt, zodat dit gaat voldoen aan de wettelijke eisen.</w:t>
      </w:r>
    </w:p>
    <w:p w:rsidR="009825A9" w:rsidP="009825A9" w:rsidRDefault="4679195D" w14:paraId="4A382EA8" w14:textId="77777777">
      <w:r w:rsidRPr="4679195D">
        <w:rPr>
          <w:b/>
          <w:bCs/>
        </w:rPr>
        <w:t xml:space="preserve">Evaluatie energielabel C verplichting kantoren </w:t>
      </w:r>
      <w:r w:rsidR="009825A9">
        <w:br/>
      </w:r>
      <w:r>
        <w:t xml:space="preserve">De energielabel C verplichting voor kantoren is één van de eerste verplichtingen voor bestaande bouw in Europa. Ik heb een evaluatie laten uitvoeren naar de invoering en de effecten na ruim een jaar energielabel C verplichting. Dit onderzoeksrapport is bijgevoegd bij deze brief. </w:t>
      </w:r>
    </w:p>
    <w:p w:rsidRPr="00BD292F" w:rsidR="009825A9" w:rsidP="009825A9" w:rsidRDefault="009825A9" w14:paraId="6862B8D2" w14:textId="77777777"/>
    <w:p w:rsidRPr="00BD292F" w:rsidR="009825A9" w:rsidP="4679195D" w:rsidRDefault="4679195D" w14:paraId="2E594FAB" w14:textId="77777777">
      <w:pPr>
        <w:rPr>
          <w:i/>
          <w:iCs/>
        </w:rPr>
      </w:pPr>
      <w:r w:rsidRPr="4679195D">
        <w:rPr>
          <w:i/>
          <w:iCs/>
        </w:rPr>
        <w:t>Conclusies evaluatie verplicht energielabel C voor kantoren</w:t>
      </w:r>
    </w:p>
    <w:p w:rsidRPr="00BD292F" w:rsidR="009825A9" w:rsidP="009825A9" w:rsidRDefault="4679195D" w14:paraId="335224DE" w14:textId="77777777">
      <w:r>
        <w:t xml:space="preserve">Vanaf het moment van bekendmaking in 2018 tot nu is een aanzienlijke verbetering te zien van </w:t>
      </w:r>
      <w:proofErr w:type="spellStart"/>
      <w:r>
        <w:t>energielabels</w:t>
      </w:r>
      <w:proofErr w:type="spellEnd"/>
      <w:r>
        <w:t xml:space="preserve"> in de kantorenvoorraad in Nederland. Dit heeft geleid tot een reductie in de CO</w:t>
      </w:r>
      <w:r w:rsidRPr="4679195D">
        <w:rPr>
          <w:vertAlign w:val="subscript"/>
        </w:rPr>
        <w:t>2</w:t>
      </w:r>
      <w:r>
        <w:t>-uitstoot. De CO</w:t>
      </w:r>
      <w:r w:rsidRPr="4679195D">
        <w:rPr>
          <w:vertAlign w:val="subscript"/>
        </w:rPr>
        <w:t>2</w:t>
      </w:r>
      <w:r>
        <w:t>-reductie die direct te herleiden is naar deze verplichting blijkt echter beperkt vanwege autonome verduurzaming en een al betere staat van de kantoren dan verwacht in 2018. De maatregelen, kosten en terugverdientijd om label C te behalen bleven beperkt en er hebben zich geen noemenswaardige knelpunten voorgedaan bij gebouweigenaren. Grotere kantoorpanden, vaak van institutionele beleggers, voldoen bijna allemaal aan de verplichting. Eigenaren van kleine kantoorgebouwen zijn minder goed op de hoogte en hebben minder financieringsmogelijkheden. Verder is goede en tijdige communicatie over de normering cruciaal gebleken. De aankondiging in 2018 en duidelijke ingangsdatum in 2023 hebben bijgedragen aan de naleving</w:t>
      </w:r>
    </w:p>
    <w:p w:rsidRPr="00BD292F" w:rsidR="009825A9" w:rsidP="009825A9" w:rsidRDefault="009825A9" w14:paraId="715D3901" w14:textId="77777777"/>
    <w:p w:rsidRPr="00BD292F" w:rsidR="009825A9" w:rsidP="009825A9" w:rsidRDefault="009825A9" w14:paraId="2060CBD5" w14:textId="77777777">
      <w:pPr>
        <w:spacing w:line="276" w:lineRule="auto"/>
      </w:pPr>
      <w:r w:rsidRPr="00BD292F">
        <w:t>De</w:t>
      </w:r>
      <w:r>
        <w:t xml:space="preserve"> conclusies laten zien dat de</w:t>
      </w:r>
      <w:r w:rsidRPr="00BD292F">
        <w:t xml:space="preserve"> energielabel C verplichting een bijdrage</w:t>
      </w:r>
      <w:r>
        <w:t xml:space="preserve"> heeft</w:t>
      </w:r>
      <w:r w:rsidRPr="00BD292F">
        <w:t xml:space="preserve"> geleverd aan het op de agenda zetten van verduurzamen van de gebouwen in Nederland. </w:t>
      </w:r>
      <w:r>
        <w:t>Uit onderzoek blijkt dat kantoren</w:t>
      </w:r>
      <w:r w:rsidRPr="00BD292F">
        <w:t xml:space="preserve"> met betere </w:t>
      </w:r>
      <w:proofErr w:type="spellStart"/>
      <w:r w:rsidRPr="00BD292F">
        <w:t>energielabels</w:t>
      </w:r>
      <w:proofErr w:type="spellEnd"/>
      <w:r w:rsidRPr="00BD292F">
        <w:t xml:space="preserve"> couranter en waardevaster</w:t>
      </w:r>
      <w:r>
        <w:t xml:space="preserve"> zijn, k</w:t>
      </w:r>
      <w:r w:rsidRPr="00BD292F">
        <w:t xml:space="preserve">antoren met een label C of beter zijn 20% meer waard dan </w:t>
      </w:r>
      <w:r>
        <w:t>die</w:t>
      </w:r>
      <w:r w:rsidRPr="00BD292F">
        <w:t xml:space="preserve"> met een label D</w:t>
      </w:r>
      <w:r>
        <w:t xml:space="preserve"> t/m </w:t>
      </w:r>
      <w:r w:rsidRPr="00BD292F">
        <w:t>G</w:t>
      </w:r>
      <w:r>
        <w:rPr>
          <w:rStyle w:val="Voetnootmarkering"/>
        </w:rPr>
        <w:footnoteReference w:id="12"/>
      </w:r>
      <w:r w:rsidRPr="00BD292F">
        <w:t>.</w:t>
      </w:r>
    </w:p>
    <w:p w:rsidRPr="00BD292F" w:rsidR="009825A9" w:rsidP="009825A9" w:rsidRDefault="009825A9" w14:paraId="3C787695" w14:textId="77777777">
      <w:pPr>
        <w:rPr>
          <w:b/>
          <w:bCs/>
        </w:rPr>
      </w:pPr>
    </w:p>
    <w:p w:rsidRPr="000012EF" w:rsidR="009825A9" w:rsidP="4679195D" w:rsidRDefault="4679195D" w14:paraId="746A018D" w14:textId="77777777">
      <w:pPr>
        <w:rPr>
          <w:i/>
          <w:iCs/>
        </w:rPr>
      </w:pPr>
      <w:r w:rsidRPr="4679195D">
        <w:rPr>
          <w:i/>
          <w:iCs/>
        </w:rPr>
        <w:t>Voortgang toezicht en handhaving</w:t>
      </w:r>
    </w:p>
    <w:p w:rsidR="009825A9" w:rsidP="009825A9" w:rsidRDefault="4679195D" w14:paraId="21CA6CBE" w14:textId="77777777">
      <w:r>
        <w:t xml:space="preserve">Vanaf de ingangsdatum van 1 januari 2023 houden de bevoegde gezagen toezicht op de energielabel C verplichting. Om inzicht te krijgen in de stand van zaken van het toezicht en de handhaving per gemeente, heb ik hier onderzoek naar laten doen door RVO. Dit onderzoeksrapport is bijgevoegd. </w:t>
      </w:r>
    </w:p>
    <w:p w:rsidRPr="00BD292F" w:rsidR="009825A9" w:rsidP="009825A9" w:rsidRDefault="009825A9" w14:paraId="6DBA8BDD" w14:textId="77777777"/>
    <w:p w:rsidR="00797584" w:rsidP="4679195D" w:rsidRDefault="00797584" w14:paraId="2CBEE695" w14:textId="77777777">
      <w:bookmarkStart w:name="_Hlk174712612" w:id="0"/>
    </w:p>
    <w:p w:rsidR="00797584" w:rsidP="4679195D" w:rsidRDefault="00797584" w14:paraId="585B4D2A" w14:textId="77777777"/>
    <w:p w:rsidR="00797584" w:rsidP="4679195D" w:rsidRDefault="00797584" w14:paraId="06475183" w14:textId="77777777"/>
    <w:p w:rsidR="00797584" w:rsidP="4679195D" w:rsidRDefault="00797584" w14:paraId="4682947C" w14:textId="77777777"/>
    <w:p w:rsidR="00797584" w:rsidP="4679195D" w:rsidRDefault="00797584" w14:paraId="50D77334" w14:textId="77777777"/>
    <w:p w:rsidR="00797584" w:rsidP="4679195D" w:rsidRDefault="00797584" w14:paraId="597AE64F" w14:textId="77777777"/>
    <w:p w:rsidR="00797584" w:rsidP="4679195D" w:rsidRDefault="00797584" w14:paraId="3720E7CD" w14:textId="77777777"/>
    <w:p w:rsidR="00797584" w:rsidP="4679195D" w:rsidRDefault="00797584" w14:paraId="5E5AF356" w14:textId="77777777"/>
    <w:p w:rsidR="00797584" w:rsidP="4679195D" w:rsidRDefault="00797584" w14:paraId="4F35D50E" w14:textId="77777777"/>
    <w:p w:rsidR="009825A9" w:rsidP="4679195D" w:rsidRDefault="4679195D" w14:paraId="28948B22" w14:textId="623610F8">
      <w:pPr>
        <w:rPr>
          <w:color w:val="000000" w:themeColor="text1"/>
        </w:rPr>
      </w:pPr>
      <w:r>
        <w:t xml:space="preserve">Uit de rapportage van RVO blijkt dat een groot deel van de gemeenten (58%, 197 gemeenten) is gestart met de handhaving en 150 gemeenten verwachten de handhaving voor 2025 af te ronden. Ongeveer 81% van de gebouwen voldoet volgens de toezichthouders aan de verplichting. Voor de overige gebouwen bestaat handhaving vooral om het versturen van waarschuwingsbrieven (bij 7.118 gedaan) en het opleggen van een last onder dwangsom (24 keer gebeurd). Het grootste deel van de gemeenten die nog niet gestart zijn (102 gemeenten), heeft aangegeven dit komend jaar op te pakken. Enkele kleine gemeenten geven hier geen prioriteit aan of hebben vrijwel geen kantoorgebouwen. </w:t>
      </w:r>
    </w:p>
    <w:bookmarkEnd w:id="0"/>
    <w:p w:rsidR="009825A9" w:rsidP="009825A9" w:rsidRDefault="009825A9" w14:paraId="65AA55EA" w14:textId="77777777">
      <w:pPr>
        <w:rPr>
          <w:color w:val="000000" w:themeColor="text1"/>
        </w:rPr>
      </w:pPr>
    </w:p>
    <w:p w:rsidRPr="00BD292F" w:rsidR="009825A9" w:rsidP="009825A9" w:rsidRDefault="4679195D" w14:paraId="52AEE58C" w14:textId="77777777">
      <w:r>
        <w:t>De minister van Volkshuisvesting en Ruimtelijke Ordening,</w:t>
      </w:r>
      <w:r w:rsidR="009825A9">
        <w:br/>
      </w:r>
      <w:r w:rsidR="009825A9">
        <w:br/>
      </w:r>
      <w:r w:rsidR="009825A9">
        <w:br/>
      </w:r>
      <w:r w:rsidR="009825A9">
        <w:br/>
      </w:r>
      <w:r w:rsidR="009825A9">
        <w:br/>
      </w:r>
      <w:r w:rsidR="009825A9">
        <w:br/>
      </w:r>
      <w:r>
        <w:t>Mona Keijzer</w:t>
      </w:r>
    </w:p>
    <w:p w:rsidRPr="00BD292F" w:rsidR="007E6C75" w:rsidRDefault="007E6C75" w14:paraId="1AA90926" w14:textId="77777777"/>
    <w:sectPr w:rsidRPr="00BD292F" w:rsidR="007E6C75">
      <w:headerReference w:type="even" r:id="rId11"/>
      <w:headerReference w:type="default" r:id="rId12"/>
      <w:footerReference w:type="even" r:id="rId13"/>
      <w:footerReference w:type="default" r:id="rId14"/>
      <w:headerReference w:type="first" r:id="rId15"/>
      <w:footerReference w:type="first" r:id="rId16"/>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80574" w14:textId="77777777" w:rsidR="003A7A77" w:rsidRDefault="003A7A77">
      <w:pPr>
        <w:spacing w:line="240" w:lineRule="auto"/>
      </w:pPr>
      <w:r>
        <w:separator/>
      </w:r>
    </w:p>
  </w:endnote>
  <w:endnote w:type="continuationSeparator" w:id="0">
    <w:p w14:paraId="2D6CDB69" w14:textId="77777777" w:rsidR="003A7A77" w:rsidRDefault="003A7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910C" w14:textId="77777777" w:rsidR="00340DAD" w:rsidRDefault="00340D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E497" w14:textId="77777777" w:rsidR="00340DAD" w:rsidRDefault="00340D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2ADE" w14:textId="77777777" w:rsidR="007E6C75" w:rsidRDefault="007E6C75">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EA7C" w14:textId="77777777" w:rsidR="003A7A77" w:rsidRDefault="003A7A77">
      <w:pPr>
        <w:spacing w:line="240" w:lineRule="auto"/>
      </w:pPr>
      <w:r>
        <w:separator/>
      </w:r>
    </w:p>
  </w:footnote>
  <w:footnote w:type="continuationSeparator" w:id="0">
    <w:p w14:paraId="3FF4596C" w14:textId="77777777" w:rsidR="003A7A77" w:rsidRDefault="003A7A77">
      <w:pPr>
        <w:spacing w:line="240" w:lineRule="auto"/>
      </w:pPr>
      <w:r>
        <w:continuationSeparator/>
      </w:r>
    </w:p>
  </w:footnote>
  <w:footnote w:id="1">
    <w:p w14:paraId="5E363962" w14:textId="77777777" w:rsidR="009825A9" w:rsidRPr="00D622E6" w:rsidRDefault="009825A9" w:rsidP="4679195D">
      <w:pPr>
        <w:pStyle w:val="Voetnoottekst"/>
        <w:rPr>
          <w:color w:val="auto"/>
          <w:sz w:val="16"/>
          <w:szCs w:val="16"/>
        </w:rPr>
      </w:pPr>
      <w:r w:rsidRPr="00D622E6">
        <w:rPr>
          <w:rStyle w:val="Voetnootmarkering"/>
          <w:color w:val="auto"/>
          <w:sz w:val="16"/>
          <w:szCs w:val="16"/>
        </w:rPr>
        <w:footnoteRef/>
      </w:r>
      <w:r w:rsidRPr="00D622E6">
        <w:rPr>
          <w:color w:val="auto"/>
          <w:sz w:val="16"/>
          <w:szCs w:val="16"/>
        </w:rPr>
        <w:t xml:space="preserve"> Kamerstuk 30 196, nr. 824 </w:t>
      </w:r>
      <w:hyperlink r:id="rId1" w:history="1">
        <w:r w:rsidRPr="00D622E6">
          <w:rPr>
            <w:rStyle w:val="Hyperlink"/>
            <w:color w:val="auto"/>
            <w:sz w:val="16"/>
            <w:szCs w:val="16"/>
          </w:rPr>
          <w:t>Kamerbrief verbetering kwaliteitsborging energielabel</w:t>
        </w:r>
      </w:hyperlink>
    </w:p>
  </w:footnote>
  <w:footnote w:id="2">
    <w:p w14:paraId="614459A3" w14:textId="77777777" w:rsidR="009825A9" w:rsidRPr="00D622E6" w:rsidRDefault="009825A9" w:rsidP="4679195D">
      <w:pPr>
        <w:pStyle w:val="Voetnoottekst"/>
        <w:rPr>
          <w:color w:val="auto"/>
        </w:rPr>
      </w:pPr>
      <w:r w:rsidRPr="00D622E6">
        <w:rPr>
          <w:rStyle w:val="Voetnootmarkering"/>
          <w:color w:val="auto"/>
          <w:sz w:val="16"/>
          <w:szCs w:val="16"/>
        </w:rPr>
        <w:footnoteRef/>
      </w:r>
      <w:r w:rsidRPr="00D622E6">
        <w:rPr>
          <w:color w:val="auto"/>
          <w:sz w:val="16"/>
          <w:szCs w:val="16"/>
        </w:rPr>
        <w:t xml:space="preserve"> Dit percentage bevat de </w:t>
      </w:r>
      <w:proofErr w:type="spellStart"/>
      <w:r w:rsidRPr="00D622E6">
        <w:rPr>
          <w:color w:val="auto"/>
          <w:sz w:val="16"/>
          <w:szCs w:val="16"/>
        </w:rPr>
        <w:t>energielabels</w:t>
      </w:r>
      <w:proofErr w:type="spellEnd"/>
      <w:r w:rsidRPr="00D622E6">
        <w:rPr>
          <w:color w:val="auto"/>
          <w:sz w:val="16"/>
          <w:szCs w:val="16"/>
        </w:rPr>
        <w:t xml:space="preserve"> opgenomen met de basismethode (8,7% kritieke afwijkingen) en detailmethode (3,4% kritieke afwijkingen) samen.</w:t>
      </w:r>
    </w:p>
  </w:footnote>
  <w:footnote w:id="3">
    <w:p w14:paraId="162FB7C8" w14:textId="77777777" w:rsidR="009825A9" w:rsidRPr="00D622E6" w:rsidRDefault="009825A9" w:rsidP="4679195D">
      <w:pPr>
        <w:pStyle w:val="Voetnoottekst"/>
        <w:rPr>
          <w:color w:val="auto"/>
        </w:rPr>
      </w:pPr>
      <w:r w:rsidRPr="00D622E6">
        <w:rPr>
          <w:rStyle w:val="Voetnootmarkering"/>
          <w:color w:val="auto"/>
          <w:sz w:val="16"/>
          <w:szCs w:val="16"/>
        </w:rPr>
        <w:footnoteRef/>
      </w:r>
      <w:r w:rsidRPr="00D622E6">
        <w:rPr>
          <w:color w:val="auto"/>
          <w:sz w:val="16"/>
          <w:szCs w:val="16"/>
        </w:rPr>
        <w:t xml:space="preserve"> Dit percentage bevat de </w:t>
      </w:r>
      <w:proofErr w:type="spellStart"/>
      <w:r w:rsidRPr="00D622E6">
        <w:rPr>
          <w:color w:val="auto"/>
          <w:sz w:val="16"/>
          <w:szCs w:val="16"/>
        </w:rPr>
        <w:t>energielabels</w:t>
      </w:r>
      <w:proofErr w:type="spellEnd"/>
      <w:r w:rsidRPr="00D622E6">
        <w:rPr>
          <w:color w:val="auto"/>
          <w:sz w:val="16"/>
          <w:szCs w:val="16"/>
        </w:rPr>
        <w:t xml:space="preserve"> opgenomen met de basismethode (10,2% kritieke afwijkingen) en de detailmethode (6,5% kritieke afwijkingen) samen.</w:t>
      </w:r>
    </w:p>
  </w:footnote>
  <w:footnote w:id="4">
    <w:p w14:paraId="3FAA26E8" w14:textId="77777777" w:rsidR="009825A9" w:rsidRPr="00D622E6" w:rsidRDefault="009825A9" w:rsidP="4679195D">
      <w:pPr>
        <w:spacing w:line="240" w:lineRule="auto"/>
        <w:rPr>
          <w:color w:val="auto"/>
        </w:rPr>
      </w:pPr>
      <w:r w:rsidRPr="00D622E6">
        <w:rPr>
          <w:rStyle w:val="Voetnootmarkering"/>
          <w:color w:val="auto"/>
          <w:sz w:val="16"/>
          <w:szCs w:val="16"/>
        </w:rPr>
        <w:footnoteRef/>
      </w:r>
      <w:r w:rsidRPr="00D622E6">
        <w:rPr>
          <w:color w:val="auto"/>
          <w:sz w:val="16"/>
          <w:szCs w:val="16"/>
        </w:rPr>
        <w:t xml:space="preserve"> Er is sprake van een kritieke afwijking als de energieprestatie bij controle 8% afwijkt van de correcte energieprestatie of als er minstens 5 fouten zijn gemaakt die meer dan 1% effect hebben op de totale energieprestatie van het gebouw. Een kritieke afwijking betekent niet dat er ook direct sprake is van een verkeerde labelklasse (A++++ t/m G). </w:t>
      </w:r>
    </w:p>
  </w:footnote>
  <w:footnote w:id="5">
    <w:p w14:paraId="7DA37568" w14:textId="77777777" w:rsidR="009825A9" w:rsidRPr="00D622E6" w:rsidRDefault="009825A9" w:rsidP="4679195D">
      <w:pPr>
        <w:pStyle w:val="Voetnoottekst"/>
        <w:rPr>
          <w:color w:val="auto"/>
          <w:sz w:val="16"/>
          <w:szCs w:val="16"/>
        </w:rPr>
      </w:pPr>
      <w:r w:rsidRPr="00D622E6">
        <w:rPr>
          <w:rStyle w:val="Voetnootmarkering"/>
          <w:color w:val="auto"/>
          <w:sz w:val="16"/>
          <w:szCs w:val="16"/>
        </w:rPr>
        <w:footnoteRef/>
      </w:r>
      <w:r w:rsidRPr="00D622E6">
        <w:rPr>
          <w:color w:val="auto"/>
          <w:sz w:val="16"/>
          <w:szCs w:val="16"/>
        </w:rPr>
        <w:t xml:space="preserve"> In de beoordelingsrichtlijnen (BRL9500) staan de spelregels waaraan de partijen in het stelsel zich moeten houden. Hierin staat bijvoorbeeld hoe de controlesteekproef is vormgegeven en op welke manier wordt gesanctioneerd bij fouten.</w:t>
      </w:r>
    </w:p>
  </w:footnote>
  <w:footnote w:id="6">
    <w:p w14:paraId="02DC22E7" w14:textId="77777777" w:rsidR="009825A9" w:rsidRPr="00D622E6" w:rsidRDefault="009825A9" w:rsidP="4679195D">
      <w:pPr>
        <w:pStyle w:val="Voetnoottekst"/>
        <w:rPr>
          <w:color w:val="auto"/>
          <w:sz w:val="16"/>
          <w:szCs w:val="16"/>
        </w:rPr>
      </w:pPr>
      <w:r w:rsidRPr="00D622E6">
        <w:rPr>
          <w:rStyle w:val="Voetnootmarkering"/>
          <w:color w:val="auto"/>
          <w:sz w:val="16"/>
          <w:szCs w:val="16"/>
        </w:rPr>
        <w:footnoteRef/>
      </w:r>
      <w:r w:rsidRPr="00D622E6">
        <w:rPr>
          <w:color w:val="auto"/>
          <w:sz w:val="16"/>
          <w:szCs w:val="16"/>
        </w:rPr>
        <w:t xml:space="preserve"> De certificaathouder is de organisatie waaronder vakbekwame energieadviseurs werkzaam zijn.</w:t>
      </w:r>
    </w:p>
  </w:footnote>
  <w:footnote w:id="7">
    <w:p w14:paraId="52339ECE" w14:textId="77777777" w:rsidR="009825A9" w:rsidRPr="00D622E6" w:rsidRDefault="009825A9" w:rsidP="4679195D">
      <w:pPr>
        <w:pStyle w:val="Voetnoottekst"/>
        <w:rPr>
          <w:color w:val="auto"/>
          <w:sz w:val="16"/>
          <w:szCs w:val="16"/>
        </w:rPr>
      </w:pPr>
      <w:r w:rsidRPr="00D622E6">
        <w:rPr>
          <w:rStyle w:val="Voetnootmarkering"/>
          <w:color w:val="auto"/>
          <w:sz w:val="16"/>
          <w:szCs w:val="16"/>
        </w:rPr>
        <w:footnoteRef/>
      </w:r>
      <w:r w:rsidRPr="00D622E6">
        <w:rPr>
          <w:color w:val="auto"/>
          <w:sz w:val="16"/>
          <w:szCs w:val="16"/>
        </w:rPr>
        <w:t xml:space="preserve"> Kamerstuk 32 813, nr. 1203 </w:t>
      </w:r>
      <w:hyperlink r:id="rId2" w:history="1">
        <w:r w:rsidRPr="00D622E6">
          <w:rPr>
            <w:rStyle w:val="Hyperlink"/>
            <w:color w:val="auto"/>
            <w:sz w:val="16"/>
            <w:szCs w:val="16"/>
          </w:rPr>
          <w:t>Motie inzetten</w:t>
        </w:r>
      </w:hyperlink>
      <w:r w:rsidRPr="00D622E6">
        <w:rPr>
          <w:rStyle w:val="Hyperlink"/>
          <w:color w:val="auto"/>
          <w:sz w:val="16"/>
          <w:szCs w:val="16"/>
        </w:rPr>
        <w:t xml:space="preserve"> technologie voor inzicht in energieprestatie gebouw</w:t>
      </w:r>
    </w:p>
  </w:footnote>
  <w:footnote w:id="8">
    <w:p w14:paraId="21602918" w14:textId="77777777" w:rsidR="009825A9" w:rsidRPr="00D622E6" w:rsidRDefault="009825A9" w:rsidP="4679195D">
      <w:pPr>
        <w:pStyle w:val="Voetnoottekst"/>
        <w:rPr>
          <w:color w:val="auto"/>
        </w:rPr>
      </w:pPr>
      <w:r w:rsidRPr="00D622E6">
        <w:rPr>
          <w:rStyle w:val="Voetnootmarkering"/>
          <w:color w:val="auto"/>
        </w:rPr>
        <w:footnoteRef/>
      </w:r>
      <w:r w:rsidRPr="00D622E6">
        <w:rPr>
          <w:color w:val="auto"/>
        </w:rPr>
        <w:t xml:space="preserve"> </w:t>
      </w:r>
      <w:r w:rsidRPr="00D622E6">
        <w:rPr>
          <w:color w:val="auto"/>
          <w:sz w:val="16"/>
          <w:szCs w:val="16"/>
        </w:rPr>
        <w:t xml:space="preserve">Kamerstuk 29 023, nr. 503 </w:t>
      </w:r>
      <w:hyperlink r:id="rId3" w:history="1">
        <w:r w:rsidRPr="00D622E6">
          <w:rPr>
            <w:rStyle w:val="Hyperlink"/>
            <w:color w:val="auto"/>
            <w:sz w:val="16"/>
            <w:szCs w:val="16"/>
          </w:rPr>
          <w:t>Motie over Rijksvastgoed laten voldoen aan energielabel C verplichting kantoren</w:t>
        </w:r>
      </w:hyperlink>
    </w:p>
  </w:footnote>
  <w:footnote w:id="9">
    <w:p w14:paraId="0115498D" w14:textId="77777777" w:rsidR="009825A9" w:rsidRPr="00D622E6" w:rsidRDefault="009825A9" w:rsidP="4679195D">
      <w:pPr>
        <w:pStyle w:val="Voetnoottekst"/>
        <w:rPr>
          <w:color w:val="auto"/>
          <w:sz w:val="16"/>
          <w:szCs w:val="16"/>
        </w:rPr>
      </w:pPr>
      <w:r w:rsidRPr="00D622E6">
        <w:rPr>
          <w:rStyle w:val="Voetnootmarkering"/>
          <w:color w:val="auto"/>
          <w:sz w:val="16"/>
          <w:szCs w:val="16"/>
        </w:rPr>
        <w:footnoteRef/>
      </w:r>
      <w:r w:rsidRPr="00D622E6">
        <w:rPr>
          <w:color w:val="auto"/>
          <w:sz w:val="16"/>
          <w:szCs w:val="16"/>
        </w:rPr>
        <w:t xml:space="preserve"> Deelnemers hebben zich ten doel gesteld 3,5% finaal energiegebruik en 5,5% fossiel energiegebruik te reduceren.</w:t>
      </w:r>
    </w:p>
  </w:footnote>
  <w:footnote w:id="10">
    <w:p w14:paraId="28B352CF" w14:textId="77777777" w:rsidR="009825A9" w:rsidRPr="00D622E6" w:rsidRDefault="009825A9" w:rsidP="4679195D">
      <w:pPr>
        <w:pStyle w:val="Voetnoottekst"/>
        <w:rPr>
          <w:color w:val="auto"/>
          <w:sz w:val="16"/>
          <w:szCs w:val="16"/>
        </w:rPr>
      </w:pPr>
      <w:r w:rsidRPr="00D622E6">
        <w:rPr>
          <w:rStyle w:val="Voetnootmarkering"/>
          <w:color w:val="auto"/>
          <w:sz w:val="16"/>
          <w:szCs w:val="16"/>
        </w:rPr>
        <w:footnoteRef/>
      </w:r>
      <w:r w:rsidRPr="00D622E6">
        <w:rPr>
          <w:color w:val="auto"/>
          <w:sz w:val="16"/>
          <w:szCs w:val="16"/>
        </w:rPr>
        <w:t xml:space="preserve"> De renovatiestandaard is het </w:t>
      </w:r>
      <w:proofErr w:type="spellStart"/>
      <w:r w:rsidRPr="00D622E6">
        <w:rPr>
          <w:color w:val="auto"/>
          <w:sz w:val="16"/>
          <w:szCs w:val="16"/>
        </w:rPr>
        <w:t>kostenoptimale</w:t>
      </w:r>
      <w:proofErr w:type="spellEnd"/>
      <w:r w:rsidRPr="00D622E6">
        <w:rPr>
          <w:color w:val="auto"/>
          <w:sz w:val="16"/>
          <w:szCs w:val="16"/>
        </w:rPr>
        <w:t xml:space="preserve"> niveau om naar verduurzamen bij renovatie. Meer informatie: </w:t>
      </w:r>
      <w:hyperlink r:id="rId4" w:history="1">
        <w:r w:rsidRPr="00D622E6">
          <w:rPr>
            <w:rStyle w:val="Hyperlink"/>
            <w:color w:val="auto"/>
            <w:sz w:val="16"/>
            <w:szCs w:val="16"/>
          </w:rPr>
          <w:t>Renovatiestandaard (rvo.nl)</w:t>
        </w:r>
      </w:hyperlink>
    </w:p>
  </w:footnote>
  <w:footnote w:id="11">
    <w:p w14:paraId="027C859A" w14:textId="77777777" w:rsidR="009825A9" w:rsidRPr="00D622E6" w:rsidRDefault="009825A9" w:rsidP="4679195D">
      <w:pPr>
        <w:pStyle w:val="Voetnoottekst"/>
        <w:rPr>
          <w:color w:val="auto"/>
        </w:rPr>
      </w:pPr>
      <w:r w:rsidRPr="00D622E6">
        <w:rPr>
          <w:rStyle w:val="Voetnootmarkering"/>
          <w:color w:val="auto"/>
        </w:rPr>
        <w:footnoteRef/>
      </w:r>
      <w:r w:rsidRPr="00D622E6">
        <w:rPr>
          <w:color w:val="auto"/>
        </w:rPr>
        <w:t xml:space="preserve">  </w:t>
      </w:r>
      <w:r w:rsidRPr="00D622E6">
        <w:rPr>
          <w:color w:val="auto"/>
          <w:sz w:val="16"/>
          <w:szCs w:val="16"/>
        </w:rPr>
        <w:t xml:space="preserve">Kamerstuk 31 124, nr. 43 </w:t>
      </w:r>
      <w:hyperlink r:id="rId5" w:history="1">
        <w:r w:rsidRPr="00D622E6">
          <w:rPr>
            <w:rStyle w:val="Hyperlink"/>
            <w:color w:val="auto"/>
            <w:sz w:val="16"/>
            <w:szCs w:val="16"/>
          </w:rPr>
          <w:t>Kamerbrief aanpak verduurzaming vastgoed Defensie</w:t>
        </w:r>
      </w:hyperlink>
    </w:p>
  </w:footnote>
  <w:footnote w:id="12">
    <w:p w14:paraId="7E1E1EF9" w14:textId="77777777" w:rsidR="009825A9" w:rsidRPr="00D622E6" w:rsidRDefault="009825A9" w:rsidP="4679195D">
      <w:pPr>
        <w:pStyle w:val="Voetnoottekst"/>
        <w:rPr>
          <w:color w:val="auto"/>
          <w:sz w:val="16"/>
          <w:szCs w:val="16"/>
        </w:rPr>
      </w:pPr>
      <w:r w:rsidRPr="00D622E6">
        <w:rPr>
          <w:rStyle w:val="Voetnootmarkering"/>
          <w:color w:val="auto"/>
          <w:sz w:val="16"/>
          <w:szCs w:val="16"/>
        </w:rPr>
        <w:footnoteRef/>
      </w:r>
      <w:r w:rsidRPr="00D622E6">
        <w:rPr>
          <w:color w:val="auto"/>
          <w:sz w:val="16"/>
          <w:szCs w:val="16"/>
        </w:rPr>
        <w:t xml:space="preserve"> </w:t>
      </w:r>
      <w:proofErr w:type="spellStart"/>
      <w:r w:rsidRPr="00D622E6">
        <w:rPr>
          <w:color w:val="auto"/>
          <w:sz w:val="16"/>
          <w:szCs w:val="16"/>
        </w:rPr>
        <w:t>Eichholt</w:t>
      </w:r>
      <w:proofErr w:type="spellEnd"/>
      <w:r w:rsidRPr="00D622E6">
        <w:rPr>
          <w:color w:val="auto"/>
          <w:sz w:val="16"/>
          <w:szCs w:val="16"/>
        </w:rPr>
        <w:t xml:space="preserve">, P. et al. (2024) </w:t>
      </w:r>
      <w:hyperlink r:id="rId6" w:history="1">
        <w:r w:rsidRPr="00D622E6">
          <w:rPr>
            <w:rStyle w:val="Hyperlink"/>
            <w:color w:val="auto"/>
            <w:sz w:val="16"/>
            <w:szCs w:val="16"/>
          </w:rPr>
          <w:t>Plicht voor energielabel C voor kantoren lijkt gewenst effect te hebben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F85A" w14:textId="77777777" w:rsidR="00340DAD" w:rsidRDefault="00340D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BB74" w14:textId="77777777" w:rsidR="007E6C75" w:rsidRDefault="001D61CE">
    <w:pPr>
      <w:pStyle w:val="MarginlessContainer"/>
    </w:pPr>
    <w:r>
      <w:rPr>
        <w:noProof/>
      </w:rPr>
      <mc:AlternateContent>
        <mc:Choice Requires="wps">
          <w:drawing>
            <wp:anchor distT="0" distB="0" distL="0" distR="0" simplePos="0" relativeHeight="251651584" behindDoc="0" locked="1" layoutInCell="1" allowOverlap="1" wp14:anchorId="7FC29F18" wp14:editId="685E5639">
              <wp:simplePos x="0" y="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1922BE39" w14:textId="77777777" w:rsidR="00C3715B" w:rsidRDefault="00C3715B"/>
                      </w:txbxContent>
                    </wps:txbx>
                    <wps:bodyPr vert="horz" wrap="square" lIns="0" tIns="0" rIns="0" bIns="0" anchor="t" anchorCtr="0"/>
                  </wps:wsp>
                </a:graphicData>
              </a:graphic>
            </wp:anchor>
          </w:drawing>
        </mc:Choice>
        <mc:Fallback>
          <w:pict>
            <v:shapetype w14:anchorId="7FC29F18"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1922BE39" w14:textId="77777777" w:rsidR="00C3715B" w:rsidRDefault="00C3715B"/>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061EC850" wp14:editId="65F76559">
              <wp:simplePos x="0" y="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3E0DEAED" w14:textId="77777777" w:rsidR="00300F97" w:rsidRDefault="00AD2E8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061EC850" id="_x0000_t202" coordsize="21600,21600" o:spt="202" path="m,l,21600r21600,l21600,xe">
              <v:stroke joinstyle="miter"/>
              <v:path gradientshapeok="t" o:connecttype="rect"/>
            </v:shapetype>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3E0DEAED" w14:textId="77777777" w:rsidR="00300F97" w:rsidRDefault="00AD2E8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EF801B0" wp14:editId="6B65AE87">
              <wp:simplePos x="0" y="0"/>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3F2261A5" w14:textId="77777777" w:rsidR="007E6C75" w:rsidRDefault="001D61CE">
                          <w:pPr>
                            <w:pStyle w:val="Kopjeafzendgegevens"/>
                          </w:pPr>
                          <w:r>
                            <w:t>Ministerie van Binnenlandse Zaken en Koninkrijksrelaties</w:t>
                          </w:r>
                        </w:p>
                        <w:p w14:paraId="2508BDAD" w14:textId="77777777" w:rsidR="007E6C75" w:rsidRDefault="007E6C75">
                          <w:pPr>
                            <w:pStyle w:val="WitregelW2"/>
                          </w:pPr>
                        </w:p>
                        <w:p w14:paraId="5B615B4E" w14:textId="77777777" w:rsidR="007E6C75" w:rsidRDefault="001D61CE">
                          <w:pPr>
                            <w:pStyle w:val="Kopjereferentiegegevens"/>
                          </w:pPr>
                          <w:r>
                            <w:t>Datum</w:t>
                          </w:r>
                        </w:p>
                        <w:p w14:paraId="40F8A7C9" w14:textId="667E368B" w:rsidR="00300F97" w:rsidRDefault="00AD2E8C">
                          <w:pPr>
                            <w:pStyle w:val="Referentiegegevens"/>
                          </w:pPr>
                          <w:fldSimple w:instr=" DOCPROPERTY  &quot;Datum&quot;  \* MERGEFORMAT ">
                            <w:r w:rsidR="00C37AE6">
                              <w:t>2 oktober 2024</w:t>
                            </w:r>
                          </w:fldSimple>
                        </w:p>
                        <w:p w14:paraId="1E49ABCE" w14:textId="77777777" w:rsidR="007E6C75" w:rsidRDefault="007E6C75">
                          <w:pPr>
                            <w:pStyle w:val="WitregelW1"/>
                          </w:pPr>
                        </w:p>
                        <w:p w14:paraId="0B50B2E4" w14:textId="77777777" w:rsidR="007E6C75" w:rsidRDefault="001D61CE">
                          <w:pPr>
                            <w:pStyle w:val="Kopjereferentiegegevens"/>
                          </w:pPr>
                          <w:r>
                            <w:t>Kenmerk</w:t>
                          </w:r>
                        </w:p>
                        <w:p w14:paraId="31EB7905" w14:textId="6BA3DCEC" w:rsidR="00300F97" w:rsidRDefault="00AD2E8C">
                          <w:pPr>
                            <w:pStyle w:val="Referentiegegevens"/>
                          </w:pPr>
                          <w:fldSimple w:instr=" DOCPROPERTY  &quot;Kenmerk&quot;  \* MERGEFORMAT ">
                            <w:r w:rsidR="00C37AE6">
                              <w:t>2024-0000515403</w:t>
                            </w:r>
                          </w:fldSimple>
                        </w:p>
                      </w:txbxContent>
                    </wps:txbx>
                    <wps:bodyPr vert="horz" wrap="square" lIns="0" tIns="0" rIns="0" bIns="0" anchor="t" anchorCtr="0"/>
                  </wps:wsp>
                </a:graphicData>
              </a:graphic>
            </wp:anchor>
          </w:drawing>
        </mc:Choice>
        <mc:Fallback>
          <w:pict>
            <v:shape w14:anchorId="5EF801B0"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3F2261A5" w14:textId="77777777" w:rsidR="007E6C75" w:rsidRDefault="001D61CE">
                    <w:pPr>
                      <w:pStyle w:val="Kopjeafzendgegevens"/>
                    </w:pPr>
                    <w:r>
                      <w:t>Ministerie van Binnenlandse Zaken en Koninkrijksrelaties</w:t>
                    </w:r>
                  </w:p>
                  <w:p w14:paraId="2508BDAD" w14:textId="77777777" w:rsidR="007E6C75" w:rsidRDefault="007E6C75">
                    <w:pPr>
                      <w:pStyle w:val="WitregelW2"/>
                    </w:pPr>
                  </w:p>
                  <w:p w14:paraId="5B615B4E" w14:textId="77777777" w:rsidR="007E6C75" w:rsidRDefault="001D61CE">
                    <w:pPr>
                      <w:pStyle w:val="Kopjereferentiegegevens"/>
                    </w:pPr>
                    <w:r>
                      <w:t>Datum</w:t>
                    </w:r>
                  </w:p>
                  <w:p w14:paraId="40F8A7C9" w14:textId="667E368B" w:rsidR="00300F97" w:rsidRDefault="00AD2E8C">
                    <w:pPr>
                      <w:pStyle w:val="Referentiegegevens"/>
                    </w:pPr>
                    <w:fldSimple w:instr=" DOCPROPERTY  &quot;Datum&quot;  \* MERGEFORMAT ">
                      <w:r w:rsidR="00C37AE6">
                        <w:t>2 oktober 2024</w:t>
                      </w:r>
                    </w:fldSimple>
                  </w:p>
                  <w:p w14:paraId="1E49ABCE" w14:textId="77777777" w:rsidR="007E6C75" w:rsidRDefault="007E6C75">
                    <w:pPr>
                      <w:pStyle w:val="WitregelW1"/>
                    </w:pPr>
                  </w:p>
                  <w:p w14:paraId="0B50B2E4" w14:textId="77777777" w:rsidR="007E6C75" w:rsidRDefault="001D61CE">
                    <w:pPr>
                      <w:pStyle w:val="Kopjereferentiegegevens"/>
                    </w:pPr>
                    <w:r>
                      <w:t>Kenmerk</w:t>
                    </w:r>
                  </w:p>
                  <w:p w14:paraId="31EB7905" w14:textId="6BA3DCEC" w:rsidR="00300F97" w:rsidRDefault="00AD2E8C">
                    <w:pPr>
                      <w:pStyle w:val="Referentiegegevens"/>
                    </w:pPr>
                    <w:fldSimple w:instr=" DOCPROPERTY  &quot;Kenmerk&quot;  \* MERGEFORMAT ">
                      <w:r w:rsidR="00C37AE6">
                        <w:t>2024-0000515403</w:t>
                      </w:r>
                    </w:fldSimple>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6E558F8" wp14:editId="1792F98A">
              <wp:simplePos x="0" y="0"/>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4379C66C" w14:textId="77777777" w:rsidR="00C3715B" w:rsidRDefault="00C3715B"/>
                      </w:txbxContent>
                    </wps:txbx>
                    <wps:bodyPr vert="horz" wrap="square" lIns="0" tIns="0" rIns="0" bIns="0" anchor="t" anchorCtr="0"/>
                  </wps:wsp>
                </a:graphicData>
              </a:graphic>
            </wp:anchor>
          </w:drawing>
        </mc:Choice>
        <mc:Fallback>
          <w:pict>
            <v:shape w14:anchorId="36E558F8"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4379C66C" w14:textId="77777777" w:rsidR="00C3715B" w:rsidRDefault="00C3715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C3AB" w14:textId="77777777" w:rsidR="007E6C75" w:rsidRDefault="001D61CE">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7C7BD5A2" wp14:editId="35BF9207">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E0A591A" w14:textId="77777777" w:rsidR="007E6C75" w:rsidRDefault="001D61CE">
                          <w:pPr>
                            <w:pStyle w:val="MarginlessContainer"/>
                          </w:pPr>
                          <w:r>
                            <w:rPr>
                              <w:noProof/>
                            </w:rPr>
                            <w:drawing>
                              <wp:inline distT="0" distB="0" distL="0" distR="0" wp14:anchorId="03429322" wp14:editId="2C133C92">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C7BD5A2"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E0A591A" w14:textId="77777777" w:rsidR="007E6C75" w:rsidRDefault="001D61CE">
                    <w:pPr>
                      <w:pStyle w:val="MarginlessContainer"/>
                    </w:pPr>
                    <w:r>
                      <w:rPr>
                        <w:noProof/>
                      </w:rPr>
                      <w:drawing>
                        <wp:inline distT="0" distB="0" distL="0" distR="0" wp14:anchorId="03429322" wp14:editId="2C133C92">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151D8DC" wp14:editId="0BF919E3">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E8F985A" w14:textId="77777777" w:rsidR="007E6C75" w:rsidRDefault="00ED137A">
                          <w:pPr>
                            <w:pStyle w:val="MarginlessContainer"/>
                          </w:pPr>
                          <w:r>
                            <w:rPr>
                              <w:noProof/>
                            </w:rPr>
                            <w:drawing>
                              <wp:inline distT="0" distB="0" distL="0" distR="0" wp14:anchorId="79076FE0" wp14:editId="2D5BD61E">
                                <wp:extent cx="2339975" cy="1582420"/>
                                <wp:effectExtent l="0" t="0" r="3175" b="0"/>
                                <wp:docPr id="16"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descr="Ministerie van Volkshuisvesting en Ruimtelijke Ordening"/>
                                        <pic:cNvPicPr/>
                                      </pic:nvPicPr>
                                      <pic:blipFill>
                                        <a:blip r:embed="rId3"/>
                                        <a:stretch>
                                          <a:fillRect/>
                                        </a:stretch>
                                      </pic:blipFill>
                                      <pic:spPr bwMode="auto">
                                        <a:xfrm>
                                          <a:off x="0" y="0"/>
                                          <a:ext cx="2339975" cy="1582420"/>
                                        </a:xfrm>
                                        <a:prstGeom prst="rect">
                                          <a:avLst/>
                                        </a:prstGeom>
                                      </pic:spPr>
                                    </pic:pic>
                                  </a:graphicData>
                                </a:graphic>
                              </wp:inline>
                            </w:drawing>
                          </w:r>
                          <w:r w:rsidR="001D61CE">
                            <w:rPr>
                              <w:noProof/>
                            </w:rPr>
                            <w:drawing>
                              <wp:inline distT="0" distB="0" distL="0" distR="0" wp14:anchorId="37320C8C" wp14:editId="161833EC">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51D8DC"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4E8F985A" w14:textId="77777777" w:rsidR="007E6C75" w:rsidRDefault="00ED137A">
                    <w:pPr>
                      <w:pStyle w:val="MarginlessContainer"/>
                    </w:pPr>
                    <w:r>
                      <w:rPr>
                        <w:noProof/>
                      </w:rPr>
                      <w:drawing>
                        <wp:inline distT="0" distB="0" distL="0" distR="0" wp14:anchorId="79076FE0" wp14:editId="2D5BD61E">
                          <wp:extent cx="2339975" cy="1582420"/>
                          <wp:effectExtent l="0" t="0" r="3175" b="0"/>
                          <wp:docPr id="16"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descr="Ministerie van Volkshuisvesting en Ruimtelijke Ordening"/>
                                  <pic:cNvPicPr/>
                                </pic:nvPicPr>
                                <pic:blipFill>
                                  <a:blip r:embed="rId5"/>
                                  <a:stretch>
                                    <a:fillRect/>
                                  </a:stretch>
                                </pic:blipFill>
                                <pic:spPr bwMode="auto">
                                  <a:xfrm>
                                    <a:off x="0" y="0"/>
                                    <a:ext cx="2339975" cy="1582420"/>
                                  </a:xfrm>
                                  <a:prstGeom prst="rect">
                                    <a:avLst/>
                                  </a:prstGeom>
                                </pic:spPr>
                              </pic:pic>
                            </a:graphicData>
                          </a:graphic>
                        </wp:inline>
                      </w:drawing>
                    </w:r>
                    <w:r w:rsidR="001D61CE">
                      <w:rPr>
                        <w:noProof/>
                      </w:rPr>
                      <w:drawing>
                        <wp:inline distT="0" distB="0" distL="0" distR="0" wp14:anchorId="37320C8C" wp14:editId="161833EC">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6"/>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E62C226" wp14:editId="5DBF1DD8">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79442EB8" w14:textId="77777777" w:rsidR="00C3715B" w:rsidRDefault="00C3715B"/>
                      </w:txbxContent>
                    </wps:txbx>
                    <wps:bodyPr vert="horz" wrap="square" lIns="0" tIns="0" rIns="0" bIns="0" anchor="t" anchorCtr="0"/>
                  </wps:wsp>
                </a:graphicData>
              </a:graphic>
            </wp:anchor>
          </w:drawing>
        </mc:Choice>
        <mc:Fallback>
          <w:pict>
            <v:shape w14:anchorId="6E62C226"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" filled="f" stroked="f">
              <v:textbox inset="0,0,0,0">
                <w:txbxContent>
                  <w:p w14:paraId="79442EB8" w14:textId="77777777" w:rsidR="00C3715B" w:rsidRDefault="00C3715B"/>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7E8D2FF" wp14:editId="09F326DB">
              <wp:simplePos x="0" y="0"/>
              <wp:positionH relativeFrom="page">
                <wp:posOffset>1007744</wp:posOffset>
              </wp:positionH>
              <wp:positionV relativeFrom="page">
                <wp:posOffset>1967864</wp:posOffset>
              </wp:positionV>
              <wp:extent cx="335216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5C082F85" w14:textId="77777777" w:rsidR="0096507C" w:rsidRDefault="0096507C">
                          <w:r>
                            <w:t xml:space="preserve">Aan de </w:t>
                          </w:r>
                          <w:r w:rsidR="00E34A5D">
                            <w:t>V</w:t>
                          </w:r>
                          <w:r>
                            <w:t>oorzitter van de Tweede Kamer</w:t>
                          </w:r>
                        </w:p>
                        <w:p w14:paraId="4113EDAA" w14:textId="77777777" w:rsidR="0096507C" w:rsidRDefault="0096507C">
                          <w:r>
                            <w:t>der Staten-Generaal</w:t>
                          </w:r>
                        </w:p>
                        <w:p w14:paraId="34915F43" w14:textId="77777777" w:rsidR="0096507C" w:rsidRDefault="0096507C">
                          <w:r>
                            <w:t>Postbus 20018</w:t>
                          </w:r>
                        </w:p>
                        <w:p w14:paraId="48005246" w14:textId="4984DADE" w:rsidR="00300F97" w:rsidRDefault="00AD2E8C">
                          <w:r>
                            <w:t>2500 EA DEN HAAG</w:t>
                          </w:r>
                          <w:r>
                            <w:fldChar w:fldCharType="begin"/>
                          </w:r>
                          <w:r>
                            <w:instrText xml:space="preserve"> DOCPROPERTY  "Aan"  \* MERGEFORMAT </w:instrText>
                          </w:r>
                          <w:r>
                            <w:fldChar w:fldCharType="end"/>
                          </w:r>
                        </w:p>
                      </w:txbxContent>
                    </wps:txbx>
                    <wps:bodyPr vert="horz" wrap="square" lIns="0" tIns="0" rIns="0" bIns="0" anchor="t" anchorCtr="0"/>
                  </wps:wsp>
                </a:graphicData>
              </a:graphic>
            </wp:anchor>
          </w:drawing>
        </mc:Choice>
        <mc:Fallback>
          <w:pict>
            <v:shapetype w14:anchorId="07E8D2FF" id="_x0000_t202" coordsize="21600,21600" o:spt="202" path="m,l,21600r21600,l21600,xe">
              <v:stroke joinstyle="miter"/>
              <v:path gradientshapeok="t" o:connecttype="rect"/>
            </v:shapetype>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" filled="f" stroked="f">
              <v:textbox inset="0,0,0,0">
                <w:txbxContent>
                  <w:p w14:paraId="5C082F85" w14:textId="77777777" w:rsidR="0096507C" w:rsidRDefault="0096507C">
                    <w:r>
                      <w:t xml:space="preserve">Aan de </w:t>
                    </w:r>
                    <w:r w:rsidR="00E34A5D">
                      <w:t>V</w:t>
                    </w:r>
                    <w:r>
                      <w:t>oorzitter van de Tweede Kamer</w:t>
                    </w:r>
                  </w:p>
                  <w:p w14:paraId="4113EDAA" w14:textId="77777777" w:rsidR="0096507C" w:rsidRDefault="0096507C">
                    <w:r>
                      <w:t>der Staten-Generaal</w:t>
                    </w:r>
                  </w:p>
                  <w:p w14:paraId="34915F43" w14:textId="77777777" w:rsidR="0096507C" w:rsidRDefault="0096507C">
                    <w:r>
                      <w:t>Postbus 20018</w:t>
                    </w:r>
                  </w:p>
                  <w:p w14:paraId="48005246" w14:textId="4984DADE" w:rsidR="00300F97" w:rsidRDefault="00AD2E8C">
                    <w:r>
                      <w:t>2500 EA DEN HAAG</w:t>
                    </w:r>
                    <w:r>
                      <w:fldChar w:fldCharType="begin"/>
                    </w:r>
                    <w:r>
                      <w:instrText xml:space="preserve"> DOCPROPERTY  "Aan"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0264519" wp14:editId="6735A9FE">
              <wp:simplePos x="0" y="0"/>
              <wp:positionH relativeFrom="page">
                <wp:posOffset>1007744</wp:posOffset>
              </wp:positionH>
              <wp:positionV relativeFrom="page">
                <wp:posOffset>3725545</wp:posOffset>
              </wp:positionV>
              <wp:extent cx="4761865" cy="80010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7E6C75" w14:paraId="25A1554E" w14:textId="77777777">
                            <w:trPr>
                              <w:trHeight w:val="200"/>
                            </w:trPr>
                            <w:tc>
                              <w:tcPr>
                                <w:tcW w:w="1140" w:type="dxa"/>
                              </w:tcPr>
                              <w:p w14:paraId="5CE71E7F" w14:textId="77777777" w:rsidR="007E6C75" w:rsidRDefault="007E6C75"/>
                            </w:tc>
                            <w:tc>
                              <w:tcPr>
                                <w:tcW w:w="5918" w:type="dxa"/>
                              </w:tcPr>
                              <w:p w14:paraId="2989C6EE" w14:textId="77777777" w:rsidR="007E6C75" w:rsidRDefault="007E6C75"/>
                            </w:tc>
                          </w:tr>
                          <w:tr w:rsidR="007E6C75" w14:paraId="08BA60A3" w14:textId="77777777">
                            <w:trPr>
                              <w:trHeight w:val="300"/>
                            </w:trPr>
                            <w:tc>
                              <w:tcPr>
                                <w:tcW w:w="1140" w:type="dxa"/>
                              </w:tcPr>
                              <w:p w14:paraId="395257B2" w14:textId="77777777" w:rsidR="007E6C75" w:rsidRDefault="001D61CE">
                                <w:r>
                                  <w:t>Datum</w:t>
                                </w:r>
                              </w:p>
                            </w:tc>
                            <w:tc>
                              <w:tcPr>
                                <w:tcW w:w="5918" w:type="dxa"/>
                              </w:tcPr>
                              <w:p w14:paraId="26FB10A5" w14:textId="1A20EA93" w:rsidR="00524975" w:rsidRDefault="00AD2E8C">
                                <w:pPr>
                                  <w:pStyle w:val="Gegevensdocument"/>
                                </w:pPr>
                                <w:r>
                                  <w:t>2 oktober 2024</w:t>
                                </w:r>
                              </w:p>
                            </w:tc>
                          </w:tr>
                          <w:tr w:rsidR="007E6C75" w14:paraId="33184611" w14:textId="77777777">
                            <w:trPr>
                              <w:trHeight w:val="300"/>
                            </w:trPr>
                            <w:tc>
                              <w:tcPr>
                                <w:tcW w:w="1140" w:type="dxa"/>
                              </w:tcPr>
                              <w:p w14:paraId="711A06C2" w14:textId="77777777" w:rsidR="007E6C75" w:rsidRDefault="001D61CE">
                                <w:r>
                                  <w:t>Betreft</w:t>
                                </w:r>
                              </w:p>
                            </w:tc>
                            <w:tc>
                              <w:tcPr>
                                <w:tcW w:w="5918" w:type="dxa"/>
                              </w:tcPr>
                              <w:p w14:paraId="0E822D80" w14:textId="77777777" w:rsidR="007E6C75" w:rsidRDefault="0096507C">
                                <w:r>
                                  <w:t>Kwaliteit energielabel en energielabel C kantoren</w:t>
                                </w:r>
                              </w:p>
                            </w:tc>
                          </w:tr>
                          <w:tr w:rsidR="007E6C75" w14:paraId="7FE6107D" w14:textId="77777777">
                            <w:trPr>
                              <w:trHeight w:val="200"/>
                            </w:trPr>
                            <w:tc>
                              <w:tcPr>
                                <w:tcW w:w="1140" w:type="dxa"/>
                              </w:tcPr>
                              <w:p w14:paraId="4544C75A" w14:textId="77777777" w:rsidR="007E6C75" w:rsidRDefault="007E6C75"/>
                            </w:tc>
                            <w:tc>
                              <w:tcPr>
                                <w:tcW w:w="5918" w:type="dxa"/>
                              </w:tcPr>
                              <w:p w14:paraId="7AA0A4FA" w14:textId="77777777" w:rsidR="007E6C75" w:rsidRDefault="007E6C75"/>
                            </w:tc>
                          </w:tr>
                        </w:tbl>
                        <w:p w14:paraId="38138D69" w14:textId="77777777" w:rsidR="00C3715B" w:rsidRDefault="00C3715B"/>
                      </w:txbxContent>
                    </wps:txbx>
                    <wps:bodyPr vert="horz" wrap="square" lIns="0" tIns="0" rIns="0" bIns="0" anchor="t" anchorCtr="0"/>
                  </wps:wsp>
                </a:graphicData>
              </a:graphic>
            </wp:anchor>
          </w:drawing>
        </mc:Choice>
        <mc:Fallback>
          <w:pict>
            <v:shape w14:anchorId="50264519"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918"/>
                    </w:tblGrid>
                    <w:tr w:rsidR="007E6C75" w14:paraId="25A1554E" w14:textId="77777777">
                      <w:trPr>
                        <w:trHeight w:val="200"/>
                      </w:trPr>
                      <w:tc>
                        <w:tcPr>
                          <w:tcW w:w="1140" w:type="dxa"/>
                        </w:tcPr>
                        <w:p w14:paraId="5CE71E7F" w14:textId="77777777" w:rsidR="007E6C75" w:rsidRDefault="007E6C75"/>
                      </w:tc>
                      <w:tc>
                        <w:tcPr>
                          <w:tcW w:w="5918" w:type="dxa"/>
                        </w:tcPr>
                        <w:p w14:paraId="2989C6EE" w14:textId="77777777" w:rsidR="007E6C75" w:rsidRDefault="007E6C75"/>
                      </w:tc>
                    </w:tr>
                    <w:tr w:rsidR="007E6C75" w14:paraId="08BA60A3" w14:textId="77777777">
                      <w:trPr>
                        <w:trHeight w:val="300"/>
                      </w:trPr>
                      <w:tc>
                        <w:tcPr>
                          <w:tcW w:w="1140" w:type="dxa"/>
                        </w:tcPr>
                        <w:p w14:paraId="395257B2" w14:textId="77777777" w:rsidR="007E6C75" w:rsidRDefault="001D61CE">
                          <w:r>
                            <w:t>Datum</w:t>
                          </w:r>
                        </w:p>
                      </w:tc>
                      <w:tc>
                        <w:tcPr>
                          <w:tcW w:w="5918" w:type="dxa"/>
                        </w:tcPr>
                        <w:p w14:paraId="26FB10A5" w14:textId="1A20EA93" w:rsidR="00524975" w:rsidRDefault="00AD2E8C">
                          <w:pPr>
                            <w:pStyle w:val="Gegevensdocument"/>
                          </w:pPr>
                          <w:r>
                            <w:t>2 oktober 2024</w:t>
                          </w:r>
                        </w:p>
                      </w:tc>
                    </w:tr>
                    <w:tr w:rsidR="007E6C75" w14:paraId="33184611" w14:textId="77777777">
                      <w:trPr>
                        <w:trHeight w:val="300"/>
                      </w:trPr>
                      <w:tc>
                        <w:tcPr>
                          <w:tcW w:w="1140" w:type="dxa"/>
                        </w:tcPr>
                        <w:p w14:paraId="711A06C2" w14:textId="77777777" w:rsidR="007E6C75" w:rsidRDefault="001D61CE">
                          <w:r>
                            <w:t>Betreft</w:t>
                          </w:r>
                        </w:p>
                      </w:tc>
                      <w:tc>
                        <w:tcPr>
                          <w:tcW w:w="5918" w:type="dxa"/>
                        </w:tcPr>
                        <w:p w14:paraId="0E822D80" w14:textId="77777777" w:rsidR="007E6C75" w:rsidRDefault="0096507C">
                          <w:r>
                            <w:t>Kwaliteit energielabel en energielabel C kantoren</w:t>
                          </w:r>
                        </w:p>
                      </w:tc>
                    </w:tr>
                    <w:tr w:rsidR="007E6C75" w14:paraId="7FE6107D" w14:textId="77777777">
                      <w:trPr>
                        <w:trHeight w:val="200"/>
                      </w:trPr>
                      <w:tc>
                        <w:tcPr>
                          <w:tcW w:w="1140" w:type="dxa"/>
                        </w:tcPr>
                        <w:p w14:paraId="4544C75A" w14:textId="77777777" w:rsidR="007E6C75" w:rsidRDefault="007E6C75"/>
                      </w:tc>
                      <w:tc>
                        <w:tcPr>
                          <w:tcW w:w="5918" w:type="dxa"/>
                        </w:tcPr>
                        <w:p w14:paraId="7AA0A4FA" w14:textId="77777777" w:rsidR="007E6C75" w:rsidRDefault="007E6C75"/>
                      </w:tc>
                    </w:tr>
                  </w:tbl>
                  <w:p w14:paraId="38138D69" w14:textId="77777777" w:rsidR="00C3715B" w:rsidRDefault="00C3715B"/>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0C77448" wp14:editId="4EC49D10">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FFE163" w14:textId="77777777" w:rsidR="007E6C75" w:rsidRDefault="001D61CE">
                          <w:pPr>
                            <w:pStyle w:val="Kopjeafzendgegevens"/>
                          </w:pPr>
                          <w:r>
                            <w:t>Ministerie van Binnenlandse Zaken en Koninkrijksrelaties</w:t>
                          </w:r>
                        </w:p>
                        <w:p w14:paraId="5F768C6C" w14:textId="77777777" w:rsidR="007E6C75" w:rsidRDefault="007E6C75">
                          <w:pPr>
                            <w:pStyle w:val="WitregelW1"/>
                          </w:pPr>
                        </w:p>
                        <w:p w14:paraId="61F5F5EE" w14:textId="77777777" w:rsidR="007E6C75" w:rsidRDefault="007E6C75">
                          <w:pPr>
                            <w:pStyle w:val="WitregelW1"/>
                          </w:pPr>
                        </w:p>
                        <w:p w14:paraId="33E89E7A" w14:textId="77777777" w:rsidR="0096507C" w:rsidRDefault="0096507C">
                          <w:pPr>
                            <w:pStyle w:val="Afzendgegevens"/>
                            <w:rPr>
                              <w:lang w:val="de-DE"/>
                            </w:rPr>
                          </w:pPr>
                          <w:proofErr w:type="spellStart"/>
                          <w:r w:rsidRPr="0096507C">
                            <w:rPr>
                              <w:lang w:val="de-DE"/>
                            </w:rPr>
                            <w:t>Turfmarkt</w:t>
                          </w:r>
                          <w:proofErr w:type="spellEnd"/>
                          <w:r w:rsidRPr="0096507C">
                            <w:rPr>
                              <w:lang w:val="de-DE"/>
                            </w:rPr>
                            <w:t xml:space="preserve"> 147 Den Haag Postbus 20011</w:t>
                          </w:r>
                        </w:p>
                        <w:p w14:paraId="7E148130" w14:textId="77777777" w:rsidR="0096507C" w:rsidRDefault="0096507C">
                          <w:pPr>
                            <w:pStyle w:val="Afzendgegevens"/>
                            <w:rPr>
                              <w:lang w:val="de-DE"/>
                            </w:rPr>
                          </w:pPr>
                          <w:r w:rsidRPr="0096507C">
                            <w:rPr>
                              <w:lang w:val="de-DE"/>
                            </w:rPr>
                            <w:t xml:space="preserve">2500 EA Den </w:t>
                          </w:r>
                          <w:r>
                            <w:rPr>
                              <w:lang w:val="de-DE"/>
                            </w:rPr>
                            <w:t>H</w:t>
                          </w:r>
                          <w:r w:rsidRPr="0096507C">
                            <w:rPr>
                              <w:lang w:val="de-DE"/>
                            </w:rPr>
                            <w:t>aag</w:t>
                          </w:r>
                        </w:p>
                        <w:p w14:paraId="73AD0A97" w14:textId="471442E7" w:rsidR="00300F97" w:rsidRDefault="00C37AE6">
                          <w:pPr>
                            <w:pStyle w:val="Afzendgegevens"/>
                            <w:rPr>
                              <w:lang w:val="de-DE"/>
                            </w:rPr>
                          </w:pPr>
                          <w:r>
                            <w:fldChar w:fldCharType="begin"/>
                          </w:r>
                          <w:r w:rsidRPr="00C37AE6">
                            <w:rPr>
                              <w:lang w:val="de-DE"/>
                            </w:rPr>
                            <w:instrText>HYPERLINK "http://www.linkedin.com/company/ministerie-van-bzk"</w:instrText>
                          </w:r>
                          <w:r>
                            <w:fldChar w:fldCharType="separate"/>
                          </w:r>
                          <w:r w:rsidR="00AD2E8C" w:rsidRPr="00797584">
                            <w:rPr>
                              <w:lang w:val="de-DE"/>
                            </w:rPr>
                            <w:t>www.linkedin.com/company/ministerie-van-bzk</w:t>
                          </w:r>
                          <w:r>
                            <w:rPr>
                              <w:lang w:val="de-DE"/>
                            </w:rPr>
                            <w:fldChar w:fldCharType="end"/>
                          </w:r>
                          <w:r w:rsidR="00AD2E8C">
                            <w:rPr>
                              <w:lang w:val="de-DE"/>
                            </w:rPr>
                            <w:br/>
                          </w:r>
                        </w:p>
                        <w:p w14:paraId="507C424F" w14:textId="77777777" w:rsidR="007E6C75" w:rsidRPr="0096507C" w:rsidRDefault="001D61CE">
                          <w:pPr>
                            <w:pStyle w:val="Kopjereferentiegegevens"/>
                            <w:rPr>
                              <w:lang w:val="de-DE"/>
                            </w:rPr>
                          </w:pPr>
                          <w:proofErr w:type="spellStart"/>
                          <w:r w:rsidRPr="0096507C">
                            <w:rPr>
                              <w:lang w:val="de-DE"/>
                            </w:rPr>
                            <w:t>Kenmerk</w:t>
                          </w:r>
                          <w:proofErr w:type="spellEnd"/>
                        </w:p>
                        <w:p w14:paraId="4A08A97D" w14:textId="07AE5CEC" w:rsidR="00300F97" w:rsidRDefault="00AD2E8C">
                          <w:pPr>
                            <w:pStyle w:val="Referentiegegevens"/>
                          </w:pPr>
                          <w:fldSimple w:instr=" DOCPROPERTY  &quot;Kenmerk&quot;  \* MERGEFORMAT ">
                            <w:r w:rsidR="00C37AE6">
                              <w:t>2024-0000515403</w:t>
                            </w:r>
                          </w:fldSimple>
                        </w:p>
                        <w:p w14:paraId="495B039D" w14:textId="77777777" w:rsidR="007E6C75" w:rsidRDefault="007E6C75">
                          <w:pPr>
                            <w:pStyle w:val="WitregelW1"/>
                          </w:pPr>
                        </w:p>
                        <w:p w14:paraId="43A68AC2" w14:textId="77777777" w:rsidR="007E6C75" w:rsidRDefault="001D61CE">
                          <w:pPr>
                            <w:pStyle w:val="Kopjereferentiegegevens"/>
                          </w:pPr>
                          <w:r>
                            <w:t>Uw kenmerk</w:t>
                          </w:r>
                        </w:p>
                        <w:p w14:paraId="6725FD74" w14:textId="028A61D0" w:rsidR="00300F97" w:rsidRDefault="00AD2E8C">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0C77448"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F+R8C6TAQAAFQMA&#10;AA4AAAAAAAAAAAAAAAAALgIAAGRycy9lMm9Eb2MueG1sUEsBAi0AFAAGAAgAAAAhAHofErXiAAAA&#10;DQEAAA8AAAAAAAAAAAAAAAAA7QMAAGRycy9kb3ducmV2LnhtbFBLBQYAAAAABAAEAPMAAAD8BAAA&#10;AAA=&#10;" filled="f" stroked="f">
              <v:textbox inset="0,0,0,0">
                <w:txbxContent>
                  <w:p w14:paraId="5CFFE163" w14:textId="77777777" w:rsidR="007E6C75" w:rsidRDefault="001D61CE">
                    <w:pPr>
                      <w:pStyle w:val="Kopjeafzendgegevens"/>
                    </w:pPr>
                    <w:r>
                      <w:t>Ministerie van Binnenlandse Zaken en Koninkrijksrelaties</w:t>
                    </w:r>
                  </w:p>
                  <w:p w14:paraId="5F768C6C" w14:textId="77777777" w:rsidR="007E6C75" w:rsidRDefault="007E6C75">
                    <w:pPr>
                      <w:pStyle w:val="WitregelW1"/>
                    </w:pPr>
                  </w:p>
                  <w:p w14:paraId="61F5F5EE" w14:textId="77777777" w:rsidR="007E6C75" w:rsidRDefault="007E6C75">
                    <w:pPr>
                      <w:pStyle w:val="WitregelW1"/>
                    </w:pPr>
                  </w:p>
                  <w:p w14:paraId="33E89E7A" w14:textId="77777777" w:rsidR="0096507C" w:rsidRDefault="0096507C">
                    <w:pPr>
                      <w:pStyle w:val="Afzendgegevens"/>
                      <w:rPr>
                        <w:lang w:val="de-DE"/>
                      </w:rPr>
                    </w:pPr>
                    <w:proofErr w:type="spellStart"/>
                    <w:r w:rsidRPr="0096507C">
                      <w:rPr>
                        <w:lang w:val="de-DE"/>
                      </w:rPr>
                      <w:t>Turfmarkt</w:t>
                    </w:r>
                    <w:proofErr w:type="spellEnd"/>
                    <w:r w:rsidRPr="0096507C">
                      <w:rPr>
                        <w:lang w:val="de-DE"/>
                      </w:rPr>
                      <w:t xml:space="preserve"> 147 Den Haag Postbus 20011</w:t>
                    </w:r>
                  </w:p>
                  <w:p w14:paraId="7E148130" w14:textId="77777777" w:rsidR="0096507C" w:rsidRDefault="0096507C">
                    <w:pPr>
                      <w:pStyle w:val="Afzendgegevens"/>
                      <w:rPr>
                        <w:lang w:val="de-DE"/>
                      </w:rPr>
                    </w:pPr>
                    <w:r w:rsidRPr="0096507C">
                      <w:rPr>
                        <w:lang w:val="de-DE"/>
                      </w:rPr>
                      <w:t xml:space="preserve">2500 EA Den </w:t>
                    </w:r>
                    <w:r>
                      <w:rPr>
                        <w:lang w:val="de-DE"/>
                      </w:rPr>
                      <w:t>H</w:t>
                    </w:r>
                    <w:r w:rsidRPr="0096507C">
                      <w:rPr>
                        <w:lang w:val="de-DE"/>
                      </w:rPr>
                      <w:t>aag</w:t>
                    </w:r>
                  </w:p>
                  <w:p w14:paraId="73AD0A97" w14:textId="471442E7" w:rsidR="00300F97" w:rsidRDefault="00C37AE6">
                    <w:pPr>
                      <w:pStyle w:val="Afzendgegevens"/>
                      <w:rPr>
                        <w:lang w:val="de-DE"/>
                      </w:rPr>
                    </w:pPr>
                    <w:r>
                      <w:fldChar w:fldCharType="begin"/>
                    </w:r>
                    <w:r w:rsidRPr="00C37AE6">
                      <w:rPr>
                        <w:lang w:val="de-DE"/>
                      </w:rPr>
                      <w:instrText>HYPERLINK "http://www.linkedin.com/company/ministerie-van-bzk"</w:instrText>
                    </w:r>
                    <w:r>
                      <w:fldChar w:fldCharType="separate"/>
                    </w:r>
                    <w:r w:rsidR="00AD2E8C" w:rsidRPr="00797584">
                      <w:rPr>
                        <w:lang w:val="de-DE"/>
                      </w:rPr>
                      <w:t>www.linkedin.com/company/ministerie-van-bzk</w:t>
                    </w:r>
                    <w:r>
                      <w:rPr>
                        <w:lang w:val="de-DE"/>
                      </w:rPr>
                      <w:fldChar w:fldCharType="end"/>
                    </w:r>
                    <w:r w:rsidR="00AD2E8C">
                      <w:rPr>
                        <w:lang w:val="de-DE"/>
                      </w:rPr>
                      <w:br/>
                    </w:r>
                  </w:p>
                  <w:p w14:paraId="507C424F" w14:textId="77777777" w:rsidR="007E6C75" w:rsidRPr="0096507C" w:rsidRDefault="001D61CE">
                    <w:pPr>
                      <w:pStyle w:val="Kopjereferentiegegevens"/>
                      <w:rPr>
                        <w:lang w:val="de-DE"/>
                      </w:rPr>
                    </w:pPr>
                    <w:proofErr w:type="spellStart"/>
                    <w:r w:rsidRPr="0096507C">
                      <w:rPr>
                        <w:lang w:val="de-DE"/>
                      </w:rPr>
                      <w:t>Kenmerk</w:t>
                    </w:r>
                    <w:proofErr w:type="spellEnd"/>
                  </w:p>
                  <w:p w14:paraId="4A08A97D" w14:textId="07AE5CEC" w:rsidR="00300F97" w:rsidRDefault="00AD2E8C">
                    <w:pPr>
                      <w:pStyle w:val="Referentiegegevens"/>
                    </w:pPr>
                    <w:fldSimple w:instr=" DOCPROPERTY  &quot;Kenmerk&quot;  \* MERGEFORMAT ">
                      <w:r w:rsidR="00C37AE6">
                        <w:t>2024-0000515403</w:t>
                      </w:r>
                    </w:fldSimple>
                  </w:p>
                  <w:p w14:paraId="495B039D" w14:textId="77777777" w:rsidR="007E6C75" w:rsidRDefault="007E6C75">
                    <w:pPr>
                      <w:pStyle w:val="WitregelW1"/>
                    </w:pPr>
                  </w:p>
                  <w:p w14:paraId="43A68AC2" w14:textId="77777777" w:rsidR="007E6C75" w:rsidRDefault="001D61CE">
                    <w:pPr>
                      <w:pStyle w:val="Kopjereferentiegegevens"/>
                    </w:pPr>
                    <w:r>
                      <w:t>Uw kenmerk</w:t>
                    </w:r>
                  </w:p>
                  <w:p w14:paraId="6725FD74" w14:textId="028A61D0" w:rsidR="00300F97" w:rsidRDefault="00AD2E8C">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7CA3D69" wp14:editId="54A2D3BD">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42D38613" w14:textId="77777777" w:rsidR="00300F97" w:rsidRDefault="00AD2E8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7CA3D69"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" filled="f" stroked="f">
              <v:textbox inset="0,0,0,0">
                <w:txbxContent>
                  <w:p w14:paraId="42D38613" w14:textId="77777777" w:rsidR="00300F97" w:rsidRDefault="00AD2E8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5A1D766" wp14:editId="2CD12073">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5D6B4BCD" w14:textId="77777777" w:rsidR="00C3715B" w:rsidRDefault="00C3715B"/>
                      </w:txbxContent>
                    </wps:txbx>
                    <wps:bodyPr vert="horz" wrap="square" lIns="0" tIns="0" rIns="0" bIns="0" anchor="t" anchorCtr="0"/>
                  </wps:wsp>
                </a:graphicData>
              </a:graphic>
            </wp:anchor>
          </w:drawing>
        </mc:Choice>
        <mc:Fallback>
          <w:pict>
            <v:shape w14:anchorId="05A1D766"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" filled="f" stroked="f">
              <v:textbox inset="0,0,0,0">
                <w:txbxContent>
                  <w:p w14:paraId="5D6B4BCD" w14:textId="77777777" w:rsidR="00C3715B" w:rsidRDefault="00C3715B"/>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6DD69EB0" wp14:editId="5D92A7A4">
              <wp:simplePos x="0" y="0"/>
              <wp:positionH relativeFrom="page">
                <wp:posOffset>1007744</wp:posOffset>
              </wp:positionH>
              <wp:positionV relativeFrom="page">
                <wp:posOffset>3161665</wp:posOffset>
              </wp:positionV>
              <wp:extent cx="1247140" cy="476250"/>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79045B66" w14:textId="77777777" w:rsidR="00C3715B" w:rsidRDefault="00C3715B"/>
                      </w:txbxContent>
                    </wps:txbx>
                    <wps:bodyPr vert="horz" wrap="square" lIns="0" tIns="0" rIns="0" bIns="0" anchor="t" anchorCtr="0"/>
                  </wps:wsp>
                </a:graphicData>
              </a:graphic>
            </wp:anchor>
          </w:drawing>
        </mc:Choice>
        <mc:Fallback>
          <w:pict>
            <v:shape w14:anchorId="6DD69EB0"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" filled="f" stroked="f">
              <v:textbox inset="0,0,0,0">
                <w:txbxContent>
                  <w:p w14:paraId="79045B66" w14:textId="77777777" w:rsidR="00C3715B" w:rsidRDefault="00C3715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BAA724"/>
    <w:multiLevelType w:val="multilevel"/>
    <w:tmpl w:val="9630D412"/>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84B5E5"/>
    <w:multiLevelType w:val="multilevel"/>
    <w:tmpl w:val="8EB57619"/>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91ABAEA"/>
    <w:multiLevelType w:val="multilevel"/>
    <w:tmpl w:val="675E8266"/>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A9C3B6"/>
    <w:multiLevelType w:val="multilevel"/>
    <w:tmpl w:val="B13C3B66"/>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2118C4"/>
    <w:multiLevelType w:val="multilevel"/>
    <w:tmpl w:val="D1CC0AE7"/>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BE6B07A"/>
    <w:multiLevelType w:val="multilevel"/>
    <w:tmpl w:val="EF94D13E"/>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EB1DF0F"/>
    <w:multiLevelType w:val="multilevel"/>
    <w:tmpl w:val="E85C4056"/>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39D615D"/>
    <w:multiLevelType w:val="multilevel"/>
    <w:tmpl w:val="3AD3FDF0"/>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BB87BA7"/>
    <w:multiLevelType w:val="multilevel"/>
    <w:tmpl w:val="319FFA3C"/>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88E3905"/>
    <w:multiLevelType w:val="multilevel"/>
    <w:tmpl w:val="F684EF4F"/>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E416FA9"/>
    <w:multiLevelType w:val="multilevel"/>
    <w:tmpl w:val="353A1AD1"/>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EFC10C4"/>
    <w:multiLevelType w:val="multilevel"/>
    <w:tmpl w:val="5656E1CC"/>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1013F7E"/>
    <w:multiLevelType w:val="multilevel"/>
    <w:tmpl w:val="1ABBBDF2"/>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A667005"/>
    <w:multiLevelType w:val="multilevel"/>
    <w:tmpl w:val="3593A256"/>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FA4928D"/>
    <w:multiLevelType w:val="multilevel"/>
    <w:tmpl w:val="DDFDDD96"/>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31130C6"/>
    <w:multiLevelType w:val="multilevel"/>
    <w:tmpl w:val="737A57AF"/>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C0615DA"/>
    <w:multiLevelType w:val="multilevel"/>
    <w:tmpl w:val="09836DFC"/>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C08E4B1"/>
    <w:multiLevelType w:val="multilevel"/>
    <w:tmpl w:val="E7048AC8"/>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FDB97AE5"/>
    <w:multiLevelType w:val="multilevel"/>
    <w:tmpl w:val="8D0E72C0"/>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5585F80"/>
    <w:multiLevelType w:val="multilevel"/>
    <w:tmpl w:val="3C8F4686"/>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6E4C53"/>
    <w:multiLevelType w:val="hybridMultilevel"/>
    <w:tmpl w:val="B26EA2C8"/>
    <w:lvl w:ilvl="0" w:tplc="53DA656C">
      <w:start w:val="1"/>
      <w:numFmt w:val="bullet"/>
      <w:lvlText w:val=""/>
      <w:lvlJc w:val="left"/>
      <w:pPr>
        <w:ind w:left="720" w:hanging="360"/>
      </w:pPr>
      <w:rPr>
        <w:rFonts w:ascii="Symbol" w:hAnsi="Symbol"/>
      </w:rPr>
    </w:lvl>
    <w:lvl w:ilvl="1" w:tplc="5988383A">
      <w:start w:val="1"/>
      <w:numFmt w:val="bullet"/>
      <w:lvlText w:val=""/>
      <w:lvlJc w:val="left"/>
      <w:pPr>
        <w:ind w:left="720" w:hanging="360"/>
      </w:pPr>
      <w:rPr>
        <w:rFonts w:ascii="Symbol" w:hAnsi="Symbol"/>
      </w:rPr>
    </w:lvl>
    <w:lvl w:ilvl="2" w:tplc="8BCA4A78">
      <w:start w:val="1"/>
      <w:numFmt w:val="bullet"/>
      <w:lvlText w:val=""/>
      <w:lvlJc w:val="left"/>
      <w:pPr>
        <w:ind w:left="720" w:hanging="360"/>
      </w:pPr>
      <w:rPr>
        <w:rFonts w:ascii="Symbol" w:hAnsi="Symbol"/>
      </w:rPr>
    </w:lvl>
    <w:lvl w:ilvl="3" w:tplc="68448C6A">
      <w:start w:val="1"/>
      <w:numFmt w:val="bullet"/>
      <w:lvlText w:val=""/>
      <w:lvlJc w:val="left"/>
      <w:pPr>
        <w:ind w:left="720" w:hanging="360"/>
      </w:pPr>
      <w:rPr>
        <w:rFonts w:ascii="Symbol" w:hAnsi="Symbol"/>
      </w:rPr>
    </w:lvl>
    <w:lvl w:ilvl="4" w:tplc="665A1B30">
      <w:start w:val="1"/>
      <w:numFmt w:val="bullet"/>
      <w:lvlText w:val=""/>
      <w:lvlJc w:val="left"/>
      <w:pPr>
        <w:ind w:left="720" w:hanging="360"/>
      </w:pPr>
      <w:rPr>
        <w:rFonts w:ascii="Symbol" w:hAnsi="Symbol"/>
      </w:rPr>
    </w:lvl>
    <w:lvl w:ilvl="5" w:tplc="58309FFC">
      <w:start w:val="1"/>
      <w:numFmt w:val="bullet"/>
      <w:lvlText w:val=""/>
      <w:lvlJc w:val="left"/>
      <w:pPr>
        <w:ind w:left="720" w:hanging="360"/>
      </w:pPr>
      <w:rPr>
        <w:rFonts w:ascii="Symbol" w:hAnsi="Symbol"/>
      </w:rPr>
    </w:lvl>
    <w:lvl w:ilvl="6" w:tplc="F086D7A4">
      <w:start w:val="1"/>
      <w:numFmt w:val="bullet"/>
      <w:lvlText w:val=""/>
      <w:lvlJc w:val="left"/>
      <w:pPr>
        <w:ind w:left="720" w:hanging="360"/>
      </w:pPr>
      <w:rPr>
        <w:rFonts w:ascii="Symbol" w:hAnsi="Symbol"/>
      </w:rPr>
    </w:lvl>
    <w:lvl w:ilvl="7" w:tplc="34760D18">
      <w:start w:val="1"/>
      <w:numFmt w:val="bullet"/>
      <w:lvlText w:val=""/>
      <w:lvlJc w:val="left"/>
      <w:pPr>
        <w:ind w:left="720" w:hanging="360"/>
      </w:pPr>
      <w:rPr>
        <w:rFonts w:ascii="Symbol" w:hAnsi="Symbol"/>
      </w:rPr>
    </w:lvl>
    <w:lvl w:ilvl="8" w:tplc="D1F4280A">
      <w:start w:val="1"/>
      <w:numFmt w:val="bullet"/>
      <w:lvlText w:val=""/>
      <w:lvlJc w:val="left"/>
      <w:pPr>
        <w:ind w:left="720" w:hanging="360"/>
      </w:pPr>
      <w:rPr>
        <w:rFonts w:ascii="Symbol" w:hAnsi="Symbol"/>
      </w:rPr>
    </w:lvl>
  </w:abstractNum>
  <w:abstractNum w:abstractNumId="21" w15:restartNumberingAfterBreak="0">
    <w:nsid w:val="1FE413D9"/>
    <w:multiLevelType w:val="hybridMultilevel"/>
    <w:tmpl w:val="3872F4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8362FBE"/>
    <w:multiLevelType w:val="multilevel"/>
    <w:tmpl w:val="E87B0884"/>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D43A70"/>
    <w:multiLevelType w:val="multilevel"/>
    <w:tmpl w:val="2292ECDB"/>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FD9B8D"/>
    <w:multiLevelType w:val="multilevel"/>
    <w:tmpl w:val="8BA32575"/>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2E7BFC"/>
    <w:multiLevelType w:val="hybridMultilevel"/>
    <w:tmpl w:val="B21669F2"/>
    <w:lvl w:ilvl="0" w:tplc="E9B0BF9A">
      <w:start w:val="1"/>
      <w:numFmt w:val="bullet"/>
      <w:lvlText w:val=""/>
      <w:lvlJc w:val="left"/>
      <w:pPr>
        <w:ind w:left="1440" w:hanging="360"/>
      </w:pPr>
      <w:rPr>
        <w:rFonts w:ascii="Symbol" w:hAnsi="Symbol"/>
      </w:rPr>
    </w:lvl>
    <w:lvl w:ilvl="1" w:tplc="2EE42A64">
      <w:start w:val="1"/>
      <w:numFmt w:val="bullet"/>
      <w:lvlText w:val=""/>
      <w:lvlJc w:val="left"/>
      <w:pPr>
        <w:ind w:left="1440" w:hanging="360"/>
      </w:pPr>
      <w:rPr>
        <w:rFonts w:ascii="Symbol" w:hAnsi="Symbol"/>
      </w:rPr>
    </w:lvl>
    <w:lvl w:ilvl="2" w:tplc="B8285A1C">
      <w:start w:val="1"/>
      <w:numFmt w:val="bullet"/>
      <w:lvlText w:val=""/>
      <w:lvlJc w:val="left"/>
      <w:pPr>
        <w:ind w:left="1440" w:hanging="360"/>
      </w:pPr>
      <w:rPr>
        <w:rFonts w:ascii="Symbol" w:hAnsi="Symbol"/>
      </w:rPr>
    </w:lvl>
    <w:lvl w:ilvl="3" w:tplc="513E2B70">
      <w:start w:val="1"/>
      <w:numFmt w:val="bullet"/>
      <w:lvlText w:val=""/>
      <w:lvlJc w:val="left"/>
      <w:pPr>
        <w:ind w:left="1440" w:hanging="360"/>
      </w:pPr>
      <w:rPr>
        <w:rFonts w:ascii="Symbol" w:hAnsi="Symbol"/>
      </w:rPr>
    </w:lvl>
    <w:lvl w:ilvl="4" w:tplc="BA1E8280">
      <w:start w:val="1"/>
      <w:numFmt w:val="bullet"/>
      <w:lvlText w:val=""/>
      <w:lvlJc w:val="left"/>
      <w:pPr>
        <w:ind w:left="1440" w:hanging="360"/>
      </w:pPr>
      <w:rPr>
        <w:rFonts w:ascii="Symbol" w:hAnsi="Symbol"/>
      </w:rPr>
    </w:lvl>
    <w:lvl w:ilvl="5" w:tplc="DD2462CE">
      <w:start w:val="1"/>
      <w:numFmt w:val="bullet"/>
      <w:lvlText w:val=""/>
      <w:lvlJc w:val="left"/>
      <w:pPr>
        <w:ind w:left="1440" w:hanging="360"/>
      </w:pPr>
      <w:rPr>
        <w:rFonts w:ascii="Symbol" w:hAnsi="Symbol"/>
      </w:rPr>
    </w:lvl>
    <w:lvl w:ilvl="6" w:tplc="F5A687CC">
      <w:start w:val="1"/>
      <w:numFmt w:val="bullet"/>
      <w:lvlText w:val=""/>
      <w:lvlJc w:val="left"/>
      <w:pPr>
        <w:ind w:left="1440" w:hanging="360"/>
      </w:pPr>
      <w:rPr>
        <w:rFonts w:ascii="Symbol" w:hAnsi="Symbol"/>
      </w:rPr>
    </w:lvl>
    <w:lvl w:ilvl="7" w:tplc="0150B906">
      <w:start w:val="1"/>
      <w:numFmt w:val="bullet"/>
      <w:lvlText w:val=""/>
      <w:lvlJc w:val="left"/>
      <w:pPr>
        <w:ind w:left="1440" w:hanging="360"/>
      </w:pPr>
      <w:rPr>
        <w:rFonts w:ascii="Symbol" w:hAnsi="Symbol"/>
      </w:rPr>
    </w:lvl>
    <w:lvl w:ilvl="8" w:tplc="CBA89776">
      <w:start w:val="1"/>
      <w:numFmt w:val="bullet"/>
      <w:lvlText w:val=""/>
      <w:lvlJc w:val="left"/>
      <w:pPr>
        <w:ind w:left="1440" w:hanging="360"/>
      </w:pPr>
      <w:rPr>
        <w:rFonts w:ascii="Symbol" w:hAnsi="Symbol"/>
      </w:rPr>
    </w:lvl>
  </w:abstractNum>
  <w:abstractNum w:abstractNumId="26" w15:restartNumberingAfterBreak="0">
    <w:nsid w:val="45AE0C83"/>
    <w:multiLevelType w:val="multilevel"/>
    <w:tmpl w:val="2EFED656"/>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4F99F2"/>
    <w:multiLevelType w:val="multilevel"/>
    <w:tmpl w:val="C3E323DA"/>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FDF48C"/>
    <w:multiLevelType w:val="multilevel"/>
    <w:tmpl w:val="F9C63471"/>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8DB0FC"/>
    <w:multiLevelType w:val="multilevel"/>
    <w:tmpl w:val="6406822A"/>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9E1AE7"/>
    <w:multiLevelType w:val="multilevel"/>
    <w:tmpl w:val="A70A77F6"/>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5CC198"/>
    <w:multiLevelType w:val="multilevel"/>
    <w:tmpl w:val="4E82B9AE"/>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D2A6C6"/>
    <w:multiLevelType w:val="multilevel"/>
    <w:tmpl w:val="6A153679"/>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A456EB"/>
    <w:multiLevelType w:val="multilevel"/>
    <w:tmpl w:val="BFA6F097"/>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B70349"/>
    <w:multiLevelType w:val="multilevel"/>
    <w:tmpl w:val="E151683B"/>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FF10EA"/>
    <w:multiLevelType w:val="multilevel"/>
    <w:tmpl w:val="D670B81F"/>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FDCCB8"/>
    <w:multiLevelType w:val="multilevel"/>
    <w:tmpl w:val="91DCF3ED"/>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992744"/>
    <w:multiLevelType w:val="multilevel"/>
    <w:tmpl w:val="E6F4A14D"/>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0154220">
    <w:abstractNumId w:val="7"/>
  </w:num>
  <w:num w:numId="2" w16cid:durableId="1478642554">
    <w:abstractNumId w:val="24"/>
  </w:num>
  <w:num w:numId="3" w16cid:durableId="1830822347">
    <w:abstractNumId w:val="6"/>
  </w:num>
  <w:num w:numId="4" w16cid:durableId="668144768">
    <w:abstractNumId w:val="4"/>
  </w:num>
  <w:num w:numId="5" w16cid:durableId="148792704">
    <w:abstractNumId w:val="22"/>
  </w:num>
  <w:num w:numId="6" w16cid:durableId="1982540258">
    <w:abstractNumId w:val="30"/>
  </w:num>
  <w:num w:numId="7" w16cid:durableId="1144277062">
    <w:abstractNumId w:val="2"/>
  </w:num>
  <w:num w:numId="8" w16cid:durableId="154034105">
    <w:abstractNumId w:val="5"/>
  </w:num>
  <w:num w:numId="9" w16cid:durableId="1036155905">
    <w:abstractNumId w:val="23"/>
  </w:num>
  <w:num w:numId="10" w16cid:durableId="86467739">
    <w:abstractNumId w:val="26"/>
  </w:num>
  <w:num w:numId="11" w16cid:durableId="693653601">
    <w:abstractNumId w:val="37"/>
  </w:num>
  <w:num w:numId="12" w16cid:durableId="1761486395">
    <w:abstractNumId w:val="15"/>
  </w:num>
  <w:num w:numId="13" w16cid:durableId="934439446">
    <w:abstractNumId w:val="33"/>
  </w:num>
  <w:num w:numId="14" w16cid:durableId="1139880120">
    <w:abstractNumId w:val="0"/>
  </w:num>
  <w:num w:numId="15" w16cid:durableId="1404522100">
    <w:abstractNumId w:val="16"/>
  </w:num>
  <w:num w:numId="16" w16cid:durableId="946615753">
    <w:abstractNumId w:val="31"/>
  </w:num>
  <w:num w:numId="17" w16cid:durableId="1292132523">
    <w:abstractNumId w:val="35"/>
  </w:num>
  <w:num w:numId="18" w16cid:durableId="668874727">
    <w:abstractNumId w:val="9"/>
  </w:num>
  <w:num w:numId="19" w16cid:durableId="1172986962">
    <w:abstractNumId w:val="32"/>
  </w:num>
  <w:num w:numId="20" w16cid:durableId="1517765866">
    <w:abstractNumId w:val="28"/>
  </w:num>
  <w:num w:numId="21" w16cid:durableId="713425675">
    <w:abstractNumId w:val="17"/>
  </w:num>
  <w:num w:numId="22" w16cid:durableId="1511144546">
    <w:abstractNumId w:val="19"/>
  </w:num>
  <w:num w:numId="23" w16cid:durableId="1718505071">
    <w:abstractNumId w:val="27"/>
  </w:num>
  <w:num w:numId="24" w16cid:durableId="1791971306">
    <w:abstractNumId w:val="8"/>
  </w:num>
  <w:num w:numId="25" w16cid:durableId="1494179384">
    <w:abstractNumId w:val="34"/>
  </w:num>
  <w:num w:numId="26" w16cid:durableId="564685319">
    <w:abstractNumId w:val="36"/>
  </w:num>
  <w:num w:numId="27" w16cid:durableId="1300258099">
    <w:abstractNumId w:val="12"/>
  </w:num>
  <w:num w:numId="28" w16cid:durableId="2135781864">
    <w:abstractNumId w:val="1"/>
  </w:num>
  <w:num w:numId="29" w16cid:durableId="217908970">
    <w:abstractNumId w:val="29"/>
  </w:num>
  <w:num w:numId="30" w16cid:durableId="1667972052">
    <w:abstractNumId w:val="11"/>
  </w:num>
  <w:num w:numId="31" w16cid:durableId="1228876691">
    <w:abstractNumId w:val="10"/>
  </w:num>
  <w:num w:numId="32" w16cid:durableId="1713572885">
    <w:abstractNumId w:val="14"/>
  </w:num>
  <w:num w:numId="33" w16cid:durableId="93980193">
    <w:abstractNumId w:val="13"/>
  </w:num>
  <w:num w:numId="34" w16cid:durableId="422383312">
    <w:abstractNumId w:val="3"/>
  </w:num>
  <w:num w:numId="35" w16cid:durableId="1894922840">
    <w:abstractNumId w:val="18"/>
  </w:num>
  <w:num w:numId="36" w16cid:durableId="796220983">
    <w:abstractNumId w:val="21"/>
  </w:num>
  <w:num w:numId="37" w16cid:durableId="1098405318">
    <w:abstractNumId w:val="20"/>
  </w:num>
  <w:num w:numId="38" w16cid:durableId="21107352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75"/>
    <w:rsid w:val="00000A35"/>
    <w:rsid w:val="000012EF"/>
    <w:rsid w:val="00017DEE"/>
    <w:rsid w:val="00047A96"/>
    <w:rsid w:val="000A36FF"/>
    <w:rsid w:val="000A658C"/>
    <w:rsid w:val="000B6BC2"/>
    <w:rsid w:val="000C28A9"/>
    <w:rsid w:val="000F3F60"/>
    <w:rsid w:val="0010318E"/>
    <w:rsid w:val="0011295C"/>
    <w:rsid w:val="001356B5"/>
    <w:rsid w:val="00142540"/>
    <w:rsid w:val="00142BFD"/>
    <w:rsid w:val="00160E2D"/>
    <w:rsid w:val="0017238C"/>
    <w:rsid w:val="00180E8D"/>
    <w:rsid w:val="0019305D"/>
    <w:rsid w:val="001D61CE"/>
    <w:rsid w:val="001E2857"/>
    <w:rsid w:val="001E528A"/>
    <w:rsid w:val="00224790"/>
    <w:rsid w:val="00244906"/>
    <w:rsid w:val="00247828"/>
    <w:rsid w:val="00267E0C"/>
    <w:rsid w:val="00293093"/>
    <w:rsid w:val="002974B3"/>
    <w:rsid w:val="002A4E1F"/>
    <w:rsid w:val="002C4F51"/>
    <w:rsid w:val="002D1DD6"/>
    <w:rsid w:val="002D73C4"/>
    <w:rsid w:val="00300F97"/>
    <w:rsid w:val="00331FA4"/>
    <w:rsid w:val="00335A33"/>
    <w:rsid w:val="00340DAD"/>
    <w:rsid w:val="003439B3"/>
    <w:rsid w:val="00355B96"/>
    <w:rsid w:val="00365EAB"/>
    <w:rsid w:val="00370419"/>
    <w:rsid w:val="003716E4"/>
    <w:rsid w:val="00371B07"/>
    <w:rsid w:val="00375D3E"/>
    <w:rsid w:val="00394EDC"/>
    <w:rsid w:val="003A7A77"/>
    <w:rsid w:val="003B1729"/>
    <w:rsid w:val="003B7C7A"/>
    <w:rsid w:val="003D5FE8"/>
    <w:rsid w:val="003E7430"/>
    <w:rsid w:val="003F76BF"/>
    <w:rsid w:val="00403C19"/>
    <w:rsid w:val="00403E48"/>
    <w:rsid w:val="00435BE3"/>
    <w:rsid w:val="00446B82"/>
    <w:rsid w:val="00447D58"/>
    <w:rsid w:val="00457CB3"/>
    <w:rsid w:val="00462025"/>
    <w:rsid w:val="004B1224"/>
    <w:rsid w:val="004B7A69"/>
    <w:rsid w:val="004D0184"/>
    <w:rsid w:val="00506263"/>
    <w:rsid w:val="005144B9"/>
    <w:rsid w:val="00524975"/>
    <w:rsid w:val="00527A06"/>
    <w:rsid w:val="00540C10"/>
    <w:rsid w:val="00555C9E"/>
    <w:rsid w:val="005619BC"/>
    <w:rsid w:val="00574FB7"/>
    <w:rsid w:val="00580D6B"/>
    <w:rsid w:val="005A1697"/>
    <w:rsid w:val="005A1C17"/>
    <w:rsid w:val="005D7F6A"/>
    <w:rsid w:val="005E30DF"/>
    <w:rsid w:val="005E3184"/>
    <w:rsid w:val="005E49B8"/>
    <w:rsid w:val="005F7D82"/>
    <w:rsid w:val="00601C2B"/>
    <w:rsid w:val="00612966"/>
    <w:rsid w:val="00625831"/>
    <w:rsid w:val="006B5779"/>
    <w:rsid w:val="006D4F7D"/>
    <w:rsid w:val="006E1B06"/>
    <w:rsid w:val="007340CB"/>
    <w:rsid w:val="00756BDE"/>
    <w:rsid w:val="00762461"/>
    <w:rsid w:val="00764D6C"/>
    <w:rsid w:val="00765DF6"/>
    <w:rsid w:val="00773926"/>
    <w:rsid w:val="0078538D"/>
    <w:rsid w:val="00797584"/>
    <w:rsid w:val="007A25FD"/>
    <w:rsid w:val="007B0BE1"/>
    <w:rsid w:val="007B2725"/>
    <w:rsid w:val="007D5BA2"/>
    <w:rsid w:val="007E54F7"/>
    <w:rsid w:val="007E6642"/>
    <w:rsid w:val="007E6C75"/>
    <w:rsid w:val="007E7CCE"/>
    <w:rsid w:val="00801ECE"/>
    <w:rsid w:val="008031FC"/>
    <w:rsid w:val="0081357E"/>
    <w:rsid w:val="0084428F"/>
    <w:rsid w:val="0086118B"/>
    <w:rsid w:val="00862FD4"/>
    <w:rsid w:val="00866F3B"/>
    <w:rsid w:val="00877D41"/>
    <w:rsid w:val="008A123F"/>
    <w:rsid w:val="008A60B2"/>
    <w:rsid w:val="008E057A"/>
    <w:rsid w:val="00907630"/>
    <w:rsid w:val="00922085"/>
    <w:rsid w:val="009605DD"/>
    <w:rsid w:val="00961AD7"/>
    <w:rsid w:val="0096507C"/>
    <w:rsid w:val="00967BE7"/>
    <w:rsid w:val="00977948"/>
    <w:rsid w:val="009825A9"/>
    <w:rsid w:val="00986C02"/>
    <w:rsid w:val="009912A1"/>
    <w:rsid w:val="009B5D55"/>
    <w:rsid w:val="009B6059"/>
    <w:rsid w:val="009E526C"/>
    <w:rsid w:val="009F1BF3"/>
    <w:rsid w:val="009F2298"/>
    <w:rsid w:val="00A17206"/>
    <w:rsid w:val="00A31E37"/>
    <w:rsid w:val="00A41575"/>
    <w:rsid w:val="00A658AF"/>
    <w:rsid w:val="00A80436"/>
    <w:rsid w:val="00AC4FE1"/>
    <w:rsid w:val="00AD2E8C"/>
    <w:rsid w:val="00AD78B4"/>
    <w:rsid w:val="00AE163C"/>
    <w:rsid w:val="00B12968"/>
    <w:rsid w:val="00B15398"/>
    <w:rsid w:val="00B154C4"/>
    <w:rsid w:val="00B211CB"/>
    <w:rsid w:val="00B248BC"/>
    <w:rsid w:val="00B537A6"/>
    <w:rsid w:val="00B6081E"/>
    <w:rsid w:val="00B60E71"/>
    <w:rsid w:val="00BA4BEB"/>
    <w:rsid w:val="00BB1A7A"/>
    <w:rsid w:val="00BD292F"/>
    <w:rsid w:val="00BD317E"/>
    <w:rsid w:val="00BE52B0"/>
    <w:rsid w:val="00BF494F"/>
    <w:rsid w:val="00BF70D5"/>
    <w:rsid w:val="00C17171"/>
    <w:rsid w:val="00C228F2"/>
    <w:rsid w:val="00C24952"/>
    <w:rsid w:val="00C3715B"/>
    <w:rsid w:val="00C37AE6"/>
    <w:rsid w:val="00C53F2D"/>
    <w:rsid w:val="00C64D64"/>
    <w:rsid w:val="00C92B38"/>
    <w:rsid w:val="00C960DF"/>
    <w:rsid w:val="00CB43EE"/>
    <w:rsid w:val="00CE2B1F"/>
    <w:rsid w:val="00CE66C4"/>
    <w:rsid w:val="00D0146E"/>
    <w:rsid w:val="00D034BC"/>
    <w:rsid w:val="00D07188"/>
    <w:rsid w:val="00D140B8"/>
    <w:rsid w:val="00D253C4"/>
    <w:rsid w:val="00D33358"/>
    <w:rsid w:val="00D950F6"/>
    <w:rsid w:val="00D95BC6"/>
    <w:rsid w:val="00D96288"/>
    <w:rsid w:val="00DA3FF9"/>
    <w:rsid w:val="00DB1E27"/>
    <w:rsid w:val="00DC04C5"/>
    <w:rsid w:val="00DD7553"/>
    <w:rsid w:val="00DE2B47"/>
    <w:rsid w:val="00E0021F"/>
    <w:rsid w:val="00E04588"/>
    <w:rsid w:val="00E34A5D"/>
    <w:rsid w:val="00E476D5"/>
    <w:rsid w:val="00E5710C"/>
    <w:rsid w:val="00E62547"/>
    <w:rsid w:val="00E74C5D"/>
    <w:rsid w:val="00E83FBD"/>
    <w:rsid w:val="00E841FA"/>
    <w:rsid w:val="00ED137A"/>
    <w:rsid w:val="00F140AB"/>
    <w:rsid w:val="00F15243"/>
    <w:rsid w:val="00F16DDC"/>
    <w:rsid w:val="00F631C5"/>
    <w:rsid w:val="00F66413"/>
    <w:rsid w:val="00F94E94"/>
    <w:rsid w:val="00FB575F"/>
    <w:rsid w:val="00FC15AF"/>
    <w:rsid w:val="00FD001F"/>
    <w:rsid w:val="00FD526B"/>
    <w:rsid w:val="00FD657C"/>
    <w:rsid w:val="00FE678C"/>
    <w:rsid w:val="00FF021E"/>
    <w:rsid w:val="467919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7B9B7"/>
  <w15:docId w15:val="{9084ACBD-51A2-4929-ADBE-1B021E07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2"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0"/>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96507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6507C"/>
    <w:rPr>
      <w:rFonts w:ascii="Verdana" w:hAnsi="Verdana"/>
      <w:color w:val="000000"/>
      <w:sz w:val="18"/>
      <w:szCs w:val="18"/>
    </w:rPr>
  </w:style>
  <w:style w:type="paragraph" w:styleId="Voettekst">
    <w:name w:val="footer"/>
    <w:basedOn w:val="Standaard"/>
    <w:link w:val="VoettekstChar"/>
    <w:uiPriority w:val="99"/>
    <w:unhideWhenUsed/>
    <w:rsid w:val="0096507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6507C"/>
    <w:rPr>
      <w:rFonts w:ascii="Verdana" w:hAnsi="Verdana"/>
      <w:color w:val="000000"/>
      <w:sz w:val="18"/>
      <w:szCs w:val="18"/>
    </w:rPr>
  </w:style>
  <w:style w:type="paragraph" w:styleId="Voetnoottekst">
    <w:name w:val="footnote text"/>
    <w:aliases w:val="Voetnoottekst WE"/>
    <w:basedOn w:val="Standaard"/>
    <w:link w:val="VoetnoottekstChar"/>
    <w:uiPriority w:val="72"/>
    <w:semiHidden/>
    <w:unhideWhenUsed/>
    <w:rsid w:val="00B12968"/>
    <w:pPr>
      <w:spacing w:line="240" w:lineRule="auto"/>
    </w:pPr>
    <w:rPr>
      <w:sz w:val="20"/>
      <w:szCs w:val="20"/>
    </w:rPr>
  </w:style>
  <w:style w:type="character" w:customStyle="1" w:styleId="VoetnoottekstChar">
    <w:name w:val="Voetnoottekst Char"/>
    <w:aliases w:val="Voetnoottekst WE Char"/>
    <w:basedOn w:val="Standaardalinea-lettertype"/>
    <w:link w:val="Voetnoottekst"/>
    <w:uiPriority w:val="72"/>
    <w:semiHidden/>
    <w:rsid w:val="00B12968"/>
    <w:rPr>
      <w:rFonts w:ascii="Verdana" w:hAnsi="Verdana"/>
      <w:color w:val="000000"/>
    </w:rPr>
  </w:style>
  <w:style w:type="character" w:styleId="Voetnootmarkering">
    <w:name w:val="footnote reference"/>
    <w:aliases w:val="Voetnootmarkering WE"/>
    <w:basedOn w:val="Standaardalinea-lettertype"/>
    <w:uiPriority w:val="71"/>
    <w:semiHidden/>
    <w:unhideWhenUsed/>
    <w:rsid w:val="00B12968"/>
    <w:rPr>
      <w:vertAlign w:val="superscript"/>
    </w:rPr>
  </w:style>
  <w:style w:type="character" w:styleId="Verwijzingopmerking">
    <w:name w:val="annotation reference"/>
    <w:basedOn w:val="Standaardalinea-lettertype"/>
    <w:semiHidden/>
    <w:unhideWhenUsed/>
    <w:rsid w:val="00BD292F"/>
    <w:rPr>
      <w:sz w:val="16"/>
      <w:szCs w:val="16"/>
    </w:rPr>
  </w:style>
  <w:style w:type="paragraph" w:styleId="Tekstopmerking">
    <w:name w:val="annotation text"/>
    <w:basedOn w:val="Standaard"/>
    <w:link w:val="TekstopmerkingChar"/>
    <w:unhideWhenUsed/>
    <w:rsid w:val="00BD292F"/>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rsid w:val="00BD292F"/>
    <w:rPr>
      <w:rFonts w:asciiTheme="minorHAnsi" w:eastAsiaTheme="minorHAnsi" w:hAnsiTheme="minorHAnsi" w:cstheme="minorBidi"/>
      <w:kern w:val="2"/>
      <w:lang w:eastAsia="en-US"/>
      <w14:ligatures w14:val="standardContextual"/>
    </w:rPr>
  </w:style>
  <w:style w:type="character" w:styleId="Hyperlink">
    <w:name w:val="Hyperlink"/>
    <w:basedOn w:val="Standaardalinea-lettertype"/>
    <w:uiPriority w:val="99"/>
    <w:unhideWhenUsed/>
    <w:rsid w:val="00BD292F"/>
    <w:rPr>
      <w:color w:val="0563C1"/>
      <w:u w:val="single"/>
    </w:rPr>
  </w:style>
  <w:style w:type="paragraph" w:styleId="Geenafstand">
    <w:name w:val="No Spacing"/>
    <w:basedOn w:val="Standaard"/>
    <w:uiPriority w:val="1"/>
    <w:qFormat/>
    <w:rsid w:val="00BD292F"/>
    <w:pPr>
      <w:autoSpaceDN/>
      <w:spacing w:line="240" w:lineRule="auto"/>
      <w:textAlignment w:val="auto"/>
    </w:pPr>
    <w:rPr>
      <w:rFonts w:eastAsiaTheme="minorHAnsi" w:cs="Calibri"/>
      <w:color w:val="auto"/>
      <w:lang w:eastAsia="en-US"/>
    </w:rPr>
  </w:style>
  <w:style w:type="paragraph" w:styleId="Lijstalinea">
    <w:name w:val="List Paragraph"/>
    <w:basedOn w:val="Standaard"/>
    <w:uiPriority w:val="34"/>
    <w:qFormat/>
    <w:rsid w:val="00BD292F"/>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Revisie">
    <w:name w:val="Revision"/>
    <w:hidden/>
    <w:uiPriority w:val="99"/>
    <w:semiHidden/>
    <w:rsid w:val="00C960DF"/>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81357E"/>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81357E"/>
    <w:rPr>
      <w:rFonts w:ascii="Verdana" w:eastAsiaTheme="minorHAnsi" w:hAnsi="Verdana" w:cstheme="minorBidi"/>
      <w:b/>
      <w:bCs/>
      <w:color w:val="000000"/>
      <w:kern w:val="2"/>
      <w:lang w:eastAsia="en-US"/>
      <w14:ligatures w14:val="standardContextual"/>
    </w:rPr>
  </w:style>
  <w:style w:type="character" w:styleId="GevolgdeHyperlink">
    <w:name w:val="FollowedHyperlink"/>
    <w:basedOn w:val="Standaardalinea-lettertype"/>
    <w:uiPriority w:val="99"/>
    <w:semiHidden/>
    <w:unhideWhenUsed/>
    <w:rsid w:val="00A658AF"/>
    <w:rPr>
      <w:color w:val="954F72" w:themeColor="followedHyperlink"/>
      <w:u w:val="single"/>
    </w:rPr>
  </w:style>
  <w:style w:type="character" w:styleId="Onopgelostemelding">
    <w:name w:val="Unresolved Mention"/>
    <w:basedOn w:val="Standaardalinea-lettertype"/>
    <w:uiPriority w:val="99"/>
    <w:semiHidden/>
    <w:unhideWhenUsed/>
    <w:rsid w:val="00625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1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webSetting" Target="webSettings0.xml" Id="rId25"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detail?id=2024Z06381&amp;did=2024D14729" TargetMode="External"/><Relationship Id="rId2" Type="http://schemas.openxmlformats.org/officeDocument/2006/relationships/hyperlink" Target="https://www.tweedekamer.nl/kamerstukken/detail?id=2023Z06439&amp;did=2023D15276" TargetMode="External"/><Relationship Id="rId1" Type="http://schemas.openxmlformats.org/officeDocument/2006/relationships/hyperlink" Target="https://open.overheid.nl/documenten/88502b76-61e0-45de-9522-d0a162b88746/file" TargetMode="External"/><Relationship Id="rId6" Type="http://schemas.openxmlformats.org/officeDocument/2006/relationships/hyperlink" Target="https://esb.nu/wp-content/uploads/2024/01/038-041_Kok.pdf" TargetMode="External"/><Relationship Id="rId5" Type="http://schemas.openxmlformats.org/officeDocument/2006/relationships/hyperlink" Target="https://www.tweedekamer.nl/kamerstukken/brieven_regering/detail?id=2024Z09429&amp;did=2024D22211" TargetMode="External"/><Relationship Id="rId4" Type="http://schemas.openxmlformats.org/officeDocument/2006/relationships/hyperlink" Target="https://www.rvo.nl/onderwerpen/renovatiestandaard"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1908</ap:Words>
  <ap:Characters>10498</ap:Characters>
  <ap:DocSecurity>0</ap:DocSecurity>
  <ap:Lines>87</ap:Lines>
  <ap:Paragraphs>24</ap:Paragraphs>
  <ap:ScaleCrop>false</ap:ScaleCrop>
  <ap:LinksUpToDate>false</ap:LinksUpToDate>
  <ap:CharactersWithSpaces>12382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2024-07-08T12:42:00.0000000Z</dcterms:created>
  <dcterms:modified xsi:type="dcterms:W3CDTF">2024-10-02T09:21:00.0000000Z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Energielabel en energielabel C kantoren</vt:lpwstr>
  </property>
  <property fmtid="{D5CDD505-2E9C-101B-9397-08002B2CF9AE}" pid="4" name="Datum">
    <vt:lpwstr>2 oktober 2024</vt:lpwstr>
  </property>
  <property fmtid="{D5CDD505-2E9C-101B-9397-08002B2CF9AE}" pid="5" name="Docgensjabloon">
    <vt:lpwstr>DocGen_Brief_nl_NL</vt:lpwstr>
  </property>
  <property fmtid="{D5CDD505-2E9C-101B-9397-08002B2CF9AE}" pid="6" name="Aan">
    <vt:lpwstr/>
  </property>
  <property fmtid="{D5CDD505-2E9C-101B-9397-08002B2CF9AE}" pid="7" name="Kenmerk">
    <vt:lpwstr>2024-0000515403</vt:lpwstr>
  </property>
  <property fmtid="{D5CDD505-2E9C-101B-9397-08002B2CF9AE}" pid="8" name="UwKenmerk">
    <vt:lpwstr/>
  </property>
</Properties>
</file>