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14EFD" w:rsidR="00736BDE" w:rsidP="00736BDE" w:rsidRDefault="00736BDE" w14:paraId="10252293" w14:textId="77777777">
      <w:pPr>
        <w:spacing w:line="240" w:lineRule="auto"/>
      </w:pPr>
      <w:bookmarkStart w:name="_Hlk170833461" w:id="0"/>
      <w:r w:rsidRPr="00D14EFD">
        <w:t>Geachte voorzitter,</w:t>
      </w:r>
    </w:p>
    <w:p w:rsidRPr="00D14EFD" w:rsidR="00736BDE" w:rsidP="00736BDE" w:rsidRDefault="00736BDE" w14:paraId="7BAC0896" w14:textId="77777777">
      <w:pPr>
        <w:spacing w:line="240" w:lineRule="auto"/>
      </w:pPr>
    </w:p>
    <w:p w:rsidRPr="00D14EFD" w:rsidR="00736BDE" w:rsidP="00736BDE" w:rsidRDefault="00736BDE" w14:paraId="11D2629F" w14:textId="77777777">
      <w:pPr>
        <w:spacing w:line="240" w:lineRule="auto"/>
      </w:pPr>
      <w:bookmarkStart w:name="_Hlk170829935" w:id="1"/>
      <w:r w:rsidRPr="00D14EFD">
        <w:t>Hierbij bied ik</w:t>
      </w:r>
      <w:r w:rsidR="003C5638">
        <w:t xml:space="preserve"> u </w:t>
      </w:r>
      <w:r w:rsidR="002A397A">
        <w:t xml:space="preserve">mijn reactie aan </w:t>
      </w:r>
      <w:r w:rsidRPr="00D14EFD">
        <w:t>op het rapport ‘Concurrentie op de Nederlandse spaarmarkt’ van de Autoriteit Consument &amp; Markt (ACM)</w:t>
      </w:r>
      <w:r w:rsidRPr="00D14EFD">
        <w:rPr>
          <w:rStyle w:val="Voetnootmarkering"/>
        </w:rPr>
        <w:footnoteReference w:id="1"/>
      </w:r>
      <w:r w:rsidRPr="00D14EFD">
        <w:t xml:space="preserve">, dat op 16 juli 2024 is gepubliceerd. In </w:t>
      </w:r>
      <w:r w:rsidR="00125730">
        <w:t>deze</w:t>
      </w:r>
      <w:r w:rsidRPr="00D14EFD" w:rsidR="00125730">
        <w:t xml:space="preserve"> </w:t>
      </w:r>
      <w:r w:rsidR="003C5638">
        <w:t xml:space="preserve">brief treft u </w:t>
      </w:r>
      <w:r w:rsidR="00E15213">
        <w:t xml:space="preserve">aan </w:t>
      </w:r>
      <w:r w:rsidR="003C5638">
        <w:t xml:space="preserve">de context en </w:t>
      </w:r>
      <w:r w:rsidRPr="00D14EFD">
        <w:t xml:space="preserve">aanleiding voor </w:t>
      </w:r>
      <w:r w:rsidR="003C5638">
        <w:t>het ACM-</w:t>
      </w:r>
      <w:r w:rsidRPr="00D14EFD">
        <w:t>onderzoek</w:t>
      </w:r>
      <w:r w:rsidR="003C5638">
        <w:t>, een appreciatie, conclusies en vervolgstappen.</w:t>
      </w:r>
      <w:r w:rsidR="002A397A">
        <w:t xml:space="preserve"> </w:t>
      </w:r>
      <w:r w:rsidRPr="00D14EFD">
        <w:t xml:space="preserve">In bijlage </w:t>
      </w:r>
      <w:r>
        <w:t xml:space="preserve">2 </w:t>
      </w:r>
      <w:r w:rsidRPr="00D14EFD">
        <w:t xml:space="preserve">vindt u een uitgebreidere </w:t>
      </w:r>
      <w:r w:rsidR="00E15213">
        <w:t>reactie op</w:t>
      </w:r>
      <w:r w:rsidRPr="00D14EFD">
        <w:t xml:space="preserve"> de afzonderlijke ACM-aanbevelingen</w:t>
      </w:r>
      <w:bookmarkEnd w:id="1"/>
      <w:r w:rsidRPr="00D14EFD">
        <w:t>.</w:t>
      </w:r>
    </w:p>
    <w:p w:rsidRPr="00D14EFD" w:rsidR="00736BDE" w:rsidP="00736BDE" w:rsidRDefault="00736BDE" w14:paraId="4F1E389D" w14:textId="77777777">
      <w:pPr>
        <w:spacing w:line="240" w:lineRule="auto"/>
      </w:pPr>
    </w:p>
    <w:p w:rsidRPr="00D14EFD" w:rsidR="00736BDE" w:rsidP="00736BDE" w:rsidRDefault="00736BDE" w14:paraId="556ECA7B" w14:textId="77777777">
      <w:pPr>
        <w:spacing w:line="240" w:lineRule="auto"/>
        <w:rPr>
          <w:b/>
          <w:bCs/>
        </w:rPr>
      </w:pPr>
      <w:r w:rsidRPr="00D14EFD">
        <w:rPr>
          <w:b/>
          <w:bCs/>
        </w:rPr>
        <w:t>Inleiding</w:t>
      </w:r>
    </w:p>
    <w:p w:rsidRPr="00D14EFD" w:rsidR="00736BDE" w:rsidP="00736BDE" w:rsidRDefault="00736BDE" w14:paraId="165ABCA8" w14:textId="77777777">
      <w:pPr>
        <w:widowControl w:val="0"/>
        <w:spacing w:line="240" w:lineRule="auto"/>
        <w:contextualSpacing/>
        <w:rPr>
          <w:rFonts w:eastAsiaTheme="minorEastAsia" w:cstheme="minorBidi"/>
        </w:rPr>
      </w:pPr>
    </w:p>
    <w:p w:rsidR="00F03EE9" w:rsidP="00736BDE" w:rsidRDefault="00736BDE" w14:paraId="3204490E" w14:textId="77777777">
      <w:pPr>
        <w:widowControl w:val="0"/>
        <w:spacing w:line="240" w:lineRule="auto"/>
        <w:contextualSpacing/>
      </w:pPr>
      <w:bookmarkStart w:name="_Hlk175752495" w:id="2"/>
      <w:bookmarkStart w:name="_Hlk175752608" w:id="3"/>
      <w:r w:rsidRPr="00D14EFD">
        <w:rPr>
          <w:rFonts w:eastAsiaTheme="minorEastAsia" w:cstheme="minorBidi"/>
        </w:rPr>
        <w:t>Sinds medio 2022 is</w:t>
      </w:r>
      <w:r w:rsidR="00125730">
        <w:rPr>
          <w:rFonts w:eastAsiaTheme="minorEastAsia" w:cstheme="minorBidi"/>
        </w:rPr>
        <w:t>,</w:t>
      </w:r>
      <w:r w:rsidRPr="00D14EFD">
        <w:rPr>
          <w:rFonts w:eastAsiaTheme="minorEastAsia" w:cstheme="minorBidi"/>
        </w:rPr>
        <w:t xml:space="preserve"> als gevolg van het beleid van de Europese Centrale Bank (ECB) om de inflatie te bestrijden</w:t>
      </w:r>
      <w:r w:rsidR="00427E53">
        <w:rPr>
          <w:rFonts w:eastAsiaTheme="minorEastAsia" w:cstheme="minorBidi"/>
        </w:rPr>
        <w:t>,</w:t>
      </w:r>
      <w:r w:rsidRPr="00D14EFD">
        <w:rPr>
          <w:rFonts w:eastAsiaTheme="minorEastAsia" w:cstheme="minorBidi"/>
        </w:rPr>
        <w:t xml:space="preserve"> de beleidsrente</w:t>
      </w:r>
      <w:r w:rsidR="00B45D7E">
        <w:rPr>
          <w:rStyle w:val="Voetnootmarkering"/>
          <w:rFonts w:eastAsiaTheme="minorEastAsia" w:cstheme="minorBidi"/>
        </w:rPr>
        <w:footnoteReference w:id="2"/>
      </w:r>
      <w:r w:rsidRPr="00D14EFD">
        <w:rPr>
          <w:rFonts w:eastAsiaTheme="minorEastAsia" w:cstheme="minorBidi"/>
        </w:rPr>
        <w:t xml:space="preserve"> fors gestegen.</w:t>
      </w:r>
      <w:r w:rsidRPr="00F03EE9" w:rsidR="00F03EE9">
        <w:t xml:space="preserve"> </w:t>
      </w:r>
      <w:r w:rsidR="00F03EE9">
        <w:t xml:space="preserve">Hoewel alleen banken direct te maken hebben met de verhoging van de beleidsrente, </w:t>
      </w:r>
      <w:r w:rsidR="00205271">
        <w:t>kan de</w:t>
      </w:r>
      <w:r w:rsidR="00F03EE9">
        <w:t xml:space="preserve"> hoogte daarvan ook indirect door</w:t>
      </w:r>
      <w:r w:rsidR="00205271">
        <w:t>werken</w:t>
      </w:r>
      <w:r w:rsidR="00F03EE9">
        <w:t xml:space="preserve"> in de rentes die consumenten en bedrijven ontvangen op het spaargeld dat zij aanhouden bij een bank en in de rente die zij betalen voor leningen.</w:t>
      </w:r>
      <w:r w:rsidR="00F03EE9">
        <w:rPr>
          <w:rStyle w:val="Voetnootmarkering"/>
        </w:rPr>
        <w:footnoteReference w:id="3"/>
      </w:r>
      <w:r w:rsidR="00F03EE9">
        <w:t xml:space="preserve"> </w:t>
      </w:r>
    </w:p>
    <w:p w:rsidR="00F03EE9" w:rsidP="00736BDE" w:rsidRDefault="00F03EE9" w14:paraId="6973779F" w14:textId="77777777">
      <w:pPr>
        <w:widowControl w:val="0"/>
        <w:spacing w:line="240" w:lineRule="auto"/>
        <w:contextualSpacing/>
      </w:pPr>
    </w:p>
    <w:p w:rsidRPr="006E7477" w:rsidR="00736BDE" w:rsidP="00736BDE" w:rsidRDefault="00736BDE" w14:paraId="0DC1114A" w14:textId="77777777">
      <w:pPr>
        <w:widowControl w:val="0"/>
        <w:spacing w:line="240" w:lineRule="auto"/>
        <w:contextualSpacing/>
      </w:pPr>
      <w:r w:rsidRPr="557CDEC6">
        <w:rPr>
          <w:rFonts w:eastAsiaTheme="minorEastAsia" w:cstheme="minorBidi"/>
        </w:rPr>
        <w:t>Waar de negatieve beleidsrente van de ECB in de periode net daarvoor leidde tot lage of zelfs negatieve rentes voor spaarders en druk op de nettorentemarge</w:t>
      </w:r>
      <w:r w:rsidRPr="557CDEC6" w:rsidR="00610F0A">
        <w:rPr>
          <w:rStyle w:val="Voetnootmarkering"/>
          <w:rFonts w:eastAsiaTheme="minorEastAsia" w:cstheme="minorBidi"/>
        </w:rPr>
        <w:footnoteReference w:id="4"/>
      </w:r>
      <w:r w:rsidRPr="557CDEC6">
        <w:rPr>
          <w:rFonts w:eastAsiaTheme="minorEastAsia" w:cstheme="minorBidi"/>
        </w:rPr>
        <w:t xml:space="preserve"> van banken, </w:t>
      </w:r>
      <w:r w:rsidRPr="557CDEC6" w:rsidR="00125730">
        <w:rPr>
          <w:rFonts w:eastAsiaTheme="minorEastAsia" w:cstheme="minorBidi"/>
        </w:rPr>
        <w:t xml:space="preserve">leidde </w:t>
      </w:r>
      <w:r w:rsidRPr="557CDEC6">
        <w:rPr>
          <w:rFonts w:eastAsiaTheme="minorEastAsia" w:cstheme="minorBidi"/>
        </w:rPr>
        <w:t xml:space="preserve">de stijgende beleidsrente juist tot een maatschappelijke discussie over de mate en tijdigheid waarin banken de stijgende rente aan spaarders doorgeven, evenals over de relatief hoge bankwinsten die </w:t>
      </w:r>
      <w:r w:rsidRPr="557CDEC6" w:rsidR="00125730">
        <w:rPr>
          <w:rFonts w:eastAsiaTheme="minorEastAsia" w:cstheme="minorBidi"/>
        </w:rPr>
        <w:t>worden veroorzaakt</w:t>
      </w:r>
      <w:r w:rsidRPr="557CDEC6">
        <w:rPr>
          <w:rFonts w:eastAsiaTheme="minorEastAsia" w:cstheme="minorBidi"/>
        </w:rPr>
        <w:t xml:space="preserve"> door de gestegen rente.</w:t>
      </w:r>
    </w:p>
    <w:bookmarkEnd w:id="2"/>
    <w:p w:rsidRPr="00D14EFD" w:rsidR="00736BDE" w:rsidP="00736BDE" w:rsidRDefault="00736BDE" w14:paraId="42C10765" w14:textId="77777777">
      <w:pPr>
        <w:widowControl w:val="0"/>
        <w:tabs>
          <w:tab w:val="left" w:pos="6402"/>
        </w:tabs>
        <w:spacing w:line="240" w:lineRule="auto"/>
        <w:contextualSpacing/>
        <w:rPr>
          <w:rFonts w:eastAsiaTheme="minorEastAsia" w:cstheme="minorBidi"/>
        </w:rPr>
      </w:pPr>
      <w:r>
        <w:rPr>
          <w:rFonts w:eastAsiaTheme="minorEastAsia" w:cstheme="minorBidi"/>
        </w:rPr>
        <w:tab/>
      </w:r>
    </w:p>
    <w:bookmarkEnd w:id="3"/>
    <w:p w:rsidRPr="00D14EFD" w:rsidR="00736BDE" w:rsidP="00736BDE" w:rsidRDefault="00736BDE" w14:paraId="02457A6C" w14:textId="77777777">
      <w:pPr>
        <w:widowControl w:val="0"/>
        <w:spacing w:line="240" w:lineRule="auto"/>
        <w:contextualSpacing/>
        <w:rPr>
          <w:rFonts w:eastAsiaTheme="minorEastAsia" w:cstheme="minorBidi"/>
        </w:rPr>
      </w:pPr>
      <w:r w:rsidRPr="00D14EFD">
        <w:rPr>
          <w:rFonts w:eastAsiaTheme="minorEastAsia" w:cstheme="minorBidi"/>
        </w:rPr>
        <w:t xml:space="preserve">In eerdere brieven aan uw Kamer is deze ontwikkeling en de gevolgen </w:t>
      </w:r>
      <w:r>
        <w:rPr>
          <w:rFonts w:eastAsiaTheme="minorEastAsia" w:cstheme="minorBidi"/>
        </w:rPr>
        <w:t xml:space="preserve">hiervan </w:t>
      </w:r>
      <w:r w:rsidRPr="00D14EFD">
        <w:rPr>
          <w:rFonts w:eastAsiaTheme="minorEastAsia" w:cstheme="minorBidi"/>
        </w:rPr>
        <w:t xml:space="preserve">voor </w:t>
      </w:r>
      <w:r w:rsidR="00D22B86">
        <w:rPr>
          <w:rFonts w:eastAsiaTheme="minorEastAsia" w:cstheme="minorBidi"/>
        </w:rPr>
        <w:t xml:space="preserve">spaarrentes en </w:t>
      </w:r>
      <w:r w:rsidRPr="00D14EFD">
        <w:rPr>
          <w:rFonts w:eastAsiaTheme="minorEastAsia" w:cstheme="minorBidi"/>
        </w:rPr>
        <w:t>de (tijdelijk</w:t>
      </w:r>
      <w:r>
        <w:rPr>
          <w:rFonts w:eastAsiaTheme="minorEastAsia" w:cstheme="minorBidi"/>
        </w:rPr>
        <w:t xml:space="preserve"> hoge</w:t>
      </w:r>
      <w:r w:rsidRPr="00D14EFD">
        <w:rPr>
          <w:rFonts w:eastAsiaTheme="minorEastAsia" w:cstheme="minorBidi"/>
        </w:rPr>
        <w:t>) bankwinsten meermaals geduid.</w:t>
      </w:r>
      <w:r w:rsidRPr="00D14EFD">
        <w:rPr>
          <w:rStyle w:val="Voetnootmarkering"/>
          <w:rFonts w:eastAsiaTheme="minorEastAsia" w:cstheme="minorBidi"/>
        </w:rPr>
        <w:footnoteReference w:id="5"/>
      </w:r>
      <w:r w:rsidRPr="00D14EFD">
        <w:rPr>
          <w:rFonts w:eastAsiaTheme="minorEastAsia" w:cstheme="minorBidi"/>
        </w:rPr>
        <w:t xml:space="preserve"> </w:t>
      </w:r>
      <w:r w:rsidR="00125730">
        <w:rPr>
          <w:rFonts w:eastAsiaTheme="minorEastAsia" w:cstheme="minorBidi"/>
        </w:rPr>
        <w:t xml:space="preserve">Mijn ministerie </w:t>
      </w:r>
      <w:r w:rsidRPr="00D14EFD">
        <w:rPr>
          <w:rFonts w:eastAsiaTheme="minorEastAsia" w:cstheme="minorBidi"/>
        </w:rPr>
        <w:t xml:space="preserve">heeft in dit kader verschillende </w:t>
      </w:r>
      <w:r>
        <w:rPr>
          <w:rFonts w:eastAsiaTheme="minorEastAsia" w:cstheme="minorBidi"/>
        </w:rPr>
        <w:t>acties ondernomen</w:t>
      </w:r>
      <w:r w:rsidRPr="00D14EFD">
        <w:rPr>
          <w:rFonts w:eastAsiaTheme="minorEastAsia" w:cstheme="minorBidi"/>
        </w:rPr>
        <w:t>. In het voorjaar van 2023 zijn gesprekken gevoerd met de banken over de achterblijvende spaarrentes en de maatschappelijke rol van banken.</w:t>
      </w:r>
      <w:r w:rsidRPr="00D14EFD">
        <w:rPr>
          <w:rStyle w:val="Voetnootmarkering"/>
          <w:rFonts w:eastAsiaTheme="minorEastAsia" w:cstheme="minorBidi"/>
        </w:rPr>
        <w:footnoteReference w:id="6"/>
      </w:r>
      <w:r w:rsidRPr="00D14EFD">
        <w:rPr>
          <w:rFonts w:eastAsiaTheme="minorEastAsia" w:cstheme="minorBidi"/>
        </w:rPr>
        <w:t xml:space="preserve"> Ook </w:t>
      </w:r>
      <w:r>
        <w:rPr>
          <w:rFonts w:eastAsiaTheme="minorEastAsia" w:cstheme="minorBidi"/>
        </w:rPr>
        <w:t xml:space="preserve">is in </w:t>
      </w:r>
      <w:r w:rsidRPr="00D14EFD">
        <w:rPr>
          <w:rFonts w:eastAsiaTheme="minorEastAsia" w:cstheme="minorBidi"/>
        </w:rPr>
        <w:t>periodieke gesprekken met de president van De Nederlandsche Bank (DNB)</w:t>
      </w:r>
      <w:r>
        <w:rPr>
          <w:rFonts w:eastAsiaTheme="minorEastAsia" w:cstheme="minorBidi"/>
        </w:rPr>
        <w:t xml:space="preserve"> aandacht </w:t>
      </w:r>
      <w:r>
        <w:rPr>
          <w:rFonts w:eastAsiaTheme="minorEastAsia" w:cstheme="minorBidi"/>
        </w:rPr>
        <w:lastRenderedPageBreak/>
        <w:t xml:space="preserve">gevraagd voor dit onderwerp en zijn zorgen over de uitwerking van het beleid van de Europese Centrale Bank (ECB) </w:t>
      </w:r>
      <w:r w:rsidRPr="00D14EFD">
        <w:rPr>
          <w:rFonts w:eastAsiaTheme="minorEastAsia" w:cstheme="minorBidi"/>
        </w:rPr>
        <w:t>onder de aandacht gebracht</w:t>
      </w:r>
      <w:r>
        <w:rPr>
          <w:rFonts w:eastAsiaTheme="minorEastAsia" w:cstheme="minorBidi"/>
        </w:rPr>
        <w:t xml:space="preserve"> bij de Eurogroep</w:t>
      </w:r>
      <w:r w:rsidRPr="00D14EFD">
        <w:rPr>
          <w:rFonts w:eastAsiaTheme="minorEastAsia" w:cstheme="minorBidi"/>
        </w:rPr>
        <w:t>.</w:t>
      </w:r>
      <w:r w:rsidRPr="00D14EFD">
        <w:rPr>
          <w:rStyle w:val="Voetnootmarkering"/>
          <w:rFonts w:eastAsiaTheme="minorEastAsia" w:cstheme="minorBidi"/>
        </w:rPr>
        <w:footnoteReference w:id="7"/>
      </w:r>
      <w:r w:rsidRPr="00D14EFD">
        <w:rPr>
          <w:rFonts w:eastAsiaTheme="minorEastAsia" w:cstheme="minorBidi"/>
        </w:rPr>
        <w:t xml:space="preserve"> Tot slot </w:t>
      </w:r>
      <w:r w:rsidR="00125730">
        <w:rPr>
          <w:rFonts w:eastAsiaTheme="minorEastAsia" w:cstheme="minorBidi"/>
        </w:rPr>
        <w:t>ontving</w:t>
      </w:r>
      <w:r w:rsidRPr="00D14EFD">
        <w:rPr>
          <w:rFonts w:eastAsiaTheme="minorEastAsia" w:cstheme="minorBidi"/>
        </w:rPr>
        <w:t xml:space="preserve"> uw Kamer </w:t>
      </w:r>
      <w:r w:rsidR="00125730">
        <w:rPr>
          <w:rFonts w:eastAsiaTheme="minorEastAsia" w:cstheme="minorBidi"/>
        </w:rPr>
        <w:t>een brief</w:t>
      </w:r>
      <w:r w:rsidRPr="00D14EFD" w:rsidR="00125730">
        <w:rPr>
          <w:rFonts w:eastAsiaTheme="minorEastAsia" w:cstheme="minorBidi"/>
        </w:rPr>
        <w:t xml:space="preserve"> </w:t>
      </w:r>
      <w:r w:rsidRPr="00D14EFD">
        <w:rPr>
          <w:rFonts w:eastAsiaTheme="minorEastAsia" w:cstheme="minorBidi"/>
        </w:rPr>
        <w:t xml:space="preserve">met beleidsopties </w:t>
      </w:r>
      <w:r w:rsidR="00125730">
        <w:rPr>
          <w:rFonts w:eastAsiaTheme="minorEastAsia" w:cstheme="minorBidi"/>
        </w:rPr>
        <w:t xml:space="preserve">die zouden kunnen worden overwogen </w:t>
      </w:r>
      <w:r w:rsidRPr="00D14EFD">
        <w:rPr>
          <w:rFonts w:eastAsiaTheme="minorEastAsia" w:cstheme="minorBidi"/>
        </w:rPr>
        <w:t>voor het geval spaarrentes langdurig achterblijven.</w:t>
      </w:r>
      <w:r w:rsidRPr="00D14EFD">
        <w:rPr>
          <w:rStyle w:val="Voetnootmarkering"/>
          <w:rFonts w:eastAsiaTheme="minorEastAsia" w:cstheme="minorBidi"/>
        </w:rPr>
        <w:footnoteReference w:id="8"/>
      </w:r>
    </w:p>
    <w:p w:rsidRPr="00D14EFD" w:rsidR="00736BDE" w:rsidP="00736BDE" w:rsidRDefault="00736BDE" w14:paraId="3E7634B6" w14:textId="77777777">
      <w:pPr>
        <w:widowControl w:val="0"/>
        <w:spacing w:line="240" w:lineRule="auto"/>
        <w:contextualSpacing/>
        <w:rPr>
          <w:rFonts w:eastAsiaTheme="minorEastAsia" w:cstheme="minorBidi"/>
        </w:rPr>
      </w:pPr>
    </w:p>
    <w:p w:rsidRPr="00D14EFD" w:rsidR="00736BDE" w:rsidP="00736BDE" w:rsidRDefault="00736BDE" w14:paraId="57D0FBCA" w14:textId="77777777">
      <w:pPr>
        <w:widowControl w:val="0"/>
        <w:spacing w:line="240" w:lineRule="auto"/>
        <w:contextualSpacing/>
      </w:pPr>
      <w:r>
        <w:t xml:space="preserve">Ook </w:t>
      </w:r>
      <w:r w:rsidR="00125730">
        <w:t xml:space="preserve">vroeg de toenmalig minister van Financiën aan </w:t>
      </w:r>
      <w:r w:rsidRPr="00D14EFD">
        <w:t xml:space="preserve">de ACM </w:t>
      </w:r>
      <w:r>
        <w:t xml:space="preserve">of </w:t>
      </w:r>
      <w:r w:rsidR="00125730">
        <w:t>de toezichthouder</w:t>
      </w:r>
      <w:r w:rsidRPr="00D14EFD" w:rsidR="00125730">
        <w:t xml:space="preserve"> </w:t>
      </w:r>
      <w:r w:rsidRPr="00D14EFD">
        <w:t xml:space="preserve">aanleiding </w:t>
      </w:r>
      <w:r w:rsidR="00125730">
        <w:t>zag</w:t>
      </w:r>
      <w:r w:rsidRPr="00D14EFD" w:rsidR="00125730">
        <w:t xml:space="preserve"> </w:t>
      </w:r>
      <w:r w:rsidRPr="00D14EFD">
        <w:t>om onderzoek te doen naar concurrentie in de Nederlandse spaarmarkt.</w:t>
      </w:r>
      <w:r w:rsidRPr="00D14EFD">
        <w:rPr>
          <w:rStyle w:val="Voetnootmarkering"/>
        </w:rPr>
        <w:footnoteReference w:id="9"/>
      </w:r>
      <w:r w:rsidRPr="00D14EFD">
        <w:t xml:space="preserve"> De ACM zag hiervoor voldoende aanleiding en </w:t>
      </w:r>
      <w:r w:rsidR="00125730">
        <w:t>besloot</w:t>
      </w:r>
      <w:r w:rsidRPr="00D14EFD">
        <w:t xml:space="preserve"> een onderzoek te starten. Mijn ambtsvoorganger heeft tijdens het </w:t>
      </w:r>
      <w:r w:rsidR="002A397A">
        <w:t>c</w:t>
      </w:r>
      <w:r w:rsidRPr="00D14EFD">
        <w:t>ommissiedebat Financiële Markten van 30 mei jl. toegezegd om uw Kamer na de zomer te informeren over de uitkomsten van het ACM-</w:t>
      </w:r>
      <w:r>
        <w:t>onderzoek</w:t>
      </w:r>
      <w:r w:rsidRPr="00D14EFD">
        <w:t>.</w:t>
      </w:r>
      <w:r w:rsidRPr="00D14EFD">
        <w:rPr>
          <w:rStyle w:val="Voetnootmarkering"/>
        </w:rPr>
        <w:footnoteReference w:id="10"/>
      </w:r>
      <w:r w:rsidRPr="00D14EFD">
        <w:t xml:space="preserve"> Die toezegging doe ik met deze brief gestand. </w:t>
      </w:r>
    </w:p>
    <w:p w:rsidRPr="00D14EFD" w:rsidR="00736BDE" w:rsidP="00736BDE" w:rsidRDefault="00736BDE" w14:paraId="075864C7" w14:textId="77777777">
      <w:pPr>
        <w:widowControl w:val="0"/>
        <w:spacing w:line="240" w:lineRule="auto"/>
        <w:contextualSpacing/>
      </w:pPr>
    </w:p>
    <w:p w:rsidRPr="00D14EFD" w:rsidR="00736BDE" w:rsidP="00736BDE" w:rsidRDefault="00736BDE" w14:paraId="651EEB73" w14:textId="77777777">
      <w:pPr>
        <w:widowControl w:val="0"/>
        <w:spacing w:line="240" w:lineRule="auto"/>
        <w:contextualSpacing/>
        <w:rPr>
          <w:rFonts w:eastAsiaTheme="minorEastAsia" w:cstheme="minorBidi"/>
        </w:rPr>
      </w:pPr>
      <w:r w:rsidRPr="00D14EFD">
        <w:rPr>
          <w:rFonts w:eastAsiaTheme="minorEastAsia" w:cstheme="minorBidi"/>
          <w:b/>
          <w:bCs/>
        </w:rPr>
        <w:t>Algemene appreciatie</w:t>
      </w:r>
      <w:r w:rsidRPr="00D14EFD">
        <w:br/>
      </w:r>
    </w:p>
    <w:p w:rsidR="00572C49" w:rsidP="00736BDE" w:rsidRDefault="00736BDE" w14:paraId="6E3B8DB7" w14:textId="77777777">
      <w:pPr>
        <w:widowControl w:val="0"/>
        <w:spacing w:line="240" w:lineRule="auto"/>
        <w:contextualSpacing/>
        <w:rPr>
          <w:rFonts w:eastAsiaTheme="minorEastAsia" w:cstheme="minorBidi"/>
        </w:rPr>
      </w:pPr>
      <w:r w:rsidRPr="00D14EFD">
        <w:rPr>
          <w:rFonts w:eastAsiaTheme="minorEastAsia" w:cstheme="minorBidi"/>
        </w:rPr>
        <w:t xml:space="preserve">Met interesse heb ik kennisgenomen van het rapport van de ACM. Ik waardeer dat de ACM de Nederlandse spaarmarkt heeft onderzocht en aanbevelingen </w:t>
      </w:r>
      <w:r w:rsidR="00005554">
        <w:rPr>
          <w:rFonts w:eastAsiaTheme="minorEastAsia" w:cstheme="minorBidi"/>
        </w:rPr>
        <w:t>doet</w:t>
      </w:r>
      <w:r w:rsidRPr="00D14EFD">
        <w:rPr>
          <w:rFonts w:eastAsiaTheme="minorEastAsia" w:cstheme="minorBidi"/>
        </w:rPr>
        <w:t xml:space="preserve"> om de werking van de markt te verbeteren. Het rapport geeft een goed beeld van de werking van de Nederlandse spaarmarkt</w:t>
      </w:r>
      <w:r w:rsidR="002A397A">
        <w:rPr>
          <w:rFonts w:eastAsiaTheme="minorEastAsia" w:cstheme="minorBidi"/>
        </w:rPr>
        <w:t xml:space="preserve"> </w:t>
      </w:r>
      <w:r w:rsidRPr="00D14EFD">
        <w:rPr>
          <w:rFonts w:eastAsiaTheme="minorEastAsia" w:cstheme="minorBidi"/>
        </w:rPr>
        <w:t xml:space="preserve">en biedt waardevolle inzichten in de mate van concurrentie in deze markt en het gedrag van daarin aanwezige </w:t>
      </w:r>
      <w:r w:rsidR="00005554">
        <w:rPr>
          <w:rFonts w:eastAsiaTheme="minorEastAsia" w:cstheme="minorBidi"/>
        </w:rPr>
        <w:t>spelers</w:t>
      </w:r>
      <w:r w:rsidRPr="00D14EFD">
        <w:rPr>
          <w:rFonts w:eastAsiaTheme="minorEastAsia" w:cstheme="minorBidi"/>
        </w:rPr>
        <w:t>.</w:t>
      </w:r>
      <w:r w:rsidR="00250B09">
        <w:rPr>
          <w:rFonts w:eastAsiaTheme="minorEastAsia" w:cstheme="minorBidi"/>
        </w:rPr>
        <w:t xml:space="preserve"> </w:t>
      </w:r>
    </w:p>
    <w:p w:rsidR="00572C49" w:rsidP="00736BDE" w:rsidRDefault="00572C49" w14:paraId="7DB897BE" w14:textId="77777777">
      <w:pPr>
        <w:widowControl w:val="0"/>
        <w:spacing w:line="240" w:lineRule="auto"/>
        <w:contextualSpacing/>
        <w:rPr>
          <w:rFonts w:eastAsiaTheme="minorEastAsia" w:cstheme="minorBidi"/>
        </w:rPr>
      </w:pPr>
    </w:p>
    <w:p w:rsidR="00736BDE" w:rsidP="00736BDE" w:rsidRDefault="00E15213" w14:paraId="2DA25461" w14:textId="77777777">
      <w:pPr>
        <w:widowControl w:val="0"/>
        <w:spacing w:line="240" w:lineRule="auto"/>
        <w:contextualSpacing/>
        <w:rPr>
          <w:rFonts w:eastAsiaTheme="minorEastAsia" w:cstheme="minorBidi"/>
        </w:rPr>
      </w:pPr>
      <w:r>
        <w:rPr>
          <w:rFonts w:eastAsiaTheme="minorEastAsia" w:cstheme="minorBidi"/>
        </w:rPr>
        <w:t xml:space="preserve">Voor het maken van een definitieve afweging bij het al dan niet overnemen van de aanbevelingen, is het belangrijk dat duidelijk is of de maatregel het beoogde effect heeft en wat de mogelijke neveneffecten van de maatregel zijn op de individuele spelers en op de markt als geheel. </w:t>
      </w:r>
      <w:r w:rsidR="00250B09">
        <w:rPr>
          <w:rFonts w:eastAsiaTheme="minorEastAsia" w:cstheme="minorBidi"/>
        </w:rPr>
        <w:t xml:space="preserve">Waar </w:t>
      </w:r>
      <w:r>
        <w:rPr>
          <w:rFonts w:eastAsiaTheme="minorEastAsia" w:cstheme="minorBidi"/>
        </w:rPr>
        <w:t>de ACM dat nog niet in beeld heeft gebracht</w:t>
      </w:r>
      <w:r w:rsidR="00250B09">
        <w:rPr>
          <w:rFonts w:eastAsiaTheme="minorEastAsia" w:cstheme="minorBidi"/>
        </w:rPr>
        <w:t xml:space="preserve">, geef ik daarom opdracht tot </w:t>
      </w:r>
      <w:r w:rsidR="00BC222F">
        <w:rPr>
          <w:rFonts w:eastAsiaTheme="minorEastAsia" w:cstheme="minorBidi"/>
        </w:rPr>
        <w:t>nader onderzoek</w:t>
      </w:r>
      <w:r w:rsidR="00572C49">
        <w:rPr>
          <w:rFonts w:eastAsiaTheme="minorEastAsia" w:cstheme="minorBidi"/>
        </w:rPr>
        <w:t>, zoals bij een mogelijk verbod op de koppelverkoop van betaal- en spaarproducten</w:t>
      </w:r>
      <w:r w:rsidR="00250B09">
        <w:rPr>
          <w:rFonts w:eastAsiaTheme="minorEastAsia" w:cstheme="minorBidi"/>
        </w:rPr>
        <w:t>. Mijn appreciatie per aanbeveling vindt u in bijlage 2.</w:t>
      </w:r>
    </w:p>
    <w:p w:rsidR="00736BDE" w:rsidP="00736BDE" w:rsidRDefault="00736BDE" w14:paraId="478BC68F" w14:textId="77777777">
      <w:pPr>
        <w:widowControl w:val="0"/>
        <w:spacing w:line="240" w:lineRule="auto"/>
        <w:contextualSpacing/>
        <w:rPr>
          <w:rFonts w:eastAsiaTheme="minorEastAsia" w:cstheme="minorBidi"/>
        </w:rPr>
      </w:pPr>
    </w:p>
    <w:p w:rsidRPr="00CE2E57" w:rsidR="00736BDE" w:rsidP="557CDEC6" w:rsidRDefault="557CDEC6" w14:paraId="584D3410" w14:textId="77777777">
      <w:pPr>
        <w:widowControl w:val="0"/>
        <w:spacing w:line="240" w:lineRule="auto"/>
        <w:contextualSpacing/>
        <w:rPr>
          <w:rFonts w:eastAsiaTheme="minorEastAsia" w:cstheme="minorBidi"/>
          <w:i/>
          <w:iCs/>
        </w:rPr>
      </w:pPr>
      <w:r w:rsidRPr="557CDEC6">
        <w:rPr>
          <w:rFonts w:eastAsiaTheme="minorEastAsia" w:cstheme="minorBidi"/>
          <w:i/>
          <w:iCs/>
        </w:rPr>
        <w:t>Marktstructuur volgens ACM-onderzoek</w:t>
      </w:r>
    </w:p>
    <w:p w:rsidR="00736BDE" w:rsidP="557CDEC6" w:rsidRDefault="557CDEC6" w14:paraId="24D33B08" w14:textId="77777777">
      <w:pPr>
        <w:widowControl w:val="0"/>
        <w:spacing w:line="240" w:lineRule="auto"/>
        <w:contextualSpacing/>
        <w:rPr>
          <w:rFonts w:eastAsiaTheme="minorEastAsia" w:cstheme="minorBidi"/>
        </w:rPr>
      </w:pPr>
      <w:bookmarkStart w:name="_Hlk176192600" w:id="4"/>
      <w:r w:rsidRPr="557CDEC6">
        <w:rPr>
          <w:rFonts w:eastAsiaTheme="minorEastAsia" w:cstheme="minorBidi"/>
        </w:rPr>
        <w:t xml:space="preserve">De ACM concludeert in haar onderzoek dat de Nederlandse spaarmarkt niet goed functioneert en dat er ruimte is voor verbetering. Volgens de ACM </w:t>
      </w:r>
      <w:r w:rsidR="00F25D5F">
        <w:rPr>
          <w:rFonts w:eastAsiaTheme="minorEastAsia" w:cstheme="minorBidi"/>
        </w:rPr>
        <w:t xml:space="preserve">is sprake van een </w:t>
      </w:r>
      <w:r w:rsidRPr="009B4F39" w:rsidR="009B4F39">
        <w:rPr>
          <w:rFonts w:eastAsiaTheme="minorEastAsia" w:cstheme="minorBidi"/>
        </w:rPr>
        <w:t>oligopolistische</w:t>
      </w:r>
      <w:r w:rsidR="009B4F39">
        <w:rPr>
          <w:rFonts w:eastAsiaTheme="minorEastAsia" w:cstheme="minorBidi"/>
        </w:rPr>
        <w:t xml:space="preserve"> </w:t>
      </w:r>
      <w:r w:rsidR="00F25D5F">
        <w:rPr>
          <w:rFonts w:eastAsiaTheme="minorEastAsia" w:cstheme="minorBidi"/>
        </w:rPr>
        <w:t>markt</w:t>
      </w:r>
      <w:r w:rsidR="009B4F39">
        <w:rPr>
          <w:rFonts w:eastAsiaTheme="minorEastAsia" w:cstheme="minorBidi"/>
        </w:rPr>
        <w:t xml:space="preserve">. </w:t>
      </w:r>
      <w:r w:rsidR="00E15213">
        <w:rPr>
          <w:rFonts w:eastAsiaTheme="minorEastAsia" w:cstheme="minorBidi"/>
        </w:rPr>
        <w:t>D</w:t>
      </w:r>
      <w:r w:rsidR="009B4F39">
        <w:rPr>
          <w:rFonts w:eastAsiaTheme="minorEastAsia" w:cstheme="minorBidi"/>
        </w:rPr>
        <w:t>e Nederlandse spaar</w:t>
      </w:r>
      <w:r w:rsidRPr="557CDEC6">
        <w:rPr>
          <w:rFonts w:eastAsiaTheme="minorEastAsia" w:cstheme="minorBidi"/>
        </w:rPr>
        <w:t xml:space="preserve">markt </w:t>
      </w:r>
      <w:r w:rsidR="00E15213">
        <w:rPr>
          <w:rFonts w:eastAsiaTheme="minorEastAsia" w:cstheme="minorBidi"/>
        </w:rPr>
        <w:t xml:space="preserve">is </w:t>
      </w:r>
      <w:r w:rsidR="009B4F39">
        <w:rPr>
          <w:rFonts w:eastAsiaTheme="minorEastAsia" w:cstheme="minorBidi"/>
        </w:rPr>
        <w:t>sterk geconcentreerd</w:t>
      </w:r>
      <w:r w:rsidR="00E15213">
        <w:rPr>
          <w:rFonts w:eastAsiaTheme="minorEastAsia" w:cstheme="minorBidi"/>
        </w:rPr>
        <w:t>,</w:t>
      </w:r>
      <w:r w:rsidR="009B4F39">
        <w:rPr>
          <w:rFonts w:eastAsiaTheme="minorEastAsia" w:cstheme="minorBidi"/>
        </w:rPr>
        <w:t xml:space="preserve"> met enkele grootbanken die een groot deel van de markt bedienen. </w:t>
      </w:r>
      <w:r w:rsidRPr="557CDEC6">
        <w:rPr>
          <w:rFonts w:eastAsiaTheme="minorEastAsia" w:cstheme="minorBidi"/>
        </w:rPr>
        <w:t>De ACM stelt bovendien dat het aannemelijk is dat er sprake is van stilzwijgende afstemming tussen de grootbanken. Grote aanbieders voelen beperkte concurrentiedruk omdat maar weinig consumenten (dreigen met) overstappen. De grote aanbieders kunnen daardoor een relatief passieve prijsstrategie hanteren, waarbij zij renteverhogingen vertraagd of onvolledig doorgeven aan spaarklanten.</w:t>
      </w:r>
      <w:r w:rsidR="00506AEB">
        <w:rPr>
          <w:rStyle w:val="Voetnootmarkering"/>
          <w:rFonts w:eastAsiaTheme="minorEastAsia" w:cstheme="minorBidi"/>
        </w:rPr>
        <w:footnoteReference w:id="11"/>
      </w:r>
      <w:r w:rsidRPr="557CDEC6">
        <w:rPr>
          <w:rFonts w:eastAsiaTheme="minorEastAsia" w:cstheme="minorBidi"/>
        </w:rPr>
        <w:t xml:space="preserve"> Dit leidt volgens de ACM tot een marktuitkomst die – in economische zin – niet optimaal is voor consumenten en de maatschappij als geheel. </w:t>
      </w:r>
      <w:bookmarkStart w:name="_Hlk176192607" w:id="5"/>
      <w:bookmarkEnd w:id="4"/>
      <w:bookmarkEnd w:id="5"/>
    </w:p>
    <w:p w:rsidR="00506AEB" w:rsidP="557CDEC6" w:rsidRDefault="00506AEB" w14:paraId="568C66FD" w14:textId="77777777">
      <w:pPr>
        <w:widowControl w:val="0"/>
        <w:spacing w:line="240" w:lineRule="auto"/>
        <w:contextualSpacing/>
        <w:rPr>
          <w:rFonts w:eastAsiaTheme="minorEastAsia" w:cstheme="minorBidi"/>
        </w:rPr>
      </w:pPr>
    </w:p>
    <w:p w:rsidR="00736BDE" w:rsidP="00736BDE" w:rsidRDefault="00736BDE" w14:paraId="6357E3E1" w14:textId="77777777">
      <w:pPr>
        <w:widowControl w:val="0"/>
        <w:spacing w:line="240" w:lineRule="auto"/>
        <w:contextualSpacing/>
        <w:rPr>
          <w:rFonts w:eastAsiaTheme="minorEastAsia" w:cstheme="minorBidi"/>
        </w:rPr>
      </w:pPr>
      <w:bookmarkStart w:name="_Hlk176192637" w:id="6"/>
      <w:r w:rsidRPr="002759B9">
        <w:rPr>
          <w:rFonts w:eastAsiaTheme="minorEastAsia" w:cstheme="minorBidi"/>
        </w:rPr>
        <w:t xml:space="preserve">De ACM </w:t>
      </w:r>
      <w:r>
        <w:rPr>
          <w:rFonts w:eastAsiaTheme="minorEastAsia" w:cstheme="minorBidi"/>
        </w:rPr>
        <w:t xml:space="preserve">benadrukt dat er </w:t>
      </w:r>
      <w:r w:rsidRPr="00B178F6">
        <w:rPr>
          <w:rFonts w:eastAsiaTheme="minorEastAsia" w:cstheme="minorBidi"/>
        </w:rPr>
        <w:t>geen</w:t>
      </w:r>
      <w:r>
        <w:rPr>
          <w:rFonts w:eastAsiaTheme="minorEastAsia" w:cstheme="minorBidi"/>
        </w:rPr>
        <w:t xml:space="preserve"> aanwijzing</w:t>
      </w:r>
      <w:r w:rsidRPr="00D14EFD">
        <w:rPr>
          <w:rFonts w:eastAsiaTheme="minorEastAsia" w:cstheme="minorBidi"/>
        </w:rPr>
        <w:t xml:space="preserve"> is van verboden gedragingen van banken onder de Mededingingswet.</w:t>
      </w:r>
      <w:r w:rsidRPr="002759B9">
        <w:rPr>
          <w:rFonts w:eastAsiaTheme="minorEastAsia" w:cstheme="minorBidi"/>
        </w:rPr>
        <w:t xml:space="preserve"> </w:t>
      </w:r>
      <w:r>
        <w:rPr>
          <w:rFonts w:eastAsiaTheme="minorEastAsia" w:cstheme="minorBidi"/>
        </w:rPr>
        <w:t xml:space="preserve">Verder </w:t>
      </w:r>
      <w:r w:rsidR="00B178F6">
        <w:rPr>
          <w:rFonts w:eastAsiaTheme="minorEastAsia" w:cstheme="minorBidi"/>
        </w:rPr>
        <w:t>geeft</w:t>
      </w:r>
      <w:r w:rsidRPr="002759B9">
        <w:rPr>
          <w:rFonts w:eastAsiaTheme="minorEastAsia" w:cstheme="minorBidi"/>
        </w:rPr>
        <w:t xml:space="preserve"> de ACM</w:t>
      </w:r>
      <w:r w:rsidRPr="00103ECD">
        <w:rPr>
          <w:rFonts w:eastAsiaTheme="minorEastAsia" w:cstheme="minorBidi"/>
        </w:rPr>
        <w:t xml:space="preserve"> in een </w:t>
      </w:r>
      <w:r w:rsidR="00005554">
        <w:rPr>
          <w:rFonts w:eastAsiaTheme="minorEastAsia" w:cstheme="minorBidi"/>
        </w:rPr>
        <w:t>verklaring</w:t>
      </w:r>
      <w:r w:rsidRPr="00103ECD" w:rsidR="00005554">
        <w:rPr>
          <w:rFonts w:eastAsiaTheme="minorEastAsia" w:cstheme="minorBidi"/>
        </w:rPr>
        <w:t xml:space="preserve"> </w:t>
      </w:r>
      <w:r w:rsidR="00B178F6">
        <w:rPr>
          <w:rFonts w:eastAsiaTheme="minorEastAsia" w:cstheme="minorBidi"/>
        </w:rPr>
        <w:t xml:space="preserve">aan </w:t>
      </w:r>
      <w:r w:rsidRPr="002759B9">
        <w:rPr>
          <w:rFonts w:eastAsiaTheme="minorEastAsia" w:cstheme="minorBidi"/>
        </w:rPr>
        <w:t>dat er in het geval van stilzwijgende afstemming geen sprake is van daadwerkelijke afstemming</w:t>
      </w:r>
      <w:r w:rsidRPr="00103ECD">
        <w:rPr>
          <w:rFonts w:eastAsiaTheme="minorEastAsia" w:cstheme="minorBidi"/>
        </w:rPr>
        <w:t xml:space="preserve"> of onderling contact</w:t>
      </w:r>
      <w:r w:rsidRPr="002759B9">
        <w:rPr>
          <w:rFonts w:eastAsiaTheme="minorEastAsia" w:cstheme="minorBidi"/>
        </w:rPr>
        <w:t>, noch een intentie om af te stemmen.</w:t>
      </w:r>
      <w:r w:rsidRPr="002759B9">
        <w:rPr>
          <w:rStyle w:val="Voetnootmarkering"/>
          <w:rFonts w:eastAsiaTheme="minorEastAsia" w:cstheme="minorBidi"/>
        </w:rPr>
        <w:footnoteReference w:id="12"/>
      </w:r>
      <w:r w:rsidRPr="002759B9">
        <w:rPr>
          <w:rFonts w:eastAsiaTheme="minorEastAsia" w:cstheme="minorBidi"/>
        </w:rPr>
        <w:t xml:space="preserve"> </w:t>
      </w:r>
      <w:r>
        <w:rPr>
          <w:rFonts w:eastAsiaTheme="minorEastAsia" w:cstheme="minorBidi"/>
        </w:rPr>
        <w:t xml:space="preserve">Tot slot merkt de ACM in dit statement op dat stilzwijgende </w:t>
      </w:r>
      <w:r>
        <w:rPr>
          <w:rFonts w:eastAsiaTheme="minorEastAsia" w:cstheme="minorBidi"/>
        </w:rPr>
        <w:lastRenderedPageBreak/>
        <w:t>afstemming kan worden gezien als een marktuitkomst van een concurrentie-evenwicht.</w:t>
      </w:r>
      <w:r w:rsidRPr="00D14EFD">
        <w:rPr>
          <w:rFonts w:eastAsiaTheme="minorEastAsia" w:cstheme="minorBidi"/>
        </w:rPr>
        <w:t xml:space="preserve"> Ik </w:t>
      </w:r>
      <w:r>
        <w:rPr>
          <w:rFonts w:eastAsiaTheme="minorEastAsia" w:cstheme="minorBidi"/>
        </w:rPr>
        <w:t xml:space="preserve">vind dit belangrijke nuances </w:t>
      </w:r>
      <w:r w:rsidR="00005554">
        <w:rPr>
          <w:rFonts w:eastAsiaTheme="minorEastAsia" w:cstheme="minorBidi"/>
        </w:rPr>
        <w:t>bij het begrip ‘stilzwijgende afstemming’, waarover na publicatie van het conceptrapport van de ACM veel te doen was. I</w:t>
      </w:r>
      <w:r>
        <w:rPr>
          <w:rFonts w:eastAsiaTheme="minorEastAsia" w:cstheme="minorBidi"/>
        </w:rPr>
        <w:t xml:space="preserve">k zie </w:t>
      </w:r>
      <w:r w:rsidRPr="00D14EFD">
        <w:rPr>
          <w:rFonts w:eastAsiaTheme="minorEastAsia" w:cstheme="minorBidi"/>
        </w:rPr>
        <w:t xml:space="preserve">stilzwijgende afstemming niet als een oorzaak, maar als een uitkomst van </w:t>
      </w:r>
      <w:r>
        <w:rPr>
          <w:rFonts w:eastAsiaTheme="minorEastAsia" w:cstheme="minorBidi"/>
        </w:rPr>
        <w:t>de huidige marktstructuur</w:t>
      </w:r>
      <w:r w:rsidRPr="00D14EFD">
        <w:rPr>
          <w:rFonts w:eastAsiaTheme="minorEastAsia" w:cstheme="minorBidi"/>
        </w:rPr>
        <w:t xml:space="preserve">. Hier kunnen verschillende </w:t>
      </w:r>
      <w:r w:rsidR="00005554">
        <w:rPr>
          <w:rFonts w:eastAsiaTheme="minorEastAsia" w:cstheme="minorBidi"/>
        </w:rPr>
        <w:t>factoren een rol spelen</w:t>
      </w:r>
      <w:r w:rsidR="006B69FA">
        <w:rPr>
          <w:rFonts w:eastAsiaTheme="minorEastAsia" w:cstheme="minorBidi"/>
        </w:rPr>
        <w:t>;</w:t>
      </w:r>
      <w:r w:rsidR="00B178F6">
        <w:rPr>
          <w:rFonts w:eastAsiaTheme="minorEastAsia" w:cstheme="minorBidi"/>
        </w:rPr>
        <w:t xml:space="preserve"> </w:t>
      </w:r>
      <w:r w:rsidR="006B69FA">
        <w:rPr>
          <w:rFonts w:eastAsiaTheme="minorEastAsia" w:cstheme="minorBidi"/>
        </w:rPr>
        <w:t xml:space="preserve">de ACM noemt in haar rapport </w:t>
      </w:r>
      <w:r w:rsidR="00B178F6">
        <w:rPr>
          <w:rFonts w:eastAsiaTheme="minorEastAsia" w:cstheme="minorBidi"/>
        </w:rPr>
        <w:t>bijvoorbeeld consumentengedrag</w:t>
      </w:r>
      <w:r w:rsidR="006B69FA">
        <w:rPr>
          <w:rFonts w:eastAsiaTheme="minorEastAsia" w:cstheme="minorBidi"/>
        </w:rPr>
        <w:t xml:space="preserve"> en </w:t>
      </w:r>
      <w:r w:rsidR="00005554">
        <w:rPr>
          <w:rFonts w:eastAsiaTheme="minorEastAsia" w:cstheme="minorBidi"/>
        </w:rPr>
        <w:t>macro-economische</w:t>
      </w:r>
      <w:r w:rsidR="006B69FA">
        <w:rPr>
          <w:rFonts w:eastAsiaTheme="minorEastAsia" w:cstheme="minorBidi"/>
        </w:rPr>
        <w:t>- en bedrijfseconomische factoren</w:t>
      </w:r>
      <w:r w:rsidR="00B178F6">
        <w:rPr>
          <w:rFonts w:eastAsiaTheme="minorEastAsia" w:cstheme="minorBidi"/>
        </w:rPr>
        <w:t xml:space="preserve">. </w:t>
      </w:r>
    </w:p>
    <w:bookmarkEnd w:id="6"/>
    <w:p w:rsidR="00776384" w:rsidP="007A41C4" w:rsidRDefault="00776384" w14:paraId="3DCE2520" w14:textId="77777777">
      <w:pPr>
        <w:widowControl w:val="0"/>
        <w:spacing w:line="240" w:lineRule="auto"/>
        <w:contextualSpacing/>
        <w:rPr>
          <w:rFonts w:eastAsiaTheme="minorEastAsia" w:cstheme="minorBidi"/>
        </w:rPr>
      </w:pPr>
    </w:p>
    <w:p w:rsidR="001A35BD" w:rsidP="00375848" w:rsidRDefault="00005554" w14:paraId="2873162B" w14:textId="77777777">
      <w:pPr>
        <w:widowControl w:val="0"/>
        <w:spacing w:line="240" w:lineRule="auto"/>
        <w:contextualSpacing/>
        <w:rPr>
          <w:rFonts w:eastAsiaTheme="minorEastAsia" w:cstheme="minorBidi"/>
        </w:rPr>
      </w:pPr>
      <w:bookmarkStart w:name="_Hlk176193005" w:id="7"/>
      <w:r>
        <w:rPr>
          <w:rFonts w:eastAsiaTheme="minorEastAsia" w:cstheme="minorBidi"/>
        </w:rPr>
        <w:t>Het is positief</w:t>
      </w:r>
      <w:r w:rsidRPr="00D14EFD" w:rsidR="00776384">
        <w:rPr>
          <w:rFonts w:eastAsiaTheme="minorEastAsia" w:cstheme="minorBidi"/>
        </w:rPr>
        <w:t xml:space="preserve"> dat de ACM in haar onderzoek </w:t>
      </w:r>
      <w:r w:rsidR="001A35BD">
        <w:rPr>
          <w:rFonts w:eastAsiaTheme="minorEastAsia" w:cstheme="minorBidi"/>
        </w:rPr>
        <w:t xml:space="preserve">ook </w:t>
      </w:r>
      <w:r w:rsidRPr="00D14EFD" w:rsidR="00776384">
        <w:rPr>
          <w:rFonts w:eastAsiaTheme="minorEastAsia" w:cstheme="minorBidi"/>
        </w:rPr>
        <w:t xml:space="preserve">signaleert dat er een divers aanbod van spelers op de </w:t>
      </w:r>
      <w:r w:rsidRPr="00776384" w:rsidR="00776384">
        <w:rPr>
          <w:rFonts w:eastAsiaTheme="minorEastAsia" w:cstheme="minorBidi"/>
        </w:rPr>
        <w:t xml:space="preserve">spaarmarkt is en dat de toetredingsdrempels om actief te worden op de Nederlandse spaarmarkt lijken mee te vallen. </w:t>
      </w:r>
      <w:bookmarkEnd w:id="7"/>
      <w:r w:rsidRPr="00776384" w:rsidR="00776384">
        <w:rPr>
          <w:rFonts w:eastAsiaTheme="minorEastAsia" w:cstheme="minorBidi"/>
        </w:rPr>
        <w:t xml:space="preserve">Op basis van het aantal binnen- en buitenlandse aanbieders dat momenteel op de Nederlandse spaarmarkt actief is, </w:t>
      </w:r>
      <w:r w:rsidRPr="006B69FA" w:rsidR="00776384">
        <w:rPr>
          <w:rFonts w:eastAsiaTheme="minorEastAsia" w:cstheme="minorBidi"/>
        </w:rPr>
        <w:t>maak ik op dat de Nederlandse</w:t>
      </w:r>
      <w:r w:rsidRPr="00776384" w:rsidR="00776384">
        <w:rPr>
          <w:rFonts w:eastAsiaTheme="minorEastAsia" w:cstheme="minorBidi"/>
        </w:rPr>
        <w:t xml:space="preserve"> spaarmarkt</w:t>
      </w:r>
      <w:r w:rsidRPr="00D14EFD" w:rsidR="00776384">
        <w:rPr>
          <w:rFonts w:eastAsiaTheme="minorEastAsia" w:cstheme="minorBidi"/>
        </w:rPr>
        <w:t xml:space="preserve"> een markt is waar de Nederlandse consument veel keuze heeft.</w:t>
      </w:r>
      <w:r w:rsidRPr="00D14EFD" w:rsidR="00776384">
        <w:rPr>
          <w:rStyle w:val="Voetnootmarkering"/>
          <w:rFonts w:eastAsiaTheme="minorEastAsia" w:cstheme="minorBidi"/>
        </w:rPr>
        <w:footnoteReference w:id="13"/>
      </w:r>
      <w:r w:rsidR="00AD4E15">
        <w:rPr>
          <w:rFonts w:eastAsiaTheme="minorEastAsia" w:cstheme="minorBidi"/>
        </w:rPr>
        <w:t xml:space="preserve"> </w:t>
      </w:r>
      <w:r w:rsidR="001E5EA5">
        <w:rPr>
          <w:rFonts w:eastAsiaTheme="minorEastAsia" w:cstheme="minorBidi"/>
        </w:rPr>
        <w:t>Dit neemt echter niet weg dat in de praktijk verreweg het grootste deel van de spaartegoeden</w:t>
      </w:r>
      <w:r w:rsidR="00DA4ED5">
        <w:rPr>
          <w:rFonts w:eastAsiaTheme="minorEastAsia" w:cstheme="minorBidi"/>
        </w:rPr>
        <w:t xml:space="preserve"> </w:t>
      </w:r>
      <w:r w:rsidR="001E5EA5">
        <w:rPr>
          <w:rFonts w:eastAsiaTheme="minorEastAsia" w:cstheme="minorBidi"/>
        </w:rPr>
        <w:t xml:space="preserve">wordt aangehouden bij de vier grootste banken, </w:t>
      </w:r>
      <w:r w:rsidR="00AD4E15">
        <w:rPr>
          <w:rFonts w:eastAsiaTheme="minorEastAsia" w:cstheme="minorBidi"/>
        </w:rPr>
        <w:t xml:space="preserve">waardoor de ACM </w:t>
      </w:r>
      <w:r w:rsidR="00BC222F">
        <w:rPr>
          <w:rFonts w:eastAsiaTheme="minorEastAsia" w:cstheme="minorBidi"/>
        </w:rPr>
        <w:t xml:space="preserve">concludeert </w:t>
      </w:r>
      <w:r w:rsidR="00AD4E15">
        <w:rPr>
          <w:rFonts w:eastAsiaTheme="minorEastAsia" w:cstheme="minorBidi"/>
        </w:rPr>
        <w:t xml:space="preserve">dat de markt oligopolistisch is. </w:t>
      </w:r>
      <w:r w:rsidR="0052452D">
        <w:rPr>
          <w:rFonts w:eastAsiaTheme="minorEastAsia" w:cstheme="minorBidi"/>
        </w:rPr>
        <w:t xml:space="preserve"> </w:t>
      </w:r>
    </w:p>
    <w:p w:rsidR="002759B9" w:rsidP="007A41C4" w:rsidRDefault="002759B9" w14:paraId="6226256B" w14:textId="77777777">
      <w:pPr>
        <w:widowControl w:val="0"/>
        <w:spacing w:line="240" w:lineRule="auto"/>
        <w:contextualSpacing/>
        <w:rPr>
          <w:rFonts w:eastAsiaTheme="minorEastAsia" w:cstheme="minorBidi"/>
        </w:rPr>
      </w:pPr>
    </w:p>
    <w:p w:rsidRPr="00D14EFD" w:rsidR="007A41C4" w:rsidP="007A41C4" w:rsidRDefault="002759B9" w14:paraId="6C7663BE" w14:textId="77777777">
      <w:pPr>
        <w:widowControl w:val="0"/>
        <w:spacing w:line="240" w:lineRule="auto"/>
        <w:contextualSpacing/>
        <w:rPr>
          <w:rFonts w:eastAsiaTheme="minorEastAsia" w:cstheme="minorBidi"/>
        </w:rPr>
      </w:pPr>
      <w:r w:rsidRPr="0052452D">
        <w:rPr>
          <w:rFonts w:eastAsiaTheme="minorEastAsia" w:cstheme="minorBidi"/>
          <w:i/>
          <w:iCs/>
        </w:rPr>
        <w:t>Consumentengedrag</w:t>
      </w:r>
    </w:p>
    <w:p w:rsidRPr="0052452D" w:rsidR="007A41C4" w:rsidP="007A41C4" w:rsidRDefault="001A35BD" w14:paraId="14DD631E" w14:textId="77777777">
      <w:pPr>
        <w:widowControl w:val="0"/>
        <w:spacing w:line="240" w:lineRule="auto"/>
        <w:contextualSpacing/>
        <w:rPr>
          <w:rFonts w:eastAsiaTheme="minorEastAsia" w:cstheme="minorBidi"/>
        </w:rPr>
      </w:pPr>
      <w:bookmarkStart w:name="_Hlk176193283" w:id="8"/>
      <w:r w:rsidRPr="0052452D">
        <w:rPr>
          <w:rFonts w:eastAsiaTheme="minorEastAsia" w:cstheme="minorBidi"/>
        </w:rPr>
        <w:t>De ACM merkt op dat consumentengedrag</w:t>
      </w:r>
      <w:r w:rsidR="00DB53FD">
        <w:rPr>
          <w:rFonts w:eastAsiaTheme="minorEastAsia" w:cstheme="minorBidi"/>
        </w:rPr>
        <w:t xml:space="preserve"> een belangrijke rol</w:t>
      </w:r>
      <w:r w:rsidRPr="0052452D">
        <w:rPr>
          <w:rFonts w:eastAsiaTheme="minorEastAsia" w:cstheme="minorBidi"/>
        </w:rPr>
        <w:t xml:space="preserve"> speelt in </w:t>
      </w:r>
      <w:r w:rsidR="001324F5">
        <w:rPr>
          <w:rFonts w:eastAsiaTheme="minorEastAsia" w:cstheme="minorBidi"/>
        </w:rPr>
        <w:t>de mate van concurrentie in de spaarmarkt</w:t>
      </w:r>
      <w:r w:rsidRPr="0052452D">
        <w:rPr>
          <w:rFonts w:eastAsiaTheme="minorEastAsia" w:cstheme="minorBidi"/>
        </w:rPr>
        <w:t xml:space="preserve">. Ondanks het bestaan van een divers aanbod </w:t>
      </w:r>
      <w:r w:rsidR="00720D65">
        <w:rPr>
          <w:rFonts w:eastAsiaTheme="minorEastAsia" w:cstheme="minorBidi"/>
        </w:rPr>
        <w:t>van</w:t>
      </w:r>
      <w:r w:rsidRPr="0052452D" w:rsidR="00720D65">
        <w:rPr>
          <w:rFonts w:eastAsiaTheme="minorEastAsia" w:cstheme="minorBidi"/>
        </w:rPr>
        <w:t xml:space="preserve"> </w:t>
      </w:r>
      <w:r w:rsidRPr="0052452D">
        <w:rPr>
          <w:rFonts w:eastAsiaTheme="minorEastAsia" w:cstheme="minorBidi"/>
        </w:rPr>
        <w:t xml:space="preserve">spelers op de spaarmarkt </w:t>
      </w:r>
      <w:r w:rsidR="00005554">
        <w:rPr>
          <w:rFonts w:eastAsiaTheme="minorEastAsia" w:cstheme="minorBidi"/>
        </w:rPr>
        <w:t xml:space="preserve">constateert </w:t>
      </w:r>
      <w:r w:rsidR="0052452D">
        <w:rPr>
          <w:rFonts w:eastAsiaTheme="minorEastAsia" w:cstheme="minorBidi"/>
        </w:rPr>
        <w:t xml:space="preserve">de ACM </w:t>
      </w:r>
      <w:r w:rsidRPr="0052452D">
        <w:rPr>
          <w:rFonts w:eastAsiaTheme="minorEastAsia" w:cstheme="minorBidi"/>
        </w:rPr>
        <w:t>dat consumenten maar beperkt overstapgedrag vertonen</w:t>
      </w:r>
      <w:r w:rsidRPr="0052452D" w:rsidR="00D31102">
        <w:rPr>
          <w:rFonts w:eastAsiaTheme="minorEastAsia" w:cstheme="minorBidi"/>
        </w:rPr>
        <w:t xml:space="preserve"> (</w:t>
      </w:r>
      <w:r w:rsidR="00005554">
        <w:rPr>
          <w:rFonts w:eastAsiaTheme="minorEastAsia" w:cstheme="minorBidi"/>
        </w:rPr>
        <w:t>de zogenoemde ‘</w:t>
      </w:r>
      <w:r w:rsidRPr="0052452D" w:rsidR="00D31102">
        <w:rPr>
          <w:rFonts w:eastAsiaTheme="minorEastAsia" w:cstheme="minorBidi"/>
        </w:rPr>
        <w:t>consumenteninertie</w:t>
      </w:r>
      <w:r w:rsidR="00005554">
        <w:rPr>
          <w:rFonts w:eastAsiaTheme="minorEastAsia" w:cstheme="minorBidi"/>
        </w:rPr>
        <w:t>’</w:t>
      </w:r>
      <w:r w:rsidRPr="0052452D" w:rsidR="00D31102">
        <w:rPr>
          <w:rFonts w:eastAsiaTheme="minorEastAsia" w:cstheme="minorBidi"/>
        </w:rPr>
        <w:t>)</w:t>
      </w:r>
      <w:r w:rsidRPr="0052452D">
        <w:rPr>
          <w:rFonts w:eastAsiaTheme="minorEastAsia" w:cstheme="minorBidi"/>
        </w:rPr>
        <w:t xml:space="preserve">. </w:t>
      </w:r>
      <w:r w:rsidRPr="00D34341" w:rsidR="003353A1">
        <w:rPr>
          <w:rFonts w:eastAsiaTheme="minorEastAsia" w:cstheme="minorBidi"/>
        </w:rPr>
        <w:t xml:space="preserve">Er zijn verschillende </w:t>
      </w:r>
      <w:r w:rsidR="00005554">
        <w:rPr>
          <w:rFonts w:eastAsiaTheme="minorEastAsia" w:cstheme="minorBidi"/>
        </w:rPr>
        <w:t>oorzaken</w:t>
      </w:r>
      <w:r w:rsidRPr="00D34341" w:rsidR="00005554">
        <w:rPr>
          <w:rFonts w:eastAsiaTheme="minorEastAsia" w:cstheme="minorBidi"/>
        </w:rPr>
        <w:t xml:space="preserve"> </w:t>
      </w:r>
      <w:r w:rsidR="00F205A0">
        <w:rPr>
          <w:rFonts w:eastAsiaTheme="minorEastAsia" w:cstheme="minorBidi"/>
        </w:rPr>
        <w:t>waardoor</w:t>
      </w:r>
      <w:r w:rsidRPr="00D34341" w:rsidR="003353A1">
        <w:rPr>
          <w:rFonts w:eastAsiaTheme="minorEastAsia" w:cstheme="minorBidi"/>
        </w:rPr>
        <w:t xml:space="preserve"> consumenten beperkt overstappen. </w:t>
      </w:r>
      <w:r w:rsidRPr="00D31102" w:rsidR="00D31102">
        <w:rPr>
          <w:rFonts w:eastAsiaTheme="minorEastAsia" w:cstheme="minorBidi"/>
        </w:rPr>
        <w:t xml:space="preserve">De ACM constateert dat consumenten onvoldoende bewust lijken te zijn van het aanbod op de spaarmarkt. </w:t>
      </w:r>
      <w:r w:rsidR="00DB53FD">
        <w:rPr>
          <w:rFonts w:eastAsiaTheme="minorEastAsia" w:cstheme="minorBidi"/>
        </w:rPr>
        <w:t>N</w:t>
      </w:r>
      <w:r w:rsidRPr="00D34341" w:rsidR="00132020">
        <w:rPr>
          <w:rFonts w:eastAsiaTheme="minorEastAsia" w:cstheme="minorBidi"/>
        </w:rPr>
        <w:t xml:space="preserve">iet alleen </w:t>
      </w:r>
      <w:r w:rsidR="00132020">
        <w:rPr>
          <w:rFonts w:eastAsiaTheme="minorEastAsia" w:cstheme="minorBidi"/>
        </w:rPr>
        <w:t xml:space="preserve">(bekendheid met) </w:t>
      </w:r>
      <w:r w:rsidRPr="00D34341" w:rsidR="00132020">
        <w:rPr>
          <w:rFonts w:eastAsiaTheme="minorEastAsia" w:cstheme="minorBidi"/>
        </w:rPr>
        <w:t>het te behalen financiële voordeel</w:t>
      </w:r>
      <w:r w:rsidR="00132020">
        <w:rPr>
          <w:rFonts w:eastAsiaTheme="minorEastAsia" w:cstheme="minorBidi"/>
        </w:rPr>
        <w:t xml:space="preserve"> </w:t>
      </w:r>
      <w:r w:rsidR="00F205A0">
        <w:rPr>
          <w:rFonts w:eastAsiaTheme="minorEastAsia" w:cstheme="minorBidi"/>
        </w:rPr>
        <w:t>speelt hier een rol</w:t>
      </w:r>
      <w:r w:rsidR="00DB53FD">
        <w:rPr>
          <w:rFonts w:eastAsiaTheme="minorEastAsia" w:cstheme="minorBidi"/>
        </w:rPr>
        <w:t xml:space="preserve">, </w:t>
      </w:r>
      <w:r w:rsidR="00F205A0">
        <w:rPr>
          <w:rFonts w:eastAsiaTheme="minorEastAsia" w:cstheme="minorBidi"/>
        </w:rPr>
        <w:t xml:space="preserve">maar </w:t>
      </w:r>
      <w:r w:rsidR="00DB53FD">
        <w:rPr>
          <w:rFonts w:eastAsiaTheme="minorEastAsia" w:cstheme="minorBidi"/>
        </w:rPr>
        <w:t xml:space="preserve">ook </w:t>
      </w:r>
      <w:r w:rsidR="0050791B">
        <w:rPr>
          <w:rFonts w:eastAsiaTheme="minorEastAsia" w:cstheme="minorBidi"/>
        </w:rPr>
        <w:t>dat</w:t>
      </w:r>
      <w:r w:rsidRPr="00D31102" w:rsidR="00D31102">
        <w:rPr>
          <w:rFonts w:eastAsiaTheme="minorEastAsia" w:cstheme="minorBidi"/>
        </w:rPr>
        <w:t xml:space="preserve"> een deel van de consumenten andere banken niet als alternatief voor de grootbanken </w:t>
      </w:r>
      <w:r w:rsidR="0050791B">
        <w:rPr>
          <w:rFonts w:eastAsiaTheme="minorEastAsia" w:cstheme="minorBidi"/>
        </w:rPr>
        <w:t xml:space="preserve">beschouwt </w:t>
      </w:r>
      <w:r w:rsidRPr="00D31102" w:rsidR="00D31102">
        <w:rPr>
          <w:rFonts w:eastAsiaTheme="minorEastAsia" w:cstheme="minorBidi"/>
        </w:rPr>
        <w:t xml:space="preserve">en daarom niet </w:t>
      </w:r>
      <w:r w:rsidRPr="00D31102" w:rsidR="0050791B">
        <w:rPr>
          <w:rFonts w:eastAsiaTheme="minorEastAsia" w:cstheme="minorBidi"/>
        </w:rPr>
        <w:t xml:space="preserve">reageert </w:t>
      </w:r>
      <w:r w:rsidRPr="00D31102" w:rsidR="00D31102">
        <w:rPr>
          <w:rFonts w:eastAsiaTheme="minorEastAsia" w:cstheme="minorBidi"/>
        </w:rPr>
        <w:t>op</w:t>
      </w:r>
      <w:r w:rsidRPr="00D14EFD" w:rsidR="00D31102">
        <w:rPr>
          <w:rFonts w:eastAsiaTheme="minorEastAsia" w:cstheme="minorBidi"/>
        </w:rPr>
        <w:t xml:space="preserve"> (betere) aanbiedingen van andere banken. </w:t>
      </w:r>
      <w:bookmarkStart w:name="_Hlk176192809" w:id="9"/>
      <w:r w:rsidR="00E54007">
        <w:rPr>
          <w:rFonts w:eastAsiaTheme="minorEastAsia" w:cstheme="minorBidi"/>
        </w:rPr>
        <w:t xml:space="preserve">Ook ervaart een deel van de tijdens het onderzoek ondervraagde consumenten overstapdrempels. </w:t>
      </w:r>
      <w:r w:rsidRPr="00D14EFD" w:rsidR="00D31102">
        <w:rPr>
          <w:rFonts w:eastAsiaTheme="minorEastAsia" w:cstheme="minorBidi"/>
        </w:rPr>
        <w:t xml:space="preserve">Dit consumentengedrag </w:t>
      </w:r>
      <w:r w:rsidR="00D31102">
        <w:rPr>
          <w:rFonts w:eastAsiaTheme="minorEastAsia" w:cstheme="minorBidi"/>
        </w:rPr>
        <w:t xml:space="preserve">zorgt voor beperkte concurrentiedruk op de grootbanken en </w:t>
      </w:r>
      <w:r w:rsidRPr="00D14EFD" w:rsidR="00D31102">
        <w:rPr>
          <w:rFonts w:eastAsiaTheme="minorEastAsia" w:cstheme="minorBidi"/>
        </w:rPr>
        <w:t>maakt ook dat het voor kleinere spelers moeilijk is om te groeien in de markt.</w:t>
      </w:r>
      <w:r w:rsidR="00D31102">
        <w:rPr>
          <w:rFonts w:eastAsiaTheme="minorEastAsia" w:cstheme="minorBidi"/>
        </w:rPr>
        <w:t xml:space="preserve"> </w:t>
      </w:r>
      <w:r w:rsidR="00BC222F">
        <w:t>Het is daarom</w:t>
      </w:r>
      <w:r>
        <w:t xml:space="preserve"> waardevol dat de ACM aanbevelingen heeft gedaan om </w:t>
      </w:r>
      <w:r w:rsidR="00D31102">
        <w:t xml:space="preserve">overstapdrempels weg te nemen en </w:t>
      </w:r>
      <w:r>
        <w:t>actief</w:t>
      </w:r>
      <w:r w:rsidRPr="00D14EFD" w:rsidR="007A41C4">
        <w:t xml:space="preserve"> marktgedrag van consumenten te stimuleren.</w:t>
      </w:r>
    </w:p>
    <w:bookmarkEnd w:id="8"/>
    <w:bookmarkEnd w:id="9"/>
    <w:p w:rsidRPr="00D14EFD" w:rsidR="00806A86" w:rsidP="00806A86" w:rsidRDefault="00806A86" w14:paraId="0C302961" w14:textId="77777777">
      <w:pPr>
        <w:widowControl w:val="0"/>
        <w:spacing w:line="240" w:lineRule="auto"/>
        <w:contextualSpacing/>
        <w:rPr>
          <w:rFonts w:eastAsiaTheme="minorEastAsia" w:cstheme="minorBidi"/>
        </w:rPr>
      </w:pPr>
    </w:p>
    <w:p w:rsidR="00806A86" w:rsidP="00806A86" w:rsidRDefault="00806A86" w14:paraId="2EB0198C" w14:textId="77777777">
      <w:pPr>
        <w:widowControl w:val="0"/>
        <w:spacing w:line="240" w:lineRule="auto"/>
        <w:contextualSpacing/>
        <w:rPr>
          <w:rFonts w:eastAsiaTheme="minorEastAsia" w:cstheme="minorBidi"/>
        </w:rPr>
      </w:pPr>
      <w:r w:rsidRPr="00D14EFD">
        <w:rPr>
          <w:rFonts w:eastAsiaTheme="minorEastAsia" w:cstheme="minorBidi"/>
        </w:rPr>
        <w:t xml:space="preserve">Ik vind het </w:t>
      </w:r>
      <w:r w:rsidR="00D31102">
        <w:rPr>
          <w:rFonts w:eastAsiaTheme="minorEastAsia" w:cstheme="minorBidi"/>
        </w:rPr>
        <w:t xml:space="preserve">belangrijk om te </w:t>
      </w:r>
      <w:r w:rsidR="009B5552">
        <w:rPr>
          <w:rFonts w:eastAsiaTheme="minorEastAsia" w:cstheme="minorBidi"/>
        </w:rPr>
        <w:t xml:space="preserve">noemen </w:t>
      </w:r>
      <w:r w:rsidR="00D31102">
        <w:rPr>
          <w:rFonts w:eastAsiaTheme="minorEastAsia" w:cstheme="minorBidi"/>
        </w:rPr>
        <w:t xml:space="preserve">dat uit marktdata blijkt </w:t>
      </w:r>
      <w:r w:rsidRPr="00D14EFD">
        <w:rPr>
          <w:rFonts w:eastAsiaTheme="minorEastAsia" w:cstheme="minorBidi"/>
        </w:rPr>
        <w:t xml:space="preserve">dat er een </w:t>
      </w:r>
      <w:bookmarkStart w:name="_Hlk176192832" w:id="10"/>
      <w:r w:rsidRPr="00D14EFD">
        <w:rPr>
          <w:rFonts w:eastAsiaTheme="minorEastAsia" w:cstheme="minorBidi"/>
        </w:rPr>
        <w:t xml:space="preserve">groeiende groep </w:t>
      </w:r>
      <w:r w:rsidRPr="00D14EFD" w:rsidR="0020675E">
        <w:rPr>
          <w:rFonts w:eastAsiaTheme="minorEastAsia" w:cstheme="minorBidi"/>
        </w:rPr>
        <w:t xml:space="preserve">consumenten is </w:t>
      </w:r>
      <w:r w:rsidR="001C4FF4">
        <w:rPr>
          <w:rFonts w:eastAsiaTheme="minorEastAsia" w:cstheme="minorBidi"/>
        </w:rPr>
        <w:t>–</w:t>
      </w:r>
      <w:r w:rsidRPr="00D14EFD">
        <w:rPr>
          <w:rFonts w:eastAsiaTheme="minorEastAsia" w:cstheme="minorBidi"/>
        </w:rPr>
        <w:t xml:space="preserve"> hoewel nog relatief klein </w:t>
      </w:r>
      <w:r w:rsidR="001C4FF4">
        <w:rPr>
          <w:rFonts w:eastAsiaTheme="minorEastAsia" w:cstheme="minorBidi"/>
        </w:rPr>
        <w:t>–</w:t>
      </w:r>
      <w:r w:rsidRPr="00D14EFD">
        <w:rPr>
          <w:rFonts w:eastAsiaTheme="minorEastAsia" w:cstheme="minorBidi"/>
        </w:rPr>
        <w:t xml:space="preserve"> die </w:t>
      </w:r>
      <w:r w:rsidR="00D31102">
        <w:rPr>
          <w:rFonts w:eastAsiaTheme="minorEastAsia" w:cstheme="minorBidi"/>
        </w:rPr>
        <w:t xml:space="preserve">al </w:t>
      </w:r>
      <w:r w:rsidRPr="00D14EFD">
        <w:rPr>
          <w:rFonts w:eastAsiaTheme="minorEastAsia" w:cstheme="minorBidi"/>
        </w:rPr>
        <w:t>actief keuzes maakt binnen het aanbod. Zo</w:t>
      </w:r>
      <w:r w:rsidR="00D31102">
        <w:rPr>
          <w:rFonts w:eastAsiaTheme="minorEastAsia" w:cstheme="minorBidi"/>
        </w:rPr>
        <w:t xml:space="preserve"> </w:t>
      </w:r>
      <w:bookmarkEnd w:id="10"/>
      <w:r w:rsidR="00D31102">
        <w:rPr>
          <w:rFonts w:eastAsiaTheme="minorEastAsia" w:cstheme="minorBidi"/>
        </w:rPr>
        <w:t xml:space="preserve">blijkt uit </w:t>
      </w:r>
      <w:r w:rsidR="005A0B99">
        <w:rPr>
          <w:rFonts w:eastAsiaTheme="minorEastAsia" w:cstheme="minorBidi"/>
        </w:rPr>
        <w:t xml:space="preserve">gegevens </w:t>
      </w:r>
      <w:r w:rsidR="00D31102">
        <w:rPr>
          <w:rFonts w:eastAsiaTheme="minorEastAsia" w:cstheme="minorBidi"/>
        </w:rPr>
        <w:t xml:space="preserve">van de ECB dat </w:t>
      </w:r>
      <w:r w:rsidRPr="00D14EFD">
        <w:rPr>
          <w:rFonts w:eastAsiaTheme="minorEastAsia" w:cstheme="minorBidi"/>
        </w:rPr>
        <w:t>Nederlandse huishoudens recent meer geld op bankrekeningen in het buitenland</w:t>
      </w:r>
      <w:r w:rsidR="00D31102">
        <w:rPr>
          <w:rFonts w:eastAsiaTheme="minorEastAsia" w:cstheme="minorBidi"/>
        </w:rPr>
        <w:t xml:space="preserve"> zetten</w:t>
      </w:r>
      <w:r w:rsidRPr="00D14EFD">
        <w:rPr>
          <w:rFonts w:eastAsiaTheme="minorEastAsia" w:cstheme="minorBidi"/>
        </w:rPr>
        <w:t xml:space="preserve">, vooral in landen waar de spaarrente </w:t>
      </w:r>
      <w:r w:rsidR="005A0B99">
        <w:rPr>
          <w:rFonts w:eastAsiaTheme="minorEastAsia" w:cstheme="minorBidi"/>
        </w:rPr>
        <w:t>onlangs</w:t>
      </w:r>
      <w:r w:rsidRPr="00D14EFD" w:rsidR="005A0B99">
        <w:rPr>
          <w:rFonts w:eastAsiaTheme="minorEastAsia" w:cstheme="minorBidi"/>
        </w:rPr>
        <w:t xml:space="preserve"> </w:t>
      </w:r>
      <w:r w:rsidRPr="00D14EFD">
        <w:rPr>
          <w:rFonts w:eastAsiaTheme="minorEastAsia" w:cstheme="minorBidi"/>
        </w:rPr>
        <w:t xml:space="preserve">steeg. </w:t>
      </w:r>
      <w:r w:rsidR="00D94AA9">
        <w:rPr>
          <w:rFonts w:eastAsiaTheme="minorEastAsia" w:cstheme="minorBidi"/>
        </w:rPr>
        <w:t xml:space="preserve">Dit verhoogt de concurrentiedruk op Nederlandse banken. </w:t>
      </w:r>
      <w:r w:rsidRPr="00D14EFD">
        <w:rPr>
          <w:rFonts w:eastAsiaTheme="minorEastAsia" w:cstheme="minorBidi"/>
        </w:rPr>
        <w:t>Het percentage</w:t>
      </w:r>
      <w:r w:rsidR="0020675E">
        <w:rPr>
          <w:rFonts w:eastAsiaTheme="minorEastAsia" w:cstheme="minorBidi"/>
        </w:rPr>
        <w:t xml:space="preserve"> van het</w:t>
      </w:r>
      <w:r w:rsidRPr="00D14EFD">
        <w:rPr>
          <w:rFonts w:eastAsiaTheme="minorEastAsia" w:cstheme="minorBidi"/>
        </w:rPr>
        <w:t xml:space="preserve"> spaargeld</w:t>
      </w:r>
      <w:r w:rsidR="0020675E">
        <w:rPr>
          <w:rFonts w:eastAsiaTheme="minorEastAsia" w:cstheme="minorBidi"/>
        </w:rPr>
        <w:t xml:space="preserve"> dat op een buitenlandse rekening staat,</w:t>
      </w:r>
      <w:r w:rsidRPr="00D14EFD">
        <w:rPr>
          <w:rFonts w:eastAsiaTheme="minorEastAsia" w:cstheme="minorBidi"/>
        </w:rPr>
        <w:t xml:space="preserve"> steeg van 0,8% in het begin van 2020 naar 2,3% in Q1 2024.</w:t>
      </w:r>
      <w:r w:rsidRPr="00D14EFD">
        <w:rPr>
          <w:rStyle w:val="Voetnootmarkering"/>
          <w:rFonts w:eastAsiaTheme="minorEastAsia" w:cstheme="minorBidi"/>
        </w:rPr>
        <w:footnoteReference w:id="14"/>
      </w:r>
      <w:r w:rsidRPr="00D14EFD">
        <w:rPr>
          <w:rFonts w:eastAsiaTheme="minorEastAsia" w:cstheme="minorBidi"/>
        </w:rPr>
        <w:t xml:space="preserve"> Ook laat </w:t>
      </w:r>
      <w:r w:rsidR="009B5552">
        <w:rPr>
          <w:rFonts w:eastAsiaTheme="minorEastAsia" w:cstheme="minorBidi"/>
        </w:rPr>
        <w:t>onderzoek</w:t>
      </w:r>
      <w:r w:rsidRPr="00D14EFD">
        <w:rPr>
          <w:rFonts w:eastAsiaTheme="minorEastAsia" w:cstheme="minorBidi"/>
        </w:rPr>
        <w:t xml:space="preserve"> zien dat in Q1 2024 ongeveer 63% van de nieuwe spaarrekeningen werd geopend bij een kleine of buitenlandse bank.</w:t>
      </w:r>
      <w:r w:rsidR="0000469D">
        <w:rPr>
          <w:rStyle w:val="Voetnootmarkering"/>
          <w:rFonts w:eastAsiaTheme="minorEastAsia" w:cstheme="minorBidi"/>
        </w:rPr>
        <w:footnoteReference w:id="15"/>
      </w:r>
      <w:r w:rsidRPr="00D14EFD">
        <w:rPr>
          <w:rFonts w:eastAsiaTheme="minorEastAsia" w:cstheme="minorBidi"/>
        </w:rPr>
        <w:t xml:space="preserve"> </w:t>
      </w:r>
      <w:bookmarkStart w:name="_Hlk176192877" w:id="11"/>
    </w:p>
    <w:p w:rsidR="00BC222F" w:rsidP="00806A86" w:rsidRDefault="00BC222F" w14:paraId="34D0E940" w14:textId="77777777">
      <w:pPr>
        <w:widowControl w:val="0"/>
        <w:spacing w:line="240" w:lineRule="auto"/>
        <w:contextualSpacing/>
        <w:rPr>
          <w:rFonts w:eastAsiaTheme="minorEastAsia" w:cstheme="minorBidi"/>
        </w:rPr>
      </w:pPr>
    </w:p>
    <w:p w:rsidRPr="00D14EFD" w:rsidR="00BC222F" w:rsidP="00806A86" w:rsidRDefault="00BC222F" w14:paraId="4D910A7A" w14:textId="77777777">
      <w:pPr>
        <w:widowControl w:val="0"/>
        <w:spacing w:line="240" w:lineRule="auto"/>
        <w:contextualSpacing/>
        <w:rPr>
          <w:rFonts w:eastAsiaTheme="minorEastAsia" w:cstheme="minorBidi"/>
        </w:rPr>
      </w:pPr>
      <w:r>
        <w:rPr>
          <w:rFonts w:eastAsiaTheme="minorEastAsia" w:cstheme="minorBidi"/>
        </w:rPr>
        <w:t xml:space="preserve">Tot slot wil ik onderstrepen dat de Nederlandse bankensector op verschillende </w:t>
      </w:r>
      <w:r>
        <w:rPr>
          <w:rFonts w:eastAsiaTheme="minorEastAsia" w:cstheme="minorBidi"/>
        </w:rPr>
        <w:lastRenderedPageBreak/>
        <w:t>vlakken voorop loopt</w:t>
      </w:r>
      <w:r w:rsidR="00610255">
        <w:rPr>
          <w:rFonts w:eastAsiaTheme="minorEastAsia" w:cstheme="minorBidi"/>
        </w:rPr>
        <w:t>,</w:t>
      </w:r>
      <w:r>
        <w:rPr>
          <w:rFonts w:eastAsiaTheme="minorEastAsia" w:cstheme="minorBidi"/>
        </w:rPr>
        <w:t xml:space="preserve"> bijvoorbeeld op het gebied van digitalisering.</w:t>
      </w:r>
      <w:r>
        <w:rPr>
          <w:rStyle w:val="Voetnootmarkering"/>
          <w:rFonts w:eastAsiaTheme="minorEastAsia" w:cstheme="minorBidi"/>
        </w:rPr>
        <w:footnoteReference w:id="16"/>
      </w:r>
      <w:r>
        <w:rPr>
          <w:rFonts w:eastAsiaTheme="minorEastAsia" w:cstheme="minorBidi"/>
        </w:rPr>
        <w:t xml:space="preserve"> </w:t>
      </w:r>
      <w:r>
        <w:t>De meeste Nederlanders zijn dan ook tevreden met hun bank. Uit een door DNB in het voorjaar van 2023 gehouden publieksenquête blijkt dat zij het gebruiksgemak van de mobiel bankieren app waarderen, net als de snelheid waarmee hun bank betalingen uitvoert en het regelen van betaalzaken via hun mobiel.</w:t>
      </w:r>
      <w:r>
        <w:rPr>
          <w:rStyle w:val="Voetnootmarkering"/>
        </w:rPr>
        <w:footnoteReference w:id="17"/>
      </w:r>
      <w:r>
        <w:t xml:space="preserve"> </w:t>
      </w:r>
      <w:r w:rsidRPr="00D14EFD">
        <w:rPr>
          <w:rFonts w:eastAsiaTheme="minorEastAsia" w:cstheme="minorBidi"/>
        </w:rPr>
        <w:t xml:space="preserve">Van de klanten die niet overstappen, geeft </w:t>
      </w:r>
      <w:r>
        <w:rPr>
          <w:rFonts w:eastAsiaTheme="minorEastAsia" w:cstheme="minorBidi"/>
        </w:rPr>
        <w:t xml:space="preserve">ook </w:t>
      </w:r>
      <w:r w:rsidRPr="00D14EFD">
        <w:rPr>
          <w:rFonts w:eastAsiaTheme="minorEastAsia" w:cstheme="minorBidi"/>
        </w:rPr>
        <w:t xml:space="preserve">driekwart van de ondervraagde consumenten aan dat zij een overstap of het openen van een extra spaarrekening niet hebben overwogen omdat zij tevreden zijn met hun huidige bank. Deze hoge mate van tevredenheid en vertrouwen in de eigen bank vind ik een positief signaal. </w:t>
      </w:r>
    </w:p>
    <w:bookmarkEnd w:id="11"/>
    <w:p w:rsidR="00806A86" w:rsidP="00806A86" w:rsidRDefault="00806A86" w14:paraId="504BB612" w14:textId="77777777">
      <w:pPr>
        <w:widowControl w:val="0"/>
        <w:spacing w:line="240" w:lineRule="auto"/>
        <w:contextualSpacing/>
        <w:rPr>
          <w:rFonts w:eastAsiaTheme="minorEastAsia" w:cstheme="minorBidi"/>
        </w:rPr>
      </w:pPr>
    </w:p>
    <w:p w:rsidRPr="00D14EFD" w:rsidR="00806A86" w:rsidP="00806A86" w:rsidRDefault="00D31102" w14:paraId="0394C2E2" w14:textId="77777777">
      <w:pPr>
        <w:widowControl w:val="0"/>
        <w:spacing w:line="240" w:lineRule="auto"/>
        <w:contextualSpacing/>
        <w:rPr>
          <w:rFonts w:eastAsiaTheme="minorEastAsia" w:cstheme="minorBidi"/>
        </w:rPr>
      </w:pPr>
      <w:r>
        <w:rPr>
          <w:rFonts w:eastAsiaTheme="minorEastAsia" w:cstheme="minorBidi"/>
          <w:i/>
          <w:iCs/>
        </w:rPr>
        <w:t>Macro</w:t>
      </w:r>
      <w:r w:rsidR="005A0B99">
        <w:rPr>
          <w:rFonts w:eastAsiaTheme="minorEastAsia" w:cstheme="minorBidi"/>
          <w:i/>
          <w:iCs/>
        </w:rPr>
        <w:t>-</w:t>
      </w:r>
      <w:r>
        <w:rPr>
          <w:rFonts w:eastAsiaTheme="minorEastAsia" w:cstheme="minorBidi"/>
          <w:i/>
          <w:iCs/>
        </w:rPr>
        <w:t>economische- en bedrijfseconomische factoren</w:t>
      </w:r>
      <w:bookmarkStart w:name="_Hlk175052816" w:id="12"/>
    </w:p>
    <w:p w:rsidR="00D91E10" w:rsidP="00806A86" w:rsidRDefault="00D31102" w14:paraId="7D05129E" w14:textId="77777777">
      <w:pPr>
        <w:widowControl w:val="0"/>
        <w:spacing w:line="240" w:lineRule="auto"/>
        <w:contextualSpacing/>
      </w:pPr>
      <w:bookmarkStart w:name="_Hlk175752440" w:id="13"/>
      <w:r>
        <w:t>De</w:t>
      </w:r>
      <w:r w:rsidRPr="00D14EFD" w:rsidR="00806A86">
        <w:t xml:space="preserve"> ACM </w:t>
      </w:r>
      <w:r w:rsidR="00D91445">
        <w:t xml:space="preserve">schrijft in het rapport </w:t>
      </w:r>
      <w:r w:rsidRPr="00D14EFD" w:rsidR="00806A86">
        <w:t xml:space="preserve">dat de toename in liquiditeit heeft bijgedragen aan de historisch gezien hoge bankwinsten. </w:t>
      </w:r>
      <w:r w:rsidR="00F05180">
        <w:t xml:space="preserve">Banken hadden hierdoor toegang tot goedkopere financiering in de markt en hadden minder behoefte aan financiering met spaargeld. Dit heeft </w:t>
      </w:r>
      <w:r w:rsidR="00395FBA">
        <w:t xml:space="preserve">ook de concurrentie voor spaargeld verzwakt. </w:t>
      </w:r>
      <w:r w:rsidRPr="00D14EFD" w:rsidR="00806A86">
        <w:t>Dit is daarmee een neveneffect van het gevoerde monetaire beleid van de ECB</w:t>
      </w:r>
      <w:r w:rsidR="00D91E10">
        <w:t xml:space="preserve">. Eerder </w:t>
      </w:r>
      <w:r w:rsidR="00F273D9">
        <w:t xml:space="preserve">had </w:t>
      </w:r>
      <w:r w:rsidR="001B502F">
        <w:t xml:space="preserve">dit ruime monetaire beleid </w:t>
      </w:r>
      <w:r w:rsidR="00D91E10">
        <w:t>overigens</w:t>
      </w:r>
      <w:r w:rsidR="001B502F">
        <w:t xml:space="preserve"> </w:t>
      </w:r>
      <w:r w:rsidR="00F273D9">
        <w:t>een negatief effect op de</w:t>
      </w:r>
      <w:r w:rsidR="001B502F">
        <w:t xml:space="preserve"> bankwinsten</w:t>
      </w:r>
      <w:r w:rsidR="00D91E10">
        <w:t>: d</w:t>
      </w:r>
      <w:r w:rsidR="00F05180">
        <w:t xml:space="preserve">oordat banken de negatieve beleidsrentes </w:t>
      </w:r>
      <w:r w:rsidR="00D91E10">
        <w:t xml:space="preserve">van de ECB </w:t>
      </w:r>
      <w:r w:rsidR="00F05180">
        <w:t xml:space="preserve">niet </w:t>
      </w:r>
      <w:r w:rsidR="00D91E10">
        <w:t xml:space="preserve">doorberekenden </w:t>
      </w:r>
      <w:r w:rsidR="00F05180">
        <w:t>aan spaarders</w:t>
      </w:r>
      <w:r w:rsidR="00D91E10">
        <w:t xml:space="preserve"> werd de inleenmarge van banken kleiner, wat ten koste ging van hun winsten</w:t>
      </w:r>
      <w:r w:rsidRPr="00D14EFD" w:rsidR="00806A86">
        <w:t>.</w:t>
      </w:r>
      <w:r w:rsidR="001B502F">
        <w:rPr>
          <w:rStyle w:val="Voetnootmarkering"/>
        </w:rPr>
        <w:footnoteReference w:id="18"/>
      </w:r>
      <w:r w:rsidRPr="00D14EFD" w:rsidR="00806A86">
        <w:t xml:space="preserve"> </w:t>
      </w:r>
    </w:p>
    <w:p w:rsidR="00D91E10" w:rsidP="00806A86" w:rsidRDefault="00D91E10" w14:paraId="46A83248" w14:textId="77777777">
      <w:pPr>
        <w:widowControl w:val="0"/>
        <w:spacing w:line="240" w:lineRule="auto"/>
        <w:contextualSpacing/>
      </w:pPr>
    </w:p>
    <w:p w:rsidRPr="00D14EFD" w:rsidR="00806A86" w:rsidP="00806A86" w:rsidRDefault="00806A86" w14:paraId="3D9DC9CD" w14:textId="77777777">
      <w:pPr>
        <w:widowControl w:val="0"/>
        <w:spacing w:line="240" w:lineRule="auto"/>
        <w:contextualSpacing/>
      </w:pPr>
      <w:r w:rsidRPr="00D14EFD">
        <w:t xml:space="preserve">Als onderdeel van de verkrapping van het monetaire beleid sinds medio 2022 is de ECB bezig met het afbouwen van haar balans, waardoor de liquiditeit bij banken geleidelijk afneemt. De balansafbouw verloopt via het niet herinvesteren van aflopende obligaties die eerder zijn aangekocht en het afbetalen van langlopende ECB-leningen door banken. Hierdoor is de ECB-balans sinds eind 2022 gekrompen met </w:t>
      </w:r>
      <w:r w:rsidR="005A0B99">
        <w:t xml:space="preserve">circa </w:t>
      </w:r>
      <w:r w:rsidRPr="00D14EFD">
        <w:t>1700 miljard euro. Deze maatregelen zullen de verzwakkende invloed van monetair beleid op de concurrentie op de markt voor spaartegoeden verkleinen. Daarnaast heeft de ECB de rentevergoeding op verplichte reserves</w:t>
      </w:r>
      <w:r w:rsidRPr="00D14EFD">
        <w:rPr>
          <w:rStyle w:val="Voetnootmarkering"/>
        </w:rPr>
        <w:footnoteReference w:id="19"/>
      </w:r>
      <w:r w:rsidRPr="00D14EFD">
        <w:t xml:space="preserve"> verlaagd naar 0% per september 2023, wat leidt tot lagere inkomsten voor banken.</w:t>
      </w:r>
      <w:r w:rsidR="00207081">
        <w:t xml:space="preserve"> </w:t>
      </w:r>
      <w:r w:rsidR="005A0B99">
        <w:t>D</w:t>
      </w:r>
      <w:r w:rsidRPr="00D14EFD">
        <w:t xml:space="preserve">e hoge winsten </w:t>
      </w:r>
      <w:r w:rsidR="005A0B99">
        <w:t xml:space="preserve">van banken zijn </w:t>
      </w:r>
      <w:r w:rsidRPr="00D14EFD">
        <w:t>naar verwachting tijdelijk.</w:t>
      </w:r>
      <w:r w:rsidRPr="00D14EFD">
        <w:rPr>
          <w:rStyle w:val="Voetnootmarkering"/>
        </w:rPr>
        <w:footnoteReference w:id="20"/>
      </w:r>
      <w:r w:rsidRPr="00D14EFD">
        <w:t xml:space="preserve"> De rentemarges van sommige banken lijken al over hun piek heen te zijn.</w:t>
      </w:r>
      <w:r w:rsidR="00120D5D">
        <w:t xml:space="preserve"> </w:t>
      </w:r>
    </w:p>
    <w:bookmarkEnd w:id="13"/>
    <w:p w:rsidRPr="00D14EFD" w:rsidR="00806A86" w:rsidP="00806A86" w:rsidRDefault="00806A86" w14:paraId="6953888C" w14:textId="77777777">
      <w:pPr>
        <w:widowControl w:val="0"/>
        <w:spacing w:line="240" w:lineRule="auto"/>
        <w:contextualSpacing/>
        <w:rPr>
          <w:rFonts w:eastAsiaTheme="minorEastAsia" w:cstheme="minorBidi"/>
        </w:rPr>
      </w:pPr>
    </w:p>
    <w:p w:rsidRPr="00EA0B0A" w:rsidR="00806A86" w:rsidP="00806A86" w:rsidRDefault="00EA0B0A" w14:paraId="44AA6336" w14:textId="77777777">
      <w:pPr>
        <w:widowControl w:val="0"/>
        <w:spacing w:line="240" w:lineRule="auto"/>
        <w:contextualSpacing/>
        <w:rPr>
          <w:rFonts w:eastAsiaTheme="minorEastAsia" w:cstheme="minorBidi"/>
        </w:rPr>
      </w:pPr>
      <w:r>
        <w:rPr>
          <w:rFonts w:eastAsiaTheme="minorEastAsia" w:cstheme="minorBidi"/>
        </w:rPr>
        <w:t>Verder</w:t>
      </w:r>
      <w:r w:rsidRPr="00D14EFD" w:rsidR="00806A86">
        <w:rPr>
          <w:rFonts w:eastAsiaTheme="minorEastAsia" w:cstheme="minorBidi"/>
        </w:rPr>
        <w:t xml:space="preserve"> merkt de ACM</w:t>
      </w:r>
      <w:r w:rsidRPr="00D14EFD" w:rsidR="00806A86">
        <w:t xml:space="preserve"> op dat er meerdere </w:t>
      </w:r>
      <w:r>
        <w:t>bedrijfs</w:t>
      </w:r>
      <w:r w:rsidRPr="00D14EFD" w:rsidR="00806A86">
        <w:t>economische factoren</w:t>
      </w:r>
      <w:r>
        <w:t>, zoals looptijdtransformatie</w:t>
      </w:r>
      <w:r w:rsidR="00C85093">
        <w:rPr>
          <w:rStyle w:val="Voetnootmarkering"/>
        </w:rPr>
        <w:footnoteReference w:id="21"/>
      </w:r>
      <w:r>
        <w:t>,</w:t>
      </w:r>
      <w:r w:rsidRPr="00D14EFD" w:rsidR="00806A86">
        <w:t xml:space="preserve"> kunnen zijn die het achterblijven van de spaarrentes bij de ECB-beleidsrente deels kunnen verklaren. Hier </w:t>
      </w:r>
      <w:r w:rsidR="00FB2030">
        <w:t xml:space="preserve">is </w:t>
      </w:r>
      <w:r w:rsidRPr="00D14EFD" w:rsidR="00806A86">
        <w:t>op verschillende momenten al aandacht aan geschonken en deze zijn in het kader van dit onderzoek nu nog steeds relevant.</w:t>
      </w:r>
      <w:r w:rsidRPr="00D14EFD" w:rsidR="00806A86">
        <w:rPr>
          <w:rStyle w:val="Voetnootmarkering"/>
        </w:rPr>
        <w:footnoteReference w:id="22"/>
      </w:r>
      <w:r w:rsidRPr="00D14EFD" w:rsidR="00806A86">
        <w:t xml:space="preserve"> </w:t>
      </w:r>
      <w:bookmarkStart w:name="_Hlk176193100" w:id="14"/>
      <w:r w:rsidRPr="00D14EFD" w:rsidR="00806A86">
        <w:t xml:space="preserve">De ACM merkt op dat deze economische factoren de vertraagde doorwerking van de ECB-beleidsrentes niet volledig kunnen verklaren, en dat een gebrek aan concurrentiedruk van klanten die spaargeld dreigen te onttrekken </w:t>
      </w:r>
      <w:r w:rsidR="00F205A0">
        <w:t xml:space="preserve">(consumentengedrag) </w:t>
      </w:r>
      <w:r w:rsidRPr="00D14EFD" w:rsidR="00806A86">
        <w:t xml:space="preserve">hier een </w:t>
      </w:r>
      <w:r w:rsidR="00F205A0">
        <w:t xml:space="preserve">belangrijke </w:t>
      </w:r>
      <w:r w:rsidRPr="00D14EFD" w:rsidR="00806A86">
        <w:t xml:space="preserve">rol speelt. </w:t>
      </w:r>
      <w:bookmarkEnd w:id="14"/>
    </w:p>
    <w:p w:rsidRPr="00EA0B0A" w:rsidR="00806A86" w:rsidP="00806A86" w:rsidRDefault="00806A86" w14:paraId="57ACEE39" w14:textId="77777777">
      <w:pPr>
        <w:widowControl w:val="0"/>
        <w:spacing w:line="240" w:lineRule="auto"/>
        <w:contextualSpacing/>
        <w:rPr>
          <w:rFonts w:eastAsiaTheme="minorEastAsia" w:cstheme="minorBidi"/>
        </w:rPr>
      </w:pPr>
    </w:p>
    <w:p w:rsidR="00D91E10" w:rsidRDefault="00D91E10" w14:paraId="203BF838" w14:textId="77777777">
      <w:pPr>
        <w:spacing w:line="240" w:lineRule="auto"/>
        <w:rPr>
          <w:rFonts w:eastAsiaTheme="minorEastAsia" w:cstheme="minorBidi"/>
          <w:i/>
          <w:iCs/>
        </w:rPr>
      </w:pPr>
      <w:r>
        <w:rPr>
          <w:rFonts w:eastAsiaTheme="minorEastAsia" w:cstheme="minorBidi"/>
          <w:i/>
          <w:iCs/>
        </w:rPr>
        <w:br w:type="page"/>
      </w:r>
    </w:p>
    <w:p w:rsidRPr="00EA0B0A" w:rsidR="00D31102" w:rsidP="00806A86" w:rsidRDefault="00D31102" w14:paraId="37AE4B52" w14:textId="77777777">
      <w:pPr>
        <w:widowControl w:val="0"/>
        <w:spacing w:line="240" w:lineRule="auto"/>
        <w:contextualSpacing/>
        <w:rPr>
          <w:rFonts w:eastAsiaTheme="minorEastAsia" w:cstheme="minorBidi"/>
        </w:rPr>
      </w:pPr>
      <w:r w:rsidRPr="00EA0B0A">
        <w:rPr>
          <w:rFonts w:eastAsiaTheme="minorEastAsia" w:cstheme="minorBidi"/>
          <w:i/>
          <w:iCs/>
        </w:rPr>
        <w:lastRenderedPageBreak/>
        <w:t>Conclusie</w:t>
      </w:r>
    </w:p>
    <w:p w:rsidRPr="00D14EFD" w:rsidR="00806A86" w:rsidP="557CDEC6" w:rsidRDefault="557CDEC6" w14:paraId="348C4D80" w14:textId="77777777">
      <w:pPr>
        <w:widowControl w:val="0"/>
        <w:spacing w:line="240" w:lineRule="auto"/>
        <w:contextualSpacing/>
        <w:rPr>
          <w:rFonts w:eastAsiaTheme="minorEastAsia" w:cstheme="minorBidi"/>
        </w:rPr>
      </w:pPr>
      <w:bookmarkStart w:name="_Hlk176193181" w:id="15"/>
      <w:bookmarkStart w:name="_Hlk175764949" w:id="16"/>
      <w:r w:rsidRPr="557CDEC6">
        <w:rPr>
          <w:rFonts w:eastAsiaTheme="minorEastAsia" w:cstheme="minorBidi"/>
        </w:rPr>
        <w:t xml:space="preserve">De ACM concludeert dat een grotere concurrentiedruk op de grote aanbieders kan leiden tot uitkomsten die gunstiger zijn voor spaarders en de maatschappij als geheel. Als voldoende consumenten ‘actief’ worden en een deel van hun spaargeld bij andere banken onderbrengen of gaan beleggen, worden (groot)banken meer aangemoedigd om op rentetarieven te concurreren. Hier profiteren ook ‘inactieve’ consumenten (niet-overstappers) van. </w:t>
      </w:r>
      <w:bookmarkStart w:name="_Hlk175052919" w:id="17"/>
    </w:p>
    <w:bookmarkEnd w:id="15"/>
    <w:p w:rsidRPr="00D14EFD" w:rsidR="00806A86" w:rsidP="00806A86" w:rsidRDefault="00806A86" w14:paraId="0585F0A2" w14:textId="77777777">
      <w:pPr>
        <w:widowControl w:val="0"/>
        <w:spacing w:line="240" w:lineRule="auto"/>
        <w:contextualSpacing/>
        <w:rPr>
          <w:rFonts w:eastAsiaTheme="minorEastAsia" w:cstheme="minorBidi"/>
        </w:rPr>
      </w:pPr>
    </w:p>
    <w:p w:rsidRPr="00D14EFD" w:rsidR="00806A86" w:rsidP="00806A86" w:rsidRDefault="00806A86" w14:paraId="7E6D351D" w14:textId="77777777">
      <w:pPr>
        <w:widowControl w:val="0"/>
        <w:spacing w:line="240" w:lineRule="auto"/>
        <w:contextualSpacing/>
        <w:rPr>
          <w:rFonts w:eastAsiaTheme="minorEastAsia" w:cstheme="minorBidi"/>
        </w:rPr>
      </w:pPr>
      <w:bookmarkStart w:name="_Hlk176193405" w:id="18"/>
      <w:r w:rsidRPr="00D14EFD">
        <w:rPr>
          <w:rFonts w:eastAsiaTheme="minorEastAsia" w:cstheme="minorBidi"/>
        </w:rPr>
        <w:t xml:space="preserve">Ik ben het daarom met de ACM </w:t>
      </w:r>
      <w:r w:rsidRPr="00D14EFD" w:rsidR="00BC222F">
        <w:rPr>
          <w:rFonts w:eastAsiaTheme="minorEastAsia" w:cstheme="minorBidi"/>
        </w:rPr>
        <w:t xml:space="preserve">eens </w:t>
      </w:r>
      <w:r w:rsidRPr="00D14EFD">
        <w:rPr>
          <w:rFonts w:eastAsiaTheme="minorEastAsia" w:cstheme="minorBidi"/>
        </w:rPr>
        <w:t>dat het goed is als meer consumenten ‘actief’ worden op de spaarmarkt, om zo de concurrentiedruk te verhogen. D</w:t>
      </w:r>
      <w:r w:rsidR="0090334A">
        <w:rPr>
          <w:rFonts w:eastAsiaTheme="minorEastAsia" w:cstheme="minorBidi"/>
        </w:rPr>
        <w:t>i</w:t>
      </w:r>
      <w:r w:rsidRPr="00D14EFD">
        <w:rPr>
          <w:rFonts w:eastAsiaTheme="minorEastAsia" w:cstheme="minorBidi"/>
        </w:rPr>
        <w:t>t</w:t>
      </w:r>
      <w:r w:rsidR="0090334A">
        <w:rPr>
          <w:rFonts w:eastAsiaTheme="minorEastAsia" w:cstheme="minorBidi"/>
        </w:rPr>
        <w:t xml:space="preserve"> gewenste consumentengedrag</w:t>
      </w:r>
      <w:r w:rsidRPr="00D14EFD">
        <w:rPr>
          <w:rFonts w:eastAsiaTheme="minorEastAsia" w:cstheme="minorBidi"/>
        </w:rPr>
        <w:t xml:space="preserve"> kan gefaciliteerd worden door</w:t>
      </w:r>
      <w:r w:rsidR="00EA0B0A">
        <w:rPr>
          <w:rFonts w:eastAsiaTheme="minorEastAsia" w:cstheme="minorBidi"/>
        </w:rPr>
        <w:t xml:space="preserve"> </w:t>
      </w:r>
      <w:r w:rsidR="00941D57">
        <w:rPr>
          <w:rFonts w:eastAsiaTheme="minorEastAsia" w:cstheme="minorBidi"/>
        </w:rPr>
        <w:t xml:space="preserve">actieve keuzes en </w:t>
      </w:r>
      <w:r w:rsidR="00EA0B0A">
        <w:rPr>
          <w:rFonts w:eastAsiaTheme="minorEastAsia" w:cstheme="minorBidi"/>
        </w:rPr>
        <w:t xml:space="preserve">overstapgedrag van consumenten te stimuleren en te vergemakkelijken. Dit vraagt ook om </w:t>
      </w:r>
      <w:r w:rsidRPr="00D14EFD">
        <w:rPr>
          <w:rFonts w:eastAsiaTheme="minorEastAsia" w:cstheme="minorBidi"/>
        </w:rPr>
        <w:t>een andere opstelling van de banken</w:t>
      </w:r>
      <w:r w:rsidR="00EA0B0A">
        <w:rPr>
          <w:rFonts w:eastAsiaTheme="minorEastAsia" w:cstheme="minorBidi"/>
        </w:rPr>
        <w:t>.</w:t>
      </w:r>
      <w:r w:rsidRPr="00D14EFD">
        <w:rPr>
          <w:rFonts w:eastAsiaTheme="minorEastAsia" w:cstheme="minorBidi"/>
        </w:rPr>
        <w:t xml:space="preserve"> </w:t>
      </w:r>
      <w:r w:rsidR="005A0B99">
        <w:rPr>
          <w:rFonts w:eastAsiaTheme="minorEastAsia" w:cstheme="minorBidi"/>
        </w:rPr>
        <w:t>Hiervoor is</w:t>
      </w:r>
      <w:r w:rsidRPr="00D14EFD">
        <w:rPr>
          <w:rFonts w:eastAsiaTheme="minorEastAsia" w:cstheme="minorBidi"/>
        </w:rPr>
        <w:t xml:space="preserve"> een combinatie van maatregelen</w:t>
      </w:r>
      <w:r w:rsidR="005A0B99">
        <w:rPr>
          <w:rFonts w:eastAsiaTheme="minorEastAsia" w:cstheme="minorBidi"/>
        </w:rPr>
        <w:t xml:space="preserve"> nodig</w:t>
      </w:r>
      <w:r w:rsidRPr="00D14EFD">
        <w:rPr>
          <w:rFonts w:eastAsiaTheme="minorEastAsia" w:cstheme="minorBidi"/>
        </w:rPr>
        <w:t xml:space="preserve">, </w:t>
      </w:r>
      <w:r w:rsidR="00273FA5">
        <w:rPr>
          <w:rFonts w:eastAsiaTheme="minorEastAsia" w:cstheme="minorBidi"/>
        </w:rPr>
        <w:t xml:space="preserve">die ik </w:t>
      </w:r>
      <w:r w:rsidRPr="00D14EFD">
        <w:rPr>
          <w:rFonts w:eastAsiaTheme="minorEastAsia" w:cstheme="minorBidi"/>
        </w:rPr>
        <w:t xml:space="preserve">hieronder als vervolgstappen uiteenzet. </w:t>
      </w:r>
      <w:r w:rsidRPr="00D14EFD" w:rsidR="00FE7AE9">
        <w:rPr>
          <w:rFonts w:eastAsiaTheme="minorEastAsia" w:cstheme="minorBidi"/>
          <w:bCs/>
        </w:rPr>
        <w:t xml:space="preserve">Voor een </w:t>
      </w:r>
      <w:r w:rsidR="00FE7AE9">
        <w:rPr>
          <w:rFonts w:eastAsiaTheme="minorEastAsia" w:cstheme="minorBidi"/>
          <w:bCs/>
        </w:rPr>
        <w:t xml:space="preserve">volledig </w:t>
      </w:r>
      <w:r w:rsidRPr="00D14EFD" w:rsidR="00FE7AE9">
        <w:rPr>
          <w:rFonts w:eastAsiaTheme="minorEastAsia" w:cstheme="minorBidi"/>
          <w:bCs/>
        </w:rPr>
        <w:t xml:space="preserve">overzicht van de aanbevelingen van de ACM en mijn appreciatie </w:t>
      </w:r>
      <w:r w:rsidR="005A0B99">
        <w:rPr>
          <w:rFonts w:eastAsiaTheme="minorEastAsia" w:cstheme="minorBidi"/>
          <w:bCs/>
        </w:rPr>
        <w:t>hiervan</w:t>
      </w:r>
      <w:r w:rsidRPr="00D14EFD" w:rsidR="005A0B99">
        <w:rPr>
          <w:rFonts w:eastAsiaTheme="minorEastAsia" w:cstheme="minorBidi"/>
          <w:bCs/>
        </w:rPr>
        <w:t xml:space="preserve"> </w:t>
      </w:r>
      <w:r w:rsidRPr="00D14EFD" w:rsidR="00FE7AE9">
        <w:rPr>
          <w:rFonts w:eastAsiaTheme="minorEastAsia" w:cstheme="minorBidi"/>
          <w:bCs/>
        </w:rPr>
        <w:t xml:space="preserve">verwijs ik u naar bijlage </w:t>
      </w:r>
      <w:r w:rsidR="00FE7AE9">
        <w:rPr>
          <w:rFonts w:eastAsiaTheme="minorEastAsia" w:cstheme="minorBidi"/>
          <w:bCs/>
        </w:rPr>
        <w:t>2</w:t>
      </w:r>
      <w:r w:rsidRPr="00D14EFD" w:rsidR="00FE7AE9">
        <w:rPr>
          <w:rFonts w:eastAsiaTheme="minorEastAsia" w:cstheme="minorBidi"/>
          <w:bCs/>
        </w:rPr>
        <w:t>.</w:t>
      </w:r>
      <w:r w:rsidR="00BC222F">
        <w:rPr>
          <w:rFonts w:eastAsiaTheme="minorEastAsia" w:cstheme="minorBidi"/>
          <w:bCs/>
        </w:rPr>
        <w:t xml:space="preserve"> </w:t>
      </w:r>
    </w:p>
    <w:bookmarkEnd w:id="12"/>
    <w:bookmarkEnd w:id="16"/>
    <w:bookmarkEnd w:id="17"/>
    <w:bookmarkEnd w:id="18"/>
    <w:p w:rsidRPr="00D14EFD" w:rsidR="00806A86" w:rsidP="00806A86" w:rsidRDefault="00806A86" w14:paraId="3E9B9791" w14:textId="77777777">
      <w:pPr>
        <w:widowControl w:val="0"/>
        <w:spacing w:line="240" w:lineRule="auto"/>
        <w:contextualSpacing/>
        <w:rPr>
          <w:rFonts w:eastAsiaTheme="minorEastAsia" w:cstheme="minorBidi"/>
        </w:rPr>
      </w:pPr>
    </w:p>
    <w:p w:rsidRPr="00D14EFD" w:rsidR="00806A86" w:rsidP="00806A86" w:rsidRDefault="00806A86" w14:paraId="72125D3B" w14:textId="77777777">
      <w:pPr>
        <w:widowControl w:val="0"/>
        <w:spacing w:line="240" w:lineRule="auto"/>
        <w:contextualSpacing/>
        <w:rPr>
          <w:rFonts w:eastAsiaTheme="minorEastAsia" w:cstheme="minorBidi"/>
          <w:b/>
        </w:rPr>
      </w:pPr>
      <w:r w:rsidRPr="00D14EFD">
        <w:rPr>
          <w:rFonts w:eastAsiaTheme="minorEastAsia" w:cstheme="minorBidi"/>
          <w:b/>
        </w:rPr>
        <w:t>Vervolgstappen</w:t>
      </w:r>
    </w:p>
    <w:p w:rsidR="002C2520" w:rsidP="00806A86" w:rsidRDefault="002C2520" w14:paraId="458F8C2E" w14:textId="77777777">
      <w:pPr>
        <w:widowControl w:val="0"/>
        <w:spacing w:line="240" w:lineRule="auto"/>
        <w:contextualSpacing/>
        <w:rPr>
          <w:rFonts w:eastAsiaTheme="minorEastAsia" w:cstheme="minorBidi"/>
        </w:rPr>
      </w:pPr>
      <w:r>
        <w:rPr>
          <w:rFonts w:eastAsiaTheme="minorEastAsia" w:cstheme="minorBidi"/>
          <w:b/>
        </w:rPr>
        <w:br/>
      </w:r>
      <w:r w:rsidRPr="00D14EFD" w:rsidR="00806A86">
        <w:rPr>
          <w:rFonts w:eastAsiaTheme="minorEastAsia" w:cstheme="minorBidi"/>
          <w:bCs/>
        </w:rPr>
        <w:t xml:space="preserve">Het rapport van de ACM biedt waardevolle inzichten en concrete handvatten voor opvolging. </w:t>
      </w:r>
      <w:r w:rsidR="005A0B99">
        <w:rPr>
          <w:rFonts w:eastAsiaTheme="minorEastAsia" w:cstheme="minorBidi"/>
        </w:rPr>
        <w:t>Bij</w:t>
      </w:r>
      <w:r w:rsidRPr="00D14EFD" w:rsidR="00806A86">
        <w:rPr>
          <w:rFonts w:eastAsiaTheme="minorEastAsia" w:cstheme="minorBidi"/>
        </w:rPr>
        <w:t xml:space="preserve"> opvolging van de aanbevelingen van de ACM en de mogelijke inzet van (nieuwe) beleidsmaatregelen </w:t>
      </w:r>
      <w:r w:rsidR="005A0B99">
        <w:rPr>
          <w:rFonts w:eastAsiaTheme="minorEastAsia" w:cstheme="minorBidi"/>
        </w:rPr>
        <w:t xml:space="preserve">wil ik </w:t>
      </w:r>
      <w:r w:rsidRPr="00D14EFD" w:rsidR="00806A86">
        <w:rPr>
          <w:rFonts w:eastAsiaTheme="minorEastAsia" w:cstheme="minorBidi"/>
        </w:rPr>
        <w:t xml:space="preserve">zorgvuldig afwegen </w:t>
      </w:r>
      <w:r w:rsidR="00010289">
        <w:rPr>
          <w:rFonts w:eastAsiaTheme="minorEastAsia" w:cstheme="minorBidi"/>
        </w:rPr>
        <w:t xml:space="preserve">of nieuwe maatregelen en verplichtingen het beoogde effect hebben en wat mogelijke neveneffecten zijn, bijvoorbeeld in de vorm van hogere kosten die bij de consument belanden. Dat moet worden afgewogen tegen de voordelen van nieuwe maatregelen op de verwachtte gedragsimpact op de consument. </w:t>
      </w:r>
    </w:p>
    <w:p w:rsidRPr="00D14EFD" w:rsidR="002A397A" w:rsidP="00806A86" w:rsidRDefault="002A397A" w14:paraId="2F01A258" w14:textId="77777777">
      <w:pPr>
        <w:widowControl w:val="0"/>
        <w:spacing w:line="240" w:lineRule="auto"/>
        <w:contextualSpacing/>
        <w:rPr>
          <w:rFonts w:eastAsiaTheme="minorEastAsia" w:cstheme="minorBidi"/>
        </w:rPr>
      </w:pPr>
    </w:p>
    <w:p w:rsidRPr="00D14EFD" w:rsidR="00806A86" w:rsidP="00806A86" w:rsidRDefault="00806A86" w14:paraId="6CBDD771" w14:textId="77777777">
      <w:pPr>
        <w:widowControl w:val="0"/>
        <w:spacing w:line="240" w:lineRule="auto"/>
        <w:contextualSpacing/>
        <w:rPr>
          <w:rFonts w:eastAsiaTheme="minorEastAsia" w:cstheme="minorBidi"/>
          <w:i/>
          <w:iCs/>
        </w:rPr>
      </w:pPr>
      <w:bookmarkStart w:name="_Hlk175595346" w:id="19"/>
      <w:r w:rsidRPr="00D14EFD">
        <w:rPr>
          <w:rFonts w:eastAsiaTheme="minorEastAsia" w:cstheme="minorBidi"/>
          <w:i/>
          <w:iCs/>
        </w:rPr>
        <w:t>Verbeteren van de transparantie</w:t>
      </w:r>
    </w:p>
    <w:bookmarkEnd w:id="19"/>
    <w:p w:rsidR="00806A86" w:rsidP="557CDEC6" w:rsidRDefault="00207081" w14:paraId="49FF0336" w14:textId="77777777">
      <w:pPr>
        <w:widowControl w:val="0"/>
        <w:spacing w:line="240" w:lineRule="auto"/>
        <w:contextualSpacing/>
        <w:rPr>
          <w:rFonts w:eastAsiaTheme="minorEastAsia" w:cstheme="minorBidi"/>
        </w:rPr>
      </w:pPr>
      <w:r>
        <w:rPr>
          <w:rFonts w:eastAsiaTheme="minorEastAsia" w:cstheme="minorBidi"/>
        </w:rPr>
        <w:t xml:space="preserve">Ik </w:t>
      </w:r>
      <w:r w:rsidR="00010289">
        <w:rPr>
          <w:rFonts w:eastAsiaTheme="minorEastAsia" w:cstheme="minorBidi"/>
        </w:rPr>
        <w:t xml:space="preserve">grijp </w:t>
      </w:r>
      <w:r>
        <w:rPr>
          <w:rFonts w:eastAsiaTheme="minorEastAsia" w:cstheme="minorBidi"/>
        </w:rPr>
        <w:t>d</w:t>
      </w:r>
      <w:r w:rsidRPr="557CDEC6" w:rsidR="557CDEC6">
        <w:rPr>
          <w:rFonts w:eastAsiaTheme="minorEastAsia" w:cstheme="minorBidi"/>
        </w:rPr>
        <w:t xml:space="preserve">e inzichten en aanbevelingen van de ACM </w:t>
      </w:r>
      <w:r w:rsidR="00010289">
        <w:rPr>
          <w:rFonts w:eastAsiaTheme="minorEastAsia" w:cstheme="minorBidi"/>
        </w:rPr>
        <w:t xml:space="preserve">aan </w:t>
      </w:r>
      <w:r>
        <w:rPr>
          <w:rFonts w:eastAsiaTheme="minorEastAsia" w:cstheme="minorBidi"/>
        </w:rPr>
        <w:t xml:space="preserve">om </w:t>
      </w:r>
      <w:r w:rsidRPr="557CDEC6" w:rsidR="557CDEC6">
        <w:rPr>
          <w:rFonts w:eastAsiaTheme="minorEastAsia" w:cstheme="minorBidi"/>
        </w:rPr>
        <w:t xml:space="preserve">de spaarmarkt voor consumenten nog inzichtelijker </w:t>
      </w:r>
      <w:r>
        <w:rPr>
          <w:rFonts w:eastAsiaTheme="minorEastAsia" w:cstheme="minorBidi"/>
        </w:rPr>
        <w:t>te maken</w:t>
      </w:r>
      <w:r w:rsidRPr="557CDEC6" w:rsidR="557CDEC6">
        <w:rPr>
          <w:rFonts w:eastAsiaTheme="minorEastAsia" w:cstheme="minorBidi"/>
        </w:rPr>
        <w:t>. I</w:t>
      </w:r>
      <w:r w:rsidR="003558A7">
        <w:rPr>
          <w:rFonts w:eastAsiaTheme="minorEastAsia" w:cstheme="minorBidi"/>
        </w:rPr>
        <w:t>k</w:t>
      </w:r>
      <w:r w:rsidRPr="557CDEC6" w:rsidR="557CDEC6">
        <w:rPr>
          <w:rFonts w:eastAsiaTheme="minorEastAsia" w:cstheme="minorBidi"/>
        </w:rPr>
        <w:t xml:space="preserve"> </w:t>
      </w:r>
      <w:r w:rsidR="003558A7">
        <w:rPr>
          <w:rFonts w:eastAsiaTheme="minorEastAsia" w:cstheme="minorBidi"/>
        </w:rPr>
        <w:t xml:space="preserve">ga </w:t>
      </w:r>
      <w:r w:rsidRPr="557CDEC6" w:rsidR="557CDEC6">
        <w:rPr>
          <w:rFonts w:eastAsiaTheme="minorEastAsia" w:cstheme="minorBidi"/>
        </w:rPr>
        <w:t xml:space="preserve">met de banken, de Nederlandse Vereniging van Banken (NVB) en consumentenorganisaties bespreken hoe banken consumenten beter kunnen informeren over hun spaarproductaanbod en hen kunnen motiveren om bewuster met hun vermogensopbouw om te gaan. </w:t>
      </w:r>
      <w:r w:rsidRPr="557CDEC6" w:rsidR="00481CBD">
        <w:rPr>
          <w:rFonts w:eastAsiaTheme="minorEastAsia" w:cstheme="minorBidi"/>
        </w:rPr>
        <w:t xml:space="preserve">Daarnaast </w:t>
      </w:r>
      <w:r w:rsidR="00D91445">
        <w:rPr>
          <w:rFonts w:eastAsiaTheme="minorEastAsia" w:cstheme="minorBidi"/>
        </w:rPr>
        <w:t>ga</w:t>
      </w:r>
      <w:r w:rsidRPr="557CDEC6" w:rsidR="00481CBD">
        <w:rPr>
          <w:rFonts w:eastAsiaTheme="minorEastAsia" w:cstheme="minorBidi"/>
        </w:rPr>
        <w:t xml:space="preserve"> ik consumentenorganisaties, banken en aanbieders van online vergelijkingswebsites </w:t>
      </w:r>
      <w:r w:rsidR="00481CBD">
        <w:rPr>
          <w:rFonts w:eastAsiaTheme="minorEastAsia" w:cstheme="minorBidi"/>
        </w:rPr>
        <w:t xml:space="preserve">vragen </w:t>
      </w:r>
      <w:r w:rsidRPr="557CDEC6" w:rsidR="00481CBD">
        <w:rPr>
          <w:rFonts w:eastAsiaTheme="minorEastAsia" w:cstheme="minorBidi"/>
        </w:rPr>
        <w:t>welke knelpunten</w:t>
      </w:r>
      <w:r w:rsidR="00481CBD">
        <w:rPr>
          <w:rFonts w:eastAsiaTheme="minorEastAsia" w:cstheme="minorBidi"/>
        </w:rPr>
        <w:t xml:space="preserve"> zij zien rond </w:t>
      </w:r>
      <w:r w:rsidRPr="557CDEC6" w:rsidR="00481CBD">
        <w:rPr>
          <w:rFonts w:eastAsiaTheme="minorEastAsia" w:cstheme="minorBidi"/>
        </w:rPr>
        <w:t>onafhankelijke vergelijkingswebsites voor spaarproducten</w:t>
      </w:r>
      <w:r w:rsidR="00D91445">
        <w:rPr>
          <w:rFonts w:eastAsiaTheme="minorEastAsia" w:cstheme="minorBidi"/>
        </w:rPr>
        <w:t xml:space="preserve"> en </w:t>
      </w:r>
      <w:r w:rsidR="00481CBD">
        <w:rPr>
          <w:rFonts w:eastAsiaTheme="minorEastAsia" w:cstheme="minorBidi"/>
        </w:rPr>
        <w:t>welke mogelijkheden er zijn om consumenten via deze websites nog beter te informeren over verschillende spaarproducten.</w:t>
      </w:r>
      <w:r w:rsidRPr="557CDEC6" w:rsidR="557CDEC6">
        <w:rPr>
          <w:rFonts w:eastAsiaTheme="minorEastAsia" w:cstheme="minorBidi"/>
        </w:rPr>
        <w:t xml:space="preserve"> </w:t>
      </w:r>
      <w:bookmarkStart w:name="_Hlk178671218" w:id="20"/>
      <w:r w:rsidR="00010289">
        <w:rPr>
          <w:rFonts w:eastAsiaTheme="minorEastAsia" w:cstheme="minorBidi"/>
        </w:rPr>
        <w:t xml:space="preserve">Het is belangrijk dat banken in eerste instantie zelf met de aanbevelingen omtrent transparantie aan de slag gaan. Als zij dat onvoldoende doen, dan </w:t>
      </w:r>
      <w:r w:rsidR="009724F9">
        <w:rPr>
          <w:rFonts w:eastAsiaTheme="minorEastAsia" w:cstheme="minorBidi"/>
        </w:rPr>
        <w:t xml:space="preserve">zal </w:t>
      </w:r>
      <w:r w:rsidR="00010289">
        <w:rPr>
          <w:rFonts w:eastAsiaTheme="minorEastAsia" w:cstheme="minorBidi"/>
        </w:rPr>
        <w:t>ik invoering van de door de ACM genoemde wettelijke verplichtingen</w:t>
      </w:r>
      <w:r w:rsidR="009724F9">
        <w:rPr>
          <w:rFonts w:eastAsiaTheme="minorEastAsia" w:cstheme="minorBidi"/>
        </w:rPr>
        <w:t xml:space="preserve"> verkennen om de transparantie op de spaarmarkt verder te verbeteren</w:t>
      </w:r>
      <w:r w:rsidR="00010289">
        <w:rPr>
          <w:rFonts w:eastAsiaTheme="minorEastAsia" w:cstheme="minorBidi"/>
        </w:rPr>
        <w:t>.</w:t>
      </w:r>
      <w:r w:rsidR="00536522">
        <w:rPr>
          <w:rFonts w:eastAsiaTheme="minorEastAsia" w:cstheme="minorBidi"/>
        </w:rPr>
        <w:t xml:space="preserve"> </w:t>
      </w:r>
      <w:bookmarkEnd w:id="20"/>
      <w:r w:rsidR="00536522">
        <w:rPr>
          <w:rFonts w:eastAsiaTheme="minorEastAsia" w:cstheme="minorBidi"/>
        </w:rPr>
        <w:t>Ik beoordeel dat over een jaar.</w:t>
      </w:r>
    </w:p>
    <w:p w:rsidR="002A397A" w:rsidP="00806A86" w:rsidRDefault="002A397A" w14:paraId="572AFD84" w14:textId="77777777">
      <w:pPr>
        <w:widowControl w:val="0"/>
        <w:spacing w:line="240" w:lineRule="auto"/>
        <w:contextualSpacing/>
        <w:rPr>
          <w:rFonts w:eastAsiaTheme="minorEastAsia" w:cstheme="minorBidi"/>
          <w:bCs/>
        </w:rPr>
      </w:pPr>
    </w:p>
    <w:p w:rsidRPr="00D14EFD" w:rsidR="00806A86" w:rsidP="00806A86" w:rsidRDefault="00806A86" w14:paraId="274C950F" w14:textId="77777777">
      <w:pPr>
        <w:widowControl w:val="0"/>
        <w:spacing w:line="240" w:lineRule="auto"/>
        <w:contextualSpacing/>
        <w:rPr>
          <w:rFonts w:eastAsiaTheme="minorEastAsia" w:cstheme="minorBidi"/>
          <w:bCs/>
          <w:i/>
          <w:iCs/>
        </w:rPr>
      </w:pPr>
      <w:bookmarkStart w:name="_Hlk175595395" w:id="21"/>
      <w:r w:rsidRPr="00D14EFD">
        <w:rPr>
          <w:rFonts w:eastAsiaTheme="minorEastAsia" w:cstheme="minorBidi"/>
          <w:bCs/>
          <w:i/>
          <w:iCs/>
        </w:rPr>
        <w:t>Het (Europese) Depositogarantiestelsel</w:t>
      </w:r>
    </w:p>
    <w:bookmarkEnd w:id="21"/>
    <w:p w:rsidRPr="00D14EFD" w:rsidR="00806A86" w:rsidP="00806A86" w:rsidRDefault="00806A86" w14:paraId="3FFF2DB3" w14:textId="77777777">
      <w:pPr>
        <w:widowControl w:val="0"/>
        <w:spacing w:line="240" w:lineRule="auto"/>
        <w:contextualSpacing/>
      </w:pPr>
      <w:r w:rsidRPr="00D14EFD">
        <w:rPr>
          <w:rFonts w:eastAsiaTheme="minorEastAsia" w:cstheme="minorBidi"/>
          <w:bCs/>
        </w:rPr>
        <w:t xml:space="preserve">Ik </w:t>
      </w:r>
      <w:r w:rsidR="00040FCC">
        <w:rPr>
          <w:rFonts w:eastAsiaTheme="minorEastAsia" w:cstheme="minorBidi"/>
          <w:bCs/>
        </w:rPr>
        <w:t>ben het met de ACM eens</w:t>
      </w:r>
      <w:r w:rsidRPr="00D14EFD" w:rsidR="00040FCC">
        <w:rPr>
          <w:rFonts w:eastAsiaTheme="minorEastAsia" w:cstheme="minorBidi"/>
          <w:bCs/>
        </w:rPr>
        <w:t xml:space="preserve"> </w:t>
      </w:r>
      <w:r w:rsidRPr="00D14EFD">
        <w:rPr>
          <w:rFonts w:eastAsiaTheme="minorEastAsia" w:cstheme="minorBidi"/>
          <w:bCs/>
        </w:rPr>
        <w:t xml:space="preserve">dat </w:t>
      </w:r>
      <w:r w:rsidR="00355FC7">
        <w:rPr>
          <w:rFonts w:eastAsiaTheme="minorEastAsia" w:cstheme="minorBidi"/>
          <w:bCs/>
        </w:rPr>
        <w:t xml:space="preserve">de Europese samenwerking verder versterkt moet worden bij </w:t>
      </w:r>
      <w:r w:rsidR="007441E2">
        <w:rPr>
          <w:rFonts w:eastAsiaTheme="minorEastAsia" w:cstheme="minorBidi"/>
          <w:bCs/>
        </w:rPr>
        <w:t>grensoverschrijdende DGS-</w:t>
      </w:r>
      <w:r w:rsidRPr="00D14EFD">
        <w:rPr>
          <w:rFonts w:eastAsiaTheme="minorEastAsia" w:cstheme="minorBidi"/>
          <w:bCs/>
        </w:rPr>
        <w:t>uitbetaling</w:t>
      </w:r>
      <w:r w:rsidR="007441E2">
        <w:rPr>
          <w:rFonts w:eastAsiaTheme="minorEastAsia" w:cstheme="minorBidi"/>
          <w:bCs/>
        </w:rPr>
        <w:t>en</w:t>
      </w:r>
      <w:r w:rsidRPr="00D14EFD">
        <w:rPr>
          <w:rFonts w:eastAsiaTheme="minorEastAsia" w:cstheme="minorBidi"/>
          <w:bCs/>
        </w:rPr>
        <w:t xml:space="preserve"> voor klanten die spaargeld aanhouden bij banken in andere EU-lidstaten.</w:t>
      </w:r>
      <w:r w:rsidR="00355FC7">
        <w:rPr>
          <w:rFonts w:eastAsiaTheme="minorEastAsia" w:cstheme="minorBidi"/>
          <w:bCs/>
        </w:rPr>
        <w:t xml:space="preserve"> Het </w:t>
      </w:r>
      <w:r w:rsidR="00610255">
        <w:rPr>
          <w:rFonts w:eastAsiaTheme="minorEastAsia" w:cstheme="minorBidi"/>
          <w:bCs/>
        </w:rPr>
        <w:t xml:space="preserve">Europese </w:t>
      </w:r>
      <w:r w:rsidR="00355FC7">
        <w:rPr>
          <w:rFonts w:eastAsiaTheme="minorEastAsia" w:cstheme="minorBidi"/>
          <w:bCs/>
        </w:rPr>
        <w:t>raadsakkoord over het nieuwe voorstel voor het crisisraamwerk voor banken bevat al meer mogelijkheden voor DNB om te ondersteunen bij uitbetaling aan klanten die spaargeld aanhouden bij buitenlandse banken met Nederlandse bijkantoren. Over dit voorstel wordt momenteel nog onderhandeld tussen de Raad van de Europese Unie en het Europees Parlement</w:t>
      </w:r>
      <w:r w:rsidR="003558A7">
        <w:rPr>
          <w:rFonts w:eastAsiaTheme="minorEastAsia" w:cstheme="minorBidi"/>
          <w:bCs/>
        </w:rPr>
        <w:t>.</w:t>
      </w:r>
      <w:r w:rsidRPr="00D14EFD">
        <w:rPr>
          <w:rFonts w:eastAsiaTheme="minorEastAsia" w:cstheme="minorBidi"/>
          <w:bCs/>
        </w:rPr>
        <w:t xml:space="preserve"> </w:t>
      </w:r>
      <w:r w:rsidR="007441E2">
        <w:rPr>
          <w:rFonts w:eastAsiaTheme="minorEastAsia" w:cstheme="minorBidi"/>
          <w:bCs/>
        </w:rPr>
        <w:t xml:space="preserve">Verder </w:t>
      </w:r>
      <w:r w:rsidR="0034517C">
        <w:rPr>
          <w:rFonts w:eastAsiaTheme="minorEastAsia" w:cstheme="minorBidi"/>
          <w:bCs/>
        </w:rPr>
        <w:t xml:space="preserve">is DNB reeds bezig </w:t>
      </w:r>
      <w:r w:rsidRPr="0034517C" w:rsidR="0034517C">
        <w:rPr>
          <w:rFonts w:eastAsiaTheme="minorEastAsia" w:cstheme="minorBidi"/>
          <w:bCs/>
        </w:rPr>
        <w:t>met een voorlichting</w:t>
      </w:r>
      <w:r w:rsidR="003558A7">
        <w:rPr>
          <w:rFonts w:eastAsiaTheme="minorEastAsia" w:cstheme="minorBidi"/>
          <w:bCs/>
        </w:rPr>
        <w:t>scampagne</w:t>
      </w:r>
      <w:r w:rsidRPr="0034517C" w:rsidR="0034517C">
        <w:rPr>
          <w:rFonts w:eastAsiaTheme="minorEastAsia" w:cstheme="minorBidi"/>
          <w:bCs/>
        </w:rPr>
        <w:t xml:space="preserve"> over </w:t>
      </w:r>
      <w:r w:rsidR="003558A7">
        <w:rPr>
          <w:rFonts w:eastAsiaTheme="minorEastAsia" w:cstheme="minorBidi"/>
          <w:bCs/>
        </w:rPr>
        <w:t xml:space="preserve">de </w:t>
      </w:r>
      <w:r w:rsidRPr="0034517C" w:rsidR="0034517C">
        <w:rPr>
          <w:rFonts w:eastAsiaTheme="minorEastAsia" w:cstheme="minorBidi"/>
          <w:bCs/>
        </w:rPr>
        <w:t xml:space="preserve">Nederlandse </w:t>
      </w:r>
      <w:r w:rsidR="00610255">
        <w:rPr>
          <w:rFonts w:eastAsiaTheme="minorEastAsia" w:cstheme="minorBidi"/>
          <w:bCs/>
        </w:rPr>
        <w:t>d</w:t>
      </w:r>
      <w:r w:rsidRPr="0034517C" w:rsidR="0034517C">
        <w:rPr>
          <w:rFonts w:eastAsiaTheme="minorEastAsia" w:cstheme="minorBidi"/>
          <w:bCs/>
        </w:rPr>
        <w:t>epositogarantie. DNB doet dit in samenwerking met de banken.</w:t>
      </w:r>
      <w:r w:rsidR="0034517C">
        <w:rPr>
          <w:rFonts w:eastAsiaTheme="minorEastAsia" w:cstheme="minorBidi"/>
          <w:bCs/>
        </w:rPr>
        <w:t xml:space="preserve"> DNB heeft onder andere een publieksvriendelijke webpagina gelanceerd en gebruikt social</w:t>
      </w:r>
      <w:r w:rsidR="00610255">
        <w:rPr>
          <w:rFonts w:eastAsiaTheme="minorEastAsia" w:cstheme="minorBidi"/>
          <w:bCs/>
        </w:rPr>
        <w:t>e</w:t>
      </w:r>
      <w:r w:rsidR="0034517C">
        <w:rPr>
          <w:rFonts w:eastAsiaTheme="minorEastAsia" w:cstheme="minorBidi"/>
          <w:bCs/>
        </w:rPr>
        <w:t>mediakanalen om het publiek te informeren. G</w:t>
      </w:r>
      <w:r w:rsidRPr="00D14EFD">
        <w:rPr>
          <w:rFonts w:eastAsiaTheme="minorEastAsia" w:cstheme="minorBidi"/>
          <w:bCs/>
        </w:rPr>
        <w:t xml:space="preserve">oede voorlichting over </w:t>
      </w:r>
      <w:r w:rsidR="007441E2">
        <w:rPr>
          <w:rFonts w:eastAsiaTheme="minorEastAsia" w:cstheme="minorBidi"/>
          <w:bCs/>
        </w:rPr>
        <w:t xml:space="preserve">de bescherming en de voorwaarden van het </w:t>
      </w:r>
      <w:r w:rsidRPr="00D14EFD">
        <w:rPr>
          <w:rFonts w:eastAsiaTheme="minorEastAsia" w:cstheme="minorBidi"/>
          <w:bCs/>
        </w:rPr>
        <w:t>depositogarantiestelsel (DGS)</w:t>
      </w:r>
      <w:r w:rsidR="0034517C">
        <w:rPr>
          <w:rFonts w:eastAsiaTheme="minorEastAsia" w:cstheme="minorBidi"/>
          <w:bCs/>
        </w:rPr>
        <w:t xml:space="preserve"> is van belang </w:t>
      </w:r>
      <w:r w:rsidRPr="00D14EFD">
        <w:rPr>
          <w:rFonts w:eastAsiaTheme="minorEastAsia" w:cstheme="minorBidi"/>
          <w:bCs/>
        </w:rPr>
        <w:t>om het vertrouwen van consumenten in (buitenlandse) banken te vergroten.</w:t>
      </w:r>
      <w:r w:rsidR="0051068B">
        <w:rPr>
          <w:rFonts w:eastAsiaTheme="minorEastAsia" w:cstheme="minorBidi"/>
          <w:bCs/>
        </w:rPr>
        <w:t xml:space="preserve"> Ik </w:t>
      </w:r>
      <w:r w:rsidR="00610255">
        <w:rPr>
          <w:rFonts w:eastAsiaTheme="minorEastAsia" w:cstheme="minorBidi"/>
          <w:bCs/>
        </w:rPr>
        <w:t xml:space="preserve">ga </w:t>
      </w:r>
      <w:r w:rsidR="0051068B">
        <w:rPr>
          <w:rFonts w:eastAsiaTheme="minorEastAsia" w:cstheme="minorBidi"/>
          <w:bCs/>
        </w:rPr>
        <w:lastRenderedPageBreak/>
        <w:t xml:space="preserve">volgend jaar </w:t>
      </w:r>
      <w:r w:rsidR="00610255">
        <w:rPr>
          <w:rFonts w:eastAsiaTheme="minorEastAsia" w:cstheme="minorBidi"/>
          <w:bCs/>
        </w:rPr>
        <w:t xml:space="preserve">beoordelen </w:t>
      </w:r>
      <w:r w:rsidR="0051068B">
        <w:rPr>
          <w:rFonts w:eastAsiaTheme="minorEastAsia" w:cstheme="minorBidi"/>
          <w:bCs/>
        </w:rPr>
        <w:t xml:space="preserve">of de publieksbekendheid van het Nederlandse DGS voldoende </w:t>
      </w:r>
      <w:r w:rsidR="00610255">
        <w:rPr>
          <w:rFonts w:eastAsiaTheme="minorEastAsia" w:cstheme="minorBidi"/>
          <w:bCs/>
        </w:rPr>
        <w:t xml:space="preserve">is </w:t>
      </w:r>
      <w:r w:rsidR="0051068B">
        <w:rPr>
          <w:rFonts w:eastAsiaTheme="minorEastAsia" w:cstheme="minorBidi"/>
          <w:bCs/>
        </w:rPr>
        <w:t>gestegen</w:t>
      </w:r>
      <w:r w:rsidR="00610255">
        <w:rPr>
          <w:rFonts w:eastAsiaTheme="minorEastAsia" w:cstheme="minorBidi"/>
          <w:bCs/>
        </w:rPr>
        <w:t>. Als dat onvoldoende is, ga ik</w:t>
      </w:r>
      <w:r w:rsidR="006429CD">
        <w:rPr>
          <w:rFonts w:eastAsiaTheme="minorEastAsia" w:cstheme="minorBidi"/>
          <w:bCs/>
        </w:rPr>
        <w:t xml:space="preserve"> met DNB spreken over vervolgstappen</w:t>
      </w:r>
      <w:r w:rsidR="0051068B">
        <w:rPr>
          <w:rFonts w:eastAsiaTheme="minorEastAsia" w:cstheme="minorBidi"/>
          <w:bCs/>
        </w:rPr>
        <w:t>.</w:t>
      </w:r>
      <w:r w:rsidRPr="00D14EFD">
        <w:rPr>
          <w:rFonts w:eastAsiaTheme="minorEastAsia" w:cstheme="minorBidi"/>
          <w:bCs/>
        </w:rPr>
        <w:t xml:space="preserve"> </w:t>
      </w:r>
      <w:bookmarkStart w:name="_Hlk178528227" w:id="22"/>
      <w:r w:rsidRPr="00D14EFD">
        <w:t xml:space="preserve">In Europa blijft Nederland zich inzetten op invoering van een Europees Depositogarantiestelsel (EDIS), onder voorwaarde dat </w:t>
      </w:r>
      <w:r w:rsidR="003558A7">
        <w:t>meer risicodeling</w:t>
      </w:r>
      <w:r w:rsidRPr="00D14EFD" w:rsidR="003558A7">
        <w:t xml:space="preserve"> </w:t>
      </w:r>
      <w:r w:rsidRPr="00D14EFD">
        <w:t xml:space="preserve">hand in hand moet gaan met </w:t>
      </w:r>
      <w:r w:rsidR="003558A7">
        <w:t xml:space="preserve">reductie van risico’s, onder meer door een prudente weging van </w:t>
      </w:r>
      <w:r w:rsidR="004F7EA4">
        <w:t>staatsobligaties op Europese bankbalansen</w:t>
      </w:r>
      <w:r w:rsidR="003558A7">
        <w:t>.</w:t>
      </w:r>
      <w:bookmarkEnd w:id="22"/>
    </w:p>
    <w:p w:rsidRPr="00D14EFD" w:rsidR="00806A86" w:rsidP="00806A86" w:rsidRDefault="00806A86" w14:paraId="3B891048" w14:textId="77777777">
      <w:pPr>
        <w:widowControl w:val="0"/>
        <w:spacing w:line="240" w:lineRule="auto"/>
        <w:contextualSpacing/>
        <w:rPr>
          <w:rFonts w:eastAsiaTheme="minorEastAsia" w:cstheme="minorBidi"/>
          <w:bCs/>
        </w:rPr>
      </w:pPr>
    </w:p>
    <w:p w:rsidRPr="00214CCF" w:rsidR="00214CCF" w:rsidP="00D91E10" w:rsidRDefault="00806A86" w14:paraId="14427559" w14:textId="77777777">
      <w:pPr>
        <w:spacing w:line="240" w:lineRule="auto"/>
        <w:rPr>
          <w:rFonts w:eastAsiaTheme="minorEastAsia" w:cstheme="minorBidi"/>
          <w:bCs/>
          <w:i/>
          <w:iCs/>
        </w:rPr>
      </w:pPr>
      <w:bookmarkStart w:name="_Hlk175595514" w:id="23"/>
      <w:r w:rsidRPr="00D14EFD">
        <w:rPr>
          <w:rFonts w:eastAsiaTheme="minorEastAsia" w:cstheme="minorBidi"/>
          <w:bCs/>
          <w:i/>
          <w:iCs/>
        </w:rPr>
        <w:t>Het wegnemen van overstapdrempels</w:t>
      </w:r>
      <w:bookmarkEnd w:id="23"/>
    </w:p>
    <w:p w:rsidR="00610255" w:rsidP="00214CCF" w:rsidRDefault="00214CCF" w14:paraId="549C8CFB" w14:textId="77777777">
      <w:pPr>
        <w:widowControl w:val="0"/>
        <w:spacing w:line="240" w:lineRule="auto"/>
        <w:contextualSpacing/>
        <w:rPr>
          <w:rFonts w:eastAsiaTheme="minorEastAsia" w:cstheme="minorBidi"/>
          <w:bCs/>
        </w:rPr>
      </w:pPr>
      <w:r w:rsidRPr="00214CCF">
        <w:rPr>
          <w:rFonts w:eastAsiaTheme="minorEastAsia" w:cstheme="minorBidi"/>
          <w:bCs/>
        </w:rPr>
        <w:t xml:space="preserve">De ACM doet verschillende aanbevelingen om de overstapdrempels voor consumenten te verlagen. Een daarvan is het verplichten van alle in Nederland actieve banken om een effectief werkende overstapservice te creëren voor consumenten die ergens anders een spaarrekening willen openen. </w:t>
      </w:r>
      <w:bookmarkStart w:name="_Hlk178371342" w:id="24"/>
      <w:r w:rsidRPr="00214CCF">
        <w:rPr>
          <w:rFonts w:eastAsiaTheme="minorEastAsia" w:cstheme="minorBidi"/>
          <w:bCs/>
        </w:rPr>
        <w:t xml:space="preserve">Al sinds 2004 wordt er in Nederland een overstapservice aangeboden die consumenten en zakelijke klanten helpt om het overstappen naar een nieuwe betaalrekening te vergemakkelijken. </w:t>
      </w:r>
      <w:r w:rsidR="00610255">
        <w:rPr>
          <w:rFonts w:eastAsiaTheme="minorEastAsia" w:cstheme="minorBidi"/>
          <w:bCs/>
        </w:rPr>
        <w:t xml:space="preserve">Nederlandse banken liepen daarmee voorop. </w:t>
      </w:r>
      <w:r w:rsidRPr="00214CCF">
        <w:rPr>
          <w:rFonts w:eastAsiaTheme="minorEastAsia" w:cstheme="minorBidi"/>
          <w:bCs/>
        </w:rPr>
        <w:t xml:space="preserve">Sinds 2014 is het aanbieden van een overstapservice voor betaalrekeningen ook een verplichting geworden onder de Europese betaalrekeningrichtlijn. </w:t>
      </w:r>
      <w:bookmarkEnd w:id="24"/>
      <w:r w:rsidRPr="00214CCF">
        <w:rPr>
          <w:rFonts w:eastAsiaTheme="minorEastAsia" w:cstheme="minorBidi"/>
          <w:bCs/>
        </w:rPr>
        <w:t xml:space="preserve">Sindsdien zijn er diverse verbeteringen doorgevoerd en is de overstapservice regelmatig geëvalueerd. Ik </w:t>
      </w:r>
      <w:r w:rsidR="00610255">
        <w:rPr>
          <w:rFonts w:eastAsiaTheme="minorEastAsia" w:cstheme="minorBidi"/>
          <w:bCs/>
        </w:rPr>
        <w:t>ga mij</w:t>
      </w:r>
      <w:r w:rsidRPr="00214CCF">
        <w:rPr>
          <w:rFonts w:eastAsiaTheme="minorEastAsia" w:cstheme="minorBidi"/>
          <w:bCs/>
        </w:rPr>
        <w:t xml:space="preserve"> inzetten voor het verder verbeteren van de overstapservice voor betaalrekeningen. Momenteel voert Betaalvereniging Nederland een onderzoek uit onder gebruikers van de Overstapservice om de waardering van de service en het effect van de doorgevoerde verbeteringen te onderzoeken. Ook wordt onderzocht of - en zo ja, hoe - de overstapservice verder kan worden geoptimaliseerd. De onderzoeksresultaten worden in het Maatschappelijke Overleg Betalingsverkeer (MOB) besproken. </w:t>
      </w:r>
      <w:r w:rsidRPr="00214CCF" w:rsidR="00610255">
        <w:rPr>
          <w:rFonts w:eastAsiaTheme="minorEastAsia" w:cstheme="minorBidi"/>
          <w:bCs/>
        </w:rPr>
        <w:t>Ik informeer uw Kamer bij de aanbieding van de MOB-jaarrapportage voor de zomer over de uitkomsten van dit onderzoek</w:t>
      </w:r>
      <w:r w:rsidR="00610255">
        <w:rPr>
          <w:rFonts w:eastAsiaTheme="minorEastAsia" w:cstheme="minorBidi"/>
          <w:bCs/>
        </w:rPr>
        <w:t xml:space="preserve"> en de mogelijke vervolgstappen</w:t>
      </w:r>
      <w:r w:rsidRPr="00214CCF" w:rsidR="00610255">
        <w:rPr>
          <w:rFonts w:eastAsiaTheme="minorEastAsia" w:cstheme="minorBidi"/>
          <w:bCs/>
        </w:rPr>
        <w:t xml:space="preserve">. </w:t>
      </w:r>
    </w:p>
    <w:p w:rsidRPr="00214CCF" w:rsidR="00214CCF" w:rsidP="00214CCF" w:rsidRDefault="00214CCF" w14:paraId="14D95520" w14:textId="77777777">
      <w:pPr>
        <w:widowControl w:val="0"/>
        <w:spacing w:line="240" w:lineRule="auto"/>
        <w:contextualSpacing/>
        <w:rPr>
          <w:rFonts w:eastAsiaTheme="minorEastAsia" w:cstheme="minorBidi"/>
          <w:bCs/>
        </w:rPr>
      </w:pPr>
      <w:r w:rsidRPr="00214CCF">
        <w:rPr>
          <w:rFonts w:eastAsiaTheme="minorEastAsia" w:cstheme="minorBidi"/>
          <w:bCs/>
        </w:rPr>
        <w:t xml:space="preserve">Ik zal in het MOB ook een eventuele overstapservice voor spaarrekeningen bespreken om </w:t>
      </w:r>
      <w:r w:rsidR="00610255">
        <w:rPr>
          <w:rFonts w:eastAsiaTheme="minorEastAsia" w:cstheme="minorBidi"/>
          <w:bCs/>
        </w:rPr>
        <w:t>de voor- en nadelen hiervan</w:t>
      </w:r>
      <w:r w:rsidRPr="00214CCF" w:rsidR="00610255">
        <w:rPr>
          <w:rFonts w:eastAsiaTheme="minorEastAsia" w:cstheme="minorBidi"/>
          <w:bCs/>
        </w:rPr>
        <w:t xml:space="preserve"> </w:t>
      </w:r>
      <w:r w:rsidRPr="00214CCF">
        <w:rPr>
          <w:rFonts w:eastAsiaTheme="minorEastAsia" w:cstheme="minorBidi"/>
          <w:bCs/>
        </w:rPr>
        <w:t xml:space="preserve">beter in kaart te brengen. </w:t>
      </w:r>
    </w:p>
    <w:p w:rsidRPr="00214CCF" w:rsidR="00214CCF" w:rsidP="00214CCF" w:rsidRDefault="00214CCF" w14:paraId="70A35B3A" w14:textId="77777777">
      <w:pPr>
        <w:widowControl w:val="0"/>
        <w:spacing w:line="240" w:lineRule="auto"/>
        <w:contextualSpacing/>
        <w:rPr>
          <w:rFonts w:eastAsiaTheme="minorEastAsia" w:cstheme="minorBidi"/>
          <w:bCs/>
        </w:rPr>
      </w:pPr>
    </w:p>
    <w:p w:rsidRPr="00214CCF" w:rsidR="00214CCF" w:rsidP="00214CCF" w:rsidRDefault="00610255" w14:paraId="45EFBF86" w14:textId="77777777">
      <w:pPr>
        <w:widowControl w:val="0"/>
        <w:spacing w:line="240" w:lineRule="auto"/>
        <w:contextualSpacing/>
        <w:rPr>
          <w:rFonts w:eastAsiaTheme="minorEastAsia" w:cstheme="minorBidi"/>
          <w:bCs/>
        </w:rPr>
      </w:pPr>
      <w:r>
        <w:rPr>
          <w:rFonts w:eastAsiaTheme="minorEastAsia" w:cstheme="minorBidi"/>
          <w:bCs/>
        </w:rPr>
        <w:t>Verder</w:t>
      </w:r>
      <w:r w:rsidRPr="00214CCF">
        <w:rPr>
          <w:rFonts w:eastAsiaTheme="minorEastAsia" w:cstheme="minorBidi"/>
          <w:bCs/>
        </w:rPr>
        <w:t xml:space="preserve"> </w:t>
      </w:r>
      <w:r w:rsidRPr="00214CCF" w:rsidR="00214CCF">
        <w:rPr>
          <w:rFonts w:eastAsiaTheme="minorEastAsia" w:cstheme="minorBidi"/>
          <w:bCs/>
        </w:rPr>
        <w:t xml:space="preserve">beveelt </w:t>
      </w:r>
      <w:r>
        <w:rPr>
          <w:rFonts w:eastAsiaTheme="minorEastAsia" w:cstheme="minorBidi"/>
          <w:bCs/>
        </w:rPr>
        <w:t xml:space="preserve">de </w:t>
      </w:r>
      <w:r w:rsidRPr="00214CCF" w:rsidR="00214CCF">
        <w:rPr>
          <w:rFonts w:eastAsiaTheme="minorEastAsia" w:cstheme="minorBidi"/>
          <w:bCs/>
        </w:rPr>
        <w:t>ACM aan om te onderzoeken wat de kosten en baten zijn van IBAN-nummerportabiliteit</w:t>
      </w:r>
      <w:r w:rsidRPr="00214CCF" w:rsidR="00214CCF">
        <w:rPr>
          <w:rFonts w:eastAsiaTheme="minorEastAsia" w:cstheme="minorBidi"/>
          <w:bCs/>
          <w:vertAlign w:val="superscript"/>
        </w:rPr>
        <w:footnoteReference w:id="23"/>
      </w:r>
      <w:r w:rsidRPr="00214CCF" w:rsidR="00214CCF">
        <w:rPr>
          <w:rFonts w:eastAsiaTheme="minorEastAsia" w:cstheme="minorBidi"/>
          <w:bCs/>
        </w:rPr>
        <w:t xml:space="preserve"> voor betaal- en spaarrekeningen. De afgelopen jaren heeft Nederland herhaaldelijk op Europees niveau gepleit voor maatregelen die het overstappen vergemakkelijken, </w:t>
      </w:r>
      <w:r>
        <w:rPr>
          <w:rFonts w:eastAsiaTheme="minorEastAsia" w:cstheme="minorBidi"/>
          <w:bCs/>
        </w:rPr>
        <w:t>waaronder ook</w:t>
      </w:r>
      <w:r w:rsidRPr="00214CCF">
        <w:rPr>
          <w:rFonts w:eastAsiaTheme="minorEastAsia" w:cstheme="minorBidi"/>
          <w:bCs/>
        </w:rPr>
        <w:t xml:space="preserve"> </w:t>
      </w:r>
      <w:r w:rsidRPr="00214CCF" w:rsidR="00214CCF">
        <w:rPr>
          <w:rFonts w:eastAsiaTheme="minorEastAsia" w:cstheme="minorBidi"/>
          <w:bCs/>
        </w:rPr>
        <w:t xml:space="preserve">de invoering van nummerportabiliteit voor betaalrekeningen. Ik zal dit blijven doen en zal ook aandacht vragen voor IBAN-nummerportabiliteit voor spaarrekeningen. </w:t>
      </w:r>
      <w:r>
        <w:rPr>
          <w:rFonts w:eastAsiaTheme="minorEastAsia" w:cstheme="minorBidi"/>
          <w:bCs/>
        </w:rPr>
        <w:t>De</w:t>
      </w:r>
      <w:r w:rsidRPr="00214CCF" w:rsidR="00214CCF">
        <w:rPr>
          <w:rFonts w:eastAsiaTheme="minorEastAsia" w:cstheme="minorBidi"/>
          <w:bCs/>
        </w:rPr>
        <w:t xml:space="preserve"> afgelopen jaren </w:t>
      </w:r>
      <w:r>
        <w:rPr>
          <w:rFonts w:eastAsiaTheme="minorEastAsia" w:cstheme="minorBidi"/>
          <w:bCs/>
        </w:rPr>
        <w:t xml:space="preserve">zijn </w:t>
      </w:r>
      <w:r w:rsidRPr="00214CCF" w:rsidR="00214CCF">
        <w:rPr>
          <w:rFonts w:eastAsiaTheme="minorEastAsia" w:cstheme="minorBidi"/>
          <w:bCs/>
        </w:rPr>
        <w:t>verschillende onderzoeken gedaan naar nummerportabiliteit voor betaalrekeningen, waaruit bleek dat het technisch en juridisch ingewikkeld is om dit in te voeren en dat de kosten niet opwegen tegen de baten. De invoering van nummerportabiliteit voor spaarrekeningen brengt naar verwachting dezelfde complexiteit met zich mee.</w:t>
      </w:r>
    </w:p>
    <w:p w:rsidR="009D515D" w:rsidP="00806A86" w:rsidRDefault="009D515D" w14:paraId="19935079" w14:textId="77777777">
      <w:pPr>
        <w:widowControl w:val="0"/>
        <w:spacing w:line="240" w:lineRule="auto"/>
        <w:contextualSpacing/>
      </w:pPr>
    </w:p>
    <w:p w:rsidRPr="0006137D" w:rsidR="0006137D" w:rsidP="557CDEC6" w:rsidRDefault="557CDEC6" w14:paraId="4382EECD" w14:textId="77777777">
      <w:pPr>
        <w:widowControl w:val="0"/>
        <w:spacing w:line="240" w:lineRule="auto"/>
        <w:contextualSpacing/>
        <w:rPr>
          <w:rFonts w:eastAsiaTheme="minorEastAsia" w:cstheme="minorBidi"/>
        </w:rPr>
      </w:pPr>
      <w:r w:rsidRPr="557CDEC6">
        <w:rPr>
          <w:rFonts w:eastAsiaTheme="minorEastAsia" w:cstheme="minorBidi"/>
        </w:rPr>
        <w:t xml:space="preserve">De ACM beveelt ook aan om banken te verplichten </w:t>
      </w:r>
      <w:bookmarkStart w:name="_Hlk178671065" w:id="25"/>
      <w:r w:rsidRPr="557CDEC6">
        <w:rPr>
          <w:rFonts w:eastAsiaTheme="minorEastAsia" w:cstheme="minorBidi"/>
        </w:rPr>
        <w:t>een zelfstandige volwaardige spaarrekening aan te bieden aan klanten die bij hen geen betaalrekening hebben.</w:t>
      </w:r>
      <w:r w:rsidR="004F7EA4">
        <w:rPr>
          <w:rFonts w:eastAsiaTheme="minorEastAsia" w:cstheme="minorBidi"/>
        </w:rPr>
        <w:t xml:space="preserve"> </w:t>
      </w:r>
      <w:bookmarkEnd w:id="25"/>
      <w:r w:rsidR="004F7EA4">
        <w:rPr>
          <w:rFonts w:eastAsiaTheme="minorEastAsia" w:cstheme="minorBidi"/>
        </w:rPr>
        <w:t xml:space="preserve">Ik </w:t>
      </w:r>
      <w:r w:rsidR="00610255">
        <w:rPr>
          <w:rFonts w:eastAsiaTheme="minorEastAsia" w:cstheme="minorBidi"/>
        </w:rPr>
        <w:t xml:space="preserve">ga </w:t>
      </w:r>
      <w:r w:rsidR="004F7EA4">
        <w:rPr>
          <w:rFonts w:eastAsiaTheme="minorEastAsia" w:cstheme="minorBidi"/>
        </w:rPr>
        <w:t xml:space="preserve">onderzoek laten doen naar de impact van </w:t>
      </w:r>
      <w:r w:rsidR="00610255">
        <w:rPr>
          <w:rFonts w:eastAsiaTheme="minorEastAsia" w:cstheme="minorBidi"/>
        </w:rPr>
        <w:t xml:space="preserve">zo’n </w:t>
      </w:r>
      <w:r w:rsidR="004F7EA4">
        <w:rPr>
          <w:rFonts w:eastAsiaTheme="minorEastAsia" w:cstheme="minorBidi"/>
        </w:rPr>
        <w:t xml:space="preserve">verplichting, aangezien </w:t>
      </w:r>
      <w:r w:rsidR="00610255">
        <w:rPr>
          <w:rFonts w:eastAsiaTheme="minorEastAsia" w:cstheme="minorBidi"/>
        </w:rPr>
        <w:t>deze</w:t>
      </w:r>
      <w:r w:rsidR="004F7EA4">
        <w:rPr>
          <w:rFonts w:eastAsiaTheme="minorEastAsia" w:cstheme="minorBidi"/>
        </w:rPr>
        <w:t xml:space="preserve"> direct ingrijpt </w:t>
      </w:r>
      <w:r w:rsidRPr="557CDEC6">
        <w:rPr>
          <w:rFonts w:eastAsiaTheme="minorEastAsia" w:cstheme="minorBidi"/>
        </w:rPr>
        <w:t>op het bedrijfsmodel van commerciële instellingen.</w:t>
      </w:r>
      <w:r w:rsidR="00846D86">
        <w:rPr>
          <w:rFonts w:eastAsiaTheme="minorEastAsia" w:cstheme="minorBidi"/>
        </w:rPr>
        <w:t xml:space="preserve"> </w:t>
      </w:r>
      <w:bookmarkStart w:name="_Hlk178671139" w:id="26"/>
      <w:bookmarkStart w:name="_Hlk178527215" w:id="27"/>
      <w:r w:rsidR="001D244B">
        <w:rPr>
          <w:rFonts w:eastAsiaTheme="minorEastAsia" w:cstheme="minorBidi"/>
        </w:rPr>
        <w:t>In dit onderzoek moet in ieder geval aandacht zijn voor de verwachte gevolgen voor het (overstap)gedrag van consumenten, de</w:t>
      </w:r>
      <w:r w:rsidR="006A39D6">
        <w:rPr>
          <w:rFonts w:eastAsiaTheme="minorEastAsia" w:cstheme="minorBidi"/>
        </w:rPr>
        <w:t xml:space="preserve"> mogelijke gevolgen voor de kosten van betaaldienstverlening</w:t>
      </w:r>
      <w:r w:rsidR="00481CBD">
        <w:rPr>
          <w:rFonts w:eastAsiaTheme="minorEastAsia" w:cstheme="minorBidi"/>
        </w:rPr>
        <w:t xml:space="preserve"> en de hoogte van de spaarrente bij bestaande spaarrekeningen,</w:t>
      </w:r>
      <w:r w:rsidR="006A39D6">
        <w:rPr>
          <w:rFonts w:eastAsiaTheme="minorEastAsia" w:cstheme="minorBidi"/>
        </w:rPr>
        <w:t xml:space="preserve"> </w:t>
      </w:r>
      <w:r w:rsidR="001D244B">
        <w:rPr>
          <w:rFonts w:eastAsiaTheme="minorEastAsia" w:cstheme="minorBidi"/>
        </w:rPr>
        <w:t xml:space="preserve">eventuele </w:t>
      </w:r>
      <w:r w:rsidR="006A39D6">
        <w:rPr>
          <w:rFonts w:eastAsiaTheme="minorEastAsia" w:cstheme="minorBidi"/>
        </w:rPr>
        <w:t xml:space="preserve">risico’s voor de stabiliteit van deposito’s, en ook de eventuele implicaties voor de kosten van kredietfinanciering. </w:t>
      </w:r>
      <w:r w:rsidRPr="557CDEC6">
        <w:rPr>
          <w:rFonts w:eastAsiaTheme="minorEastAsia" w:cstheme="minorBidi"/>
        </w:rPr>
        <w:t xml:space="preserve">Ik zal uw Kamer </w:t>
      </w:r>
      <w:r w:rsidR="001D244B">
        <w:rPr>
          <w:rFonts w:eastAsiaTheme="minorEastAsia" w:cstheme="minorBidi"/>
        </w:rPr>
        <w:t>in de eerste helft van volgend jaar</w:t>
      </w:r>
      <w:r w:rsidRPr="557CDEC6">
        <w:rPr>
          <w:rFonts w:eastAsiaTheme="minorEastAsia" w:cstheme="minorBidi"/>
        </w:rPr>
        <w:t xml:space="preserve"> informeren</w:t>
      </w:r>
      <w:r w:rsidR="006A39D6">
        <w:rPr>
          <w:rFonts w:eastAsiaTheme="minorEastAsia" w:cstheme="minorBidi"/>
        </w:rPr>
        <w:t xml:space="preserve"> over de uitkomsten van dit onderzoek</w:t>
      </w:r>
      <w:r w:rsidRPr="557CDEC6">
        <w:rPr>
          <w:rFonts w:eastAsiaTheme="minorEastAsia" w:cstheme="minorBidi"/>
        </w:rPr>
        <w:t>.</w:t>
      </w:r>
    </w:p>
    <w:bookmarkEnd w:id="26"/>
    <w:p w:rsidR="007441E2" w:rsidP="00806A86" w:rsidRDefault="007441E2" w14:paraId="110FF4D5" w14:textId="77777777">
      <w:pPr>
        <w:widowControl w:val="0"/>
        <w:spacing w:line="240" w:lineRule="auto"/>
        <w:contextualSpacing/>
        <w:rPr>
          <w:rFonts w:eastAsiaTheme="minorEastAsia" w:cstheme="minorBidi"/>
          <w:bCs/>
        </w:rPr>
      </w:pPr>
    </w:p>
    <w:bookmarkEnd w:id="27"/>
    <w:p w:rsidR="00D91E10" w:rsidRDefault="00D91E10" w14:paraId="2C30585C" w14:textId="77777777">
      <w:pPr>
        <w:spacing w:line="240" w:lineRule="auto"/>
        <w:rPr>
          <w:rFonts w:eastAsiaTheme="minorEastAsia" w:cstheme="minorBidi"/>
          <w:bCs/>
          <w:i/>
          <w:iCs/>
        </w:rPr>
      </w:pPr>
      <w:r>
        <w:rPr>
          <w:rFonts w:eastAsiaTheme="minorEastAsia" w:cstheme="minorBidi"/>
          <w:bCs/>
          <w:i/>
          <w:iCs/>
        </w:rPr>
        <w:br w:type="page"/>
      </w:r>
    </w:p>
    <w:p w:rsidRPr="00417143" w:rsidR="007441E2" w:rsidP="00806A86" w:rsidRDefault="007441E2" w14:paraId="55BA981D" w14:textId="77777777">
      <w:pPr>
        <w:widowControl w:val="0"/>
        <w:spacing w:line="240" w:lineRule="auto"/>
        <w:contextualSpacing/>
        <w:rPr>
          <w:rFonts w:eastAsiaTheme="minorEastAsia" w:cstheme="minorBidi"/>
          <w:bCs/>
          <w:i/>
          <w:iCs/>
        </w:rPr>
      </w:pPr>
      <w:r>
        <w:rPr>
          <w:rFonts w:eastAsiaTheme="minorEastAsia" w:cstheme="minorBidi"/>
          <w:bCs/>
          <w:i/>
          <w:iCs/>
        </w:rPr>
        <w:lastRenderedPageBreak/>
        <w:t>Conclusie</w:t>
      </w:r>
    </w:p>
    <w:p w:rsidRPr="003D6CEA" w:rsidR="00806A86" w:rsidP="557CDEC6" w:rsidRDefault="557CDEC6" w14:paraId="726A7071" w14:textId="77777777">
      <w:pPr>
        <w:widowControl w:val="0"/>
        <w:spacing w:line="240" w:lineRule="auto"/>
        <w:contextualSpacing/>
        <w:rPr>
          <w:rFonts w:eastAsia="DejaVuSerifCondensed" w:cs="DejaVuSerifCondensed"/>
        </w:rPr>
      </w:pPr>
      <w:bookmarkStart w:name="_Hlk175053192" w:id="28"/>
      <w:r w:rsidRPr="557CDEC6">
        <w:rPr>
          <w:rFonts w:eastAsiaTheme="minorEastAsia" w:cstheme="minorBidi"/>
        </w:rPr>
        <w:t>De ACM concludeert in haar onderzoek dat de Nederlandse spaarmarkt niet goed functioneert en dat er ruimte is voor verbetering. Dit zijn conclusies waarmee ik aan de slag ga. Ik onderschrijf het belang van een goed werkende spaarmarkt, waarbij consumenten voldoende aanbod en keuzevrijheid hebben in binnen- en buitenland. Uit het ACM-onderzoek volgt dat er een divers aanbod is op de Nederlandse spaarmarkt, maar dat consumenten moeilijk in beweging komen. Hier zie ik, net als de ACM, ruimte voor verbeteringen. Het is daarvoor van belang dat consumenten worden gestimuleerd en beter in staat worden gesteld actieve keuzes te maken in de markt. Dit draagt bij aan gezonde concurrentie en een goed functionerende spaarmarkt. Daarom zal ik mij op nationaal en Europees niveau inzetten om overstapgedrag van consumenten te stimuleren en te vergemakkelijken</w:t>
      </w:r>
      <w:r w:rsidR="009724F9">
        <w:rPr>
          <w:rFonts w:eastAsiaTheme="minorEastAsia" w:cstheme="minorBidi"/>
        </w:rPr>
        <w:t xml:space="preserve">, </w:t>
      </w:r>
      <w:r w:rsidR="006E4289">
        <w:rPr>
          <w:rFonts w:eastAsiaTheme="minorEastAsia" w:cstheme="minorBidi"/>
        </w:rPr>
        <w:t xml:space="preserve">waarbij ik uiteraard ook de technische en financiële moeilijkheden van sommige maatregelen mee zal wegen. </w:t>
      </w:r>
      <w:r w:rsidRPr="557CDEC6" w:rsidR="006E4289">
        <w:rPr>
          <w:rFonts w:eastAsia="DejaVuSerifCondensed" w:cs="DejaVuSerifCondensed"/>
        </w:rPr>
        <w:t xml:space="preserve"> </w:t>
      </w:r>
      <w:r w:rsidRPr="557CDEC6" w:rsidR="006E4289">
        <w:rPr>
          <w:rFonts w:eastAsiaTheme="minorEastAsia" w:cstheme="minorBidi"/>
        </w:rPr>
        <w:t xml:space="preserve"> </w:t>
      </w:r>
      <w:r w:rsidRPr="557CDEC6">
        <w:rPr>
          <w:rFonts w:eastAsia="DejaVuSerifCondensed" w:cs="DejaVuSerifCondensed"/>
        </w:rPr>
        <w:t xml:space="preserve"> </w:t>
      </w:r>
      <w:r w:rsidRPr="557CDEC6">
        <w:rPr>
          <w:rFonts w:eastAsiaTheme="minorEastAsia" w:cstheme="minorBidi"/>
        </w:rPr>
        <w:t xml:space="preserve"> </w:t>
      </w:r>
      <w:r w:rsidR="00D94AA9">
        <w:br/>
      </w:r>
      <w:bookmarkStart w:name="_Hlk175316091" w:id="29"/>
      <w:bookmarkEnd w:id="28"/>
      <w:bookmarkEnd w:id="29"/>
    </w:p>
    <w:p w:rsidRPr="00D14EFD" w:rsidR="00806A86" w:rsidP="00806A86" w:rsidRDefault="00806A86" w14:paraId="78688C11" w14:textId="77777777">
      <w:pPr>
        <w:spacing w:after="260" w:line="240" w:lineRule="auto"/>
        <w:rPr>
          <w:rFonts w:eastAsiaTheme="minorEastAsia" w:cstheme="minorBidi"/>
        </w:rPr>
      </w:pPr>
      <w:r w:rsidRPr="00D14EFD">
        <w:rPr>
          <w:rFonts w:eastAsiaTheme="minorEastAsia" w:cstheme="minorBidi"/>
          <w:bCs/>
        </w:rPr>
        <w:t>Ik zal uw Kamer informeren over de voortgang en uitkomsten van de verdere opvolgin</w:t>
      </w:r>
      <w:r w:rsidR="003C5638">
        <w:rPr>
          <w:rFonts w:eastAsiaTheme="minorEastAsia" w:cstheme="minorBidi"/>
          <w:bCs/>
        </w:rPr>
        <w:t>g.</w:t>
      </w:r>
      <w:r w:rsidRPr="00D14EFD">
        <w:rPr>
          <w:rFonts w:eastAsiaTheme="minorEastAsia" w:cstheme="minorBidi"/>
          <w:bCs/>
        </w:rPr>
        <w:t xml:space="preserve"> </w:t>
      </w:r>
    </w:p>
    <w:p w:rsidRPr="00D14EFD" w:rsidR="00806A86" w:rsidP="00806A86" w:rsidRDefault="00806A86" w14:paraId="5DD27377" w14:textId="77777777">
      <w:pPr>
        <w:spacing w:after="260" w:line="240" w:lineRule="auto"/>
      </w:pPr>
      <w:r w:rsidRPr="00D14EFD">
        <w:t xml:space="preserve">Hoogachtend, </w:t>
      </w:r>
    </w:p>
    <w:p w:rsidRPr="00D14EFD" w:rsidR="00806A86" w:rsidP="00806A86" w:rsidRDefault="00806A86" w14:paraId="6DA48FD8" w14:textId="77777777">
      <w:pPr>
        <w:spacing w:after="260" w:line="240" w:lineRule="auto"/>
      </w:pPr>
      <w:r w:rsidRPr="00D14EFD">
        <w:t>de minister van Financiën,</w:t>
      </w:r>
    </w:p>
    <w:p w:rsidRPr="00D14EFD" w:rsidR="00806A86" w:rsidP="00806A86" w:rsidRDefault="00806A86" w14:paraId="5D2F35B9" w14:textId="77777777">
      <w:pPr>
        <w:spacing w:after="260" w:line="240" w:lineRule="auto"/>
      </w:pPr>
    </w:p>
    <w:p w:rsidRPr="00D14EFD" w:rsidR="00806A86" w:rsidP="00806A86" w:rsidRDefault="00806A86" w14:paraId="772CD58B" w14:textId="77777777">
      <w:pPr>
        <w:spacing w:after="260" w:line="240" w:lineRule="auto"/>
      </w:pPr>
    </w:p>
    <w:p w:rsidRPr="00D14EFD" w:rsidR="00806A86" w:rsidP="00806A86" w:rsidRDefault="00806A86" w14:paraId="0E091F73" w14:textId="77777777">
      <w:pPr>
        <w:spacing w:after="260" w:line="240" w:lineRule="auto"/>
      </w:pPr>
    </w:p>
    <w:p w:rsidRPr="00D14EFD" w:rsidR="00806A86" w:rsidP="00806A86" w:rsidRDefault="00806A86" w14:paraId="0F082C43" w14:textId="77777777">
      <w:pPr>
        <w:spacing w:after="260" w:line="240" w:lineRule="auto"/>
      </w:pPr>
      <w:r w:rsidRPr="00D14EFD">
        <w:t>E. Heinen</w:t>
      </w:r>
    </w:p>
    <w:p w:rsidRPr="00736B6C" w:rsidR="00806A86" w:rsidP="00806A86" w:rsidRDefault="00806A86" w14:paraId="4796C3A2" w14:textId="77777777">
      <w:pPr>
        <w:spacing w:after="260" w:line="240" w:lineRule="auto"/>
        <w:rPr>
          <w:rFonts w:eastAsiaTheme="minorEastAsia" w:cstheme="minorBidi"/>
          <w:bCs/>
        </w:rPr>
      </w:pPr>
      <w:r w:rsidRPr="00736B6C">
        <w:rPr>
          <w:rFonts w:eastAsiaTheme="minorEastAsia" w:cstheme="minorBidi"/>
          <w:bCs/>
        </w:rPr>
        <w:t xml:space="preserve"> </w:t>
      </w:r>
      <w:bookmarkEnd w:id="0"/>
    </w:p>
    <w:p w:rsidRPr="00806A86" w:rsidR="00064936" w:rsidP="00806A86" w:rsidRDefault="00064936" w14:paraId="7DDBE7A7" w14:textId="77777777"/>
    <w:sectPr w:rsidRPr="00806A86" w:rsidR="00064936">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A3085" w14:textId="77777777" w:rsidR="00CF7BF6" w:rsidRDefault="00CF7BF6">
      <w:pPr>
        <w:spacing w:line="240" w:lineRule="auto"/>
      </w:pPr>
      <w:r>
        <w:separator/>
      </w:r>
    </w:p>
  </w:endnote>
  <w:endnote w:type="continuationSeparator" w:id="0">
    <w:p w14:paraId="7A641ED5" w14:textId="77777777" w:rsidR="00CF7BF6" w:rsidRDefault="00CF7B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83AC5" w14:textId="77777777" w:rsidR="00CD2FE1" w:rsidRDefault="00CD2FE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6B4A7" w14:textId="77777777" w:rsidR="00CD2FE1" w:rsidRDefault="00CD2FE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5B025" w14:textId="77777777" w:rsidR="00CD2FE1" w:rsidRDefault="00CD2F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EBBC8" w14:textId="77777777" w:rsidR="00CF7BF6" w:rsidRDefault="00CF7BF6">
      <w:pPr>
        <w:spacing w:line="240" w:lineRule="auto"/>
      </w:pPr>
      <w:r>
        <w:separator/>
      </w:r>
    </w:p>
  </w:footnote>
  <w:footnote w:type="continuationSeparator" w:id="0">
    <w:p w14:paraId="077167C1" w14:textId="77777777" w:rsidR="00CF7BF6" w:rsidRDefault="00CF7BF6">
      <w:pPr>
        <w:spacing w:line="240" w:lineRule="auto"/>
      </w:pPr>
      <w:r>
        <w:continuationSeparator/>
      </w:r>
    </w:p>
  </w:footnote>
  <w:footnote w:id="1">
    <w:p w14:paraId="1D07E5C2" w14:textId="77777777" w:rsidR="00736BDE" w:rsidRPr="00B45D7E" w:rsidRDefault="00736BDE" w:rsidP="00893294">
      <w:pPr>
        <w:pStyle w:val="Voetnoottekst"/>
        <w:rPr>
          <w:sz w:val="14"/>
          <w:szCs w:val="14"/>
        </w:rPr>
      </w:pPr>
      <w:r w:rsidRPr="00B45D7E">
        <w:rPr>
          <w:rStyle w:val="Voetnootmarkering"/>
          <w:sz w:val="14"/>
          <w:szCs w:val="14"/>
        </w:rPr>
        <w:footnoteRef/>
      </w:r>
      <w:r w:rsidRPr="00B45D7E">
        <w:rPr>
          <w:sz w:val="14"/>
          <w:szCs w:val="14"/>
        </w:rPr>
        <w:t xml:space="preserve"> Zie bijlage 3.</w:t>
      </w:r>
    </w:p>
  </w:footnote>
  <w:footnote w:id="2">
    <w:p w14:paraId="53061333" w14:textId="77777777" w:rsidR="00B45D7E" w:rsidRPr="006E7477" w:rsidRDefault="00B45D7E">
      <w:pPr>
        <w:pStyle w:val="Voetnoottekst"/>
        <w:rPr>
          <w:sz w:val="14"/>
          <w:szCs w:val="14"/>
        </w:rPr>
      </w:pPr>
      <w:r w:rsidRPr="006E7477">
        <w:rPr>
          <w:rStyle w:val="Voetnootmarkering"/>
          <w:sz w:val="14"/>
          <w:szCs w:val="14"/>
        </w:rPr>
        <w:footnoteRef/>
      </w:r>
      <w:r w:rsidRPr="006E7477">
        <w:rPr>
          <w:sz w:val="14"/>
          <w:szCs w:val="14"/>
        </w:rPr>
        <w:t xml:space="preserve"> De belangrijkste beleidsrente van de ECB is de rente waartegen banken geld kunnen stallen bij de centrale bank (de depositorente).</w:t>
      </w:r>
    </w:p>
  </w:footnote>
  <w:footnote w:id="3">
    <w:p w14:paraId="2B1B6F8F" w14:textId="77777777" w:rsidR="00F03EE9" w:rsidRPr="006E7477" w:rsidRDefault="00F03EE9" w:rsidP="006E7477">
      <w:pPr>
        <w:widowControl w:val="0"/>
        <w:spacing w:line="240" w:lineRule="auto"/>
        <w:contextualSpacing/>
        <w:rPr>
          <w:sz w:val="14"/>
          <w:szCs w:val="14"/>
        </w:rPr>
      </w:pPr>
      <w:r w:rsidRPr="006E7477">
        <w:rPr>
          <w:rStyle w:val="Voetnootmarkering"/>
          <w:sz w:val="14"/>
          <w:szCs w:val="14"/>
        </w:rPr>
        <w:footnoteRef/>
      </w:r>
      <w:r w:rsidRPr="006E7477">
        <w:rPr>
          <w:sz w:val="14"/>
          <w:szCs w:val="14"/>
        </w:rPr>
        <w:t xml:space="preserve"> Het doel van de ECB is om met de verhoging van de beleidsrente lenen duurder en sparen aantrekkelijker te maken, zodat de inflatie afzwakt naar het gewenste niveau van 2%, conform het prijsstabiliteitsmandaat van de ECB.</w:t>
      </w:r>
      <w:r w:rsidR="00427E53" w:rsidRPr="00B45D7E">
        <w:rPr>
          <w:sz w:val="14"/>
          <w:szCs w:val="14"/>
        </w:rPr>
        <w:t xml:space="preserve"> </w:t>
      </w:r>
    </w:p>
  </w:footnote>
  <w:footnote w:id="4">
    <w:p w14:paraId="5693873B" w14:textId="77777777" w:rsidR="00610F0A" w:rsidRPr="006E7477" w:rsidRDefault="00610F0A" w:rsidP="00610F0A">
      <w:pPr>
        <w:pStyle w:val="Voetnoottekst"/>
        <w:rPr>
          <w:sz w:val="14"/>
          <w:szCs w:val="14"/>
        </w:rPr>
      </w:pPr>
      <w:r w:rsidRPr="006E7477">
        <w:rPr>
          <w:rStyle w:val="Voetnootmarkering"/>
          <w:sz w:val="14"/>
          <w:szCs w:val="14"/>
        </w:rPr>
        <w:footnoteRef/>
      </w:r>
      <w:r w:rsidRPr="006E7477">
        <w:rPr>
          <w:sz w:val="14"/>
          <w:szCs w:val="14"/>
        </w:rPr>
        <w:t xml:space="preserve"> De nettorentemarge is het verschil tussen de </w:t>
      </w:r>
      <w:r w:rsidR="00B45D7E">
        <w:rPr>
          <w:sz w:val="14"/>
          <w:szCs w:val="14"/>
        </w:rPr>
        <w:t>rente-inkomsten</w:t>
      </w:r>
      <w:r w:rsidRPr="006E7477">
        <w:rPr>
          <w:sz w:val="14"/>
          <w:szCs w:val="14"/>
        </w:rPr>
        <w:t xml:space="preserve"> die een bank ontvangt </w:t>
      </w:r>
      <w:r w:rsidR="00B45D7E">
        <w:rPr>
          <w:sz w:val="14"/>
          <w:szCs w:val="14"/>
        </w:rPr>
        <w:t xml:space="preserve">op haar activa </w:t>
      </w:r>
      <w:r w:rsidRPr="006E7477">
        <w:rPr>
          <w:sz w:val="14"/>
          <w:szCs w:val="14"/>
        </w:rPr>
        <w:t xml:space="preserve">en de </w:t>
      </w:r>
      <w:r w:rsidR="00B45D7E">
        <w:rPr>
          <w:sz w:val="14"/>
          <w:szCs w:val="14"/>
        </w:rPr>
        <w:t xml:space="preserve">rente-uitgaven </w:t>
      </w:r>
      <w:r w:rsidRPr="006E7477">
        <w:rPr>
          <w:sz w:val="14"/>
          <w:szCs w:val="14"/>
        </w:rPr>
        <w:t xml:space="preserve">die zij betaalt over haar </w:t>
      </w:r>
      <w:r w:rsidR="00B45D7E">
        <w:rPr>
          <w:sz w:val="14"/>
          <w:szCs w:val="14"/>
        </w:rPr>
        <w:t xml:space="preserve">passiva, </w:t>
      </w:r>
      <w:r w:rsidRPr="006E7477">
        <w:rPr>
          <w:sz w:val="14"/>
          <w:szCs w:val="14"/>
        </w:rPr>
        <w:t xml:space="preserve">uitgedrukt als percentage van de </w:t>
      </w:r>
      <w:r w:rsidR="00B45D7E">
        <w:rPr>
          <w:sz w:val="14"/>
          <w:szCs w:val="14"/>
        </w:rPr>
        <w:t xml:space="preserve">gemiddelde </w:t>
      </w:r>
      <w:r w:rsidRPr="006E7477">
        <w:rPr>
          <w:sz w:val="14"/>
          <w:szCs w:val="14"/>
        </w:rPr>
        <w:t>activa van de bank.</w:t>
      </w:r>
    </w:p>
  </w:footnote>
  <w:footnote w:id="5">
    <w:p w14:paraId="74B7CACE" w14:textId="77777777" w:rsidR="00736BDE" w:rsidRPr="00B45D7E" w:rsidRDefault="00736BDE" w:rsidP="00893294">
      <w:pPr>
        <w:pStyle w:val="Voetnoottekst"/>
        <w:rPr>
          <w:sz w:val="14"/>
          <w:szCs w:val="14"/>
        </w:rPr>
      </w:pPr>
      <w:r w:rsidRPr="00B45D7E">
        <w:rPr>
          <w:rStyle w:val="Voetnootmarkering"/>
          <w:sz w:val="14"/>
          <w:szCs w:val="14"/>
        </w:rPr>
        <w:footnoteRef/>
      </w:r>
      <w:r w:rsidRPr="00B45D7E">
        <w:rPr>
          <w:sz w:val="14"/>
          <w:szCs w:val="14"/>
        </w:rPr>
        <w:t xml:space="preserve"> Kamerstukken II, 2023/2024, 21501-07, nr. 1973.</w:t>
      </w:r>
    </w:p>
  </w:footnote>
  <w:footnote w:id="6">
    <w:p w14:paraId="49EC4203" w14:textId="77777777" w:rsidR="00736BDE" w:rsidRPr="00B45D7E" w:rsidRDefault="00736BDE" w:rsidP="00893294">
      <w:pPr>
        <w:pStyle w:val="Voetnoottekst"/>
        <w:rPr>
          <w:sz w:val="14"/>
          <w:szCs w:val="14"/>
        </w:rPr>
      </w:pPr>
      <w:r w:rsidRPr="00B45D7E">
        <w:rPr>
          <w:rStyle w:val="Voetnootmarkering"/>
          <w:sz w:val="14"/>
          <w:szCs w:val="14"/>
        </w:rPr>
        <w:footnoteRef/>
      </w:r>
      <w:r w:rsidRPr="00B45D7E">
        <w:rPr>
          <w:sz w:val="14"/>
          <w:szCs w:val="14"/>
        </w:rPr>
        <w:t xml:space="preserve"> Kamerstukken II, 2023/2024, 21501-07, nr. 1957.</w:t>
      </w:r>
      <w:r w:rsidRPr="00B45D7E">
        <w:rPr>
          <w:rFonts w:ascii="Roboto" w:hAnsi="Roboto"/>
          <w:color w:val="222222"/>
          <w:spacing w:val="4"/>
          <w:sz w:val="14"/>
          <w:szCs w:val="14"/>
          <w:shd w:val="clear" w:color="auto" w:fill="ECECEC"/>
        </w:rPr>
        <w:t xml:space="preserve"> </w:t>
      </w:r>
    </w:p>
  </w:footnote>
  <w:footnote w:id="7">
    <w:p w14:paraId="07AD4CA1" w14:textId="77777777" w:rsidR="00736BDE" w:rsidRPr="00B45D7E" w:rsidRDefault="00736BDE" w:rsidP="00893294">
      <w:pPr>
        <w:spacing w:line="240" w:lineRule="auto"/>
        <w:rPr>
          <w:rFonts w:ascii="Roboto" w:eastAsia="Times New Roman" w:hAnsi="Roboto" w:cs="Times New Roman"/>
          <w:color w:val="222222"/>
          <w:spacing w:val="4"/>
          <w:sz w:val="14"/>
          <w:szCs w:val="14"/>
        </w:rPr>
      </w:pPr>
      <w:r w:rsidRPr="00B45D7E">
        <w:rPr>
          <w:rStyle w:val="Voetnootmarkering"/>
          <w:sz w:val="14"/>
          <w:szCs w:val="14"/>
        </w:rPr>
        <w:footnoteRef/>
      </w:r>
      <w:r w:rsidRPr="00B45D7E">
        <w:rPr>
          <w:sz w:val="14"/>
          <w:szCs w:val="14"/>
        </w:rPr>
        <w:t xml:space="preserve"> Kamerstukken II, 2023/2024, 21501-07, nr. 1975.</w:t>
      </w:r>
    </w:p>
  </w:footnote>
  <w:footnote w:id="8">
    <w:p w14:paraId="1E61604E" w14:textId="77777777" w:rsidR="00736BDE" w:rsidRPr="006E7477" w:rsidRDefault="00736BDE" w:rsidP="00893294">
      <w:pPr>
        <w:pStyle w:val="Voetnoottekst"/>
        <w:rPr>
          <w:sz w:val="14"/>
          <w:szCs w:val="14"/>
        </w:rPr>
      </w:pPr>
      <w:r w:rsidRPr="00B45D7E">
        <w:rPr>
          <w:rStyle w:val="Voetnootmarkering"/>
          <w:sz w:val="14"/>
          <w:szCs w:val="14"/>
        </w:rPr>
        <w:footnoteRef/>
      </w:r>
      <w:r w:rsidRPr="00B45D7E">
        <w:rPr>
          <w:sz w:val="14"/>
          <w:szCs w:val="14"/>
        </w:rPr>
        <w:t xml:space="preserve"> Kamerstukken II, 2023/24, 32013 nr. 288.</w:t>
      </w:r>
    </w:p>
  </w:footnote>
  <w:footnote w:id="9">
    <w:p w14:paraId="18B8636F" w14:textId="77777777" w:rsidR="00736BDE" w:rsidRPr="00B45D7E" w:rsidRDefault="00736BDE" w:rsidP="00736BDE">
      <w:pPr>
        <w:pStyle w:val="Voetnoottekst"/>
        <w:rPr>
          <w:sz w:val="14"/>
          <w:szCs w:val="14"/>
        </w:rPr>
      </w:pPr>
      <w:r w:rsidRPr="00B45D7E">
        <w:rPr>
          <w:rStyle w:val="Voetnootmarkering"/>
          <w:sz w:val="14"/>
          <w:szCs w:val="14"/>
        </w:rPr>
        <w:footnoteRef/>
      </w:r>
      <w:r w:rsidRPr="00B45D7E">
        <w:rPr>
          <w:sz w:val="14"/>
          <w:szCs w:val="14"/>
        </w:rPr>
        <w:t xml:space="preserve"> Kamerstukken II, 2023/24, nr. 21 501-07.</w:t>
      </w:r>
    </w:p>
  </w:footnote>
  <w:footnote w:id="10">
    <w:p w14:paraId="74CB5DA8" w14:textId="77777777" w:rsidR="00736BDE" w:rsidRPr="00B45D7E" w:rsidRDefault="00736BDE" w:rsidP="00736BDE">
      <w:pPr>
        <w:pStyle w:val="Voetnoottekst"/>
        <w:rPr>
          <w:sz w:val="14"/>
          <w:szCs w:val="14"/>
        </w:rPr>
      </w:pPr>
      <w:r w:rsidRPr="00B45D7E">
        <w:rPr>
          <w:rStyle w:val="Voetnootmarkering"/>
          <w:sz w:val="14"/>
          <w:szCs w:val="14"/>
        </w:rPr>
        <w:footnoteRef/>
      </w:r>
      <w:r w:rsidRPr="00B45D7E">
        <w:rPr>
          <w:sz w:val="14"/>
          <w:szCs w:val="14"/>
        </w:rPr>
        <w:t xml:space="preserve"> Kamerstukken II, 2023/24, nr. 2024D22861.</w:t>
      </w:r>
    </w:p>
  </w:footnote>
  <w:footnote w:id="11">
    <w:p w14:paraId="38D4E90C" w14:textId="77777777" w:rsidR="00506AEB" w:rsidRPr="002F5B8F" w:rsidRDefault="00506AEB" w:rsidP="00506AEB">
      <w:pPr>
        <w:widowControl w:val="0"/>
        <w:spacing w:line="240" w:lineRule="auto"/>
        <w:contextualSpacing/>
        <w:rPr>
          <w:rFonts w:eastAsiaTheme="minorEastAsia" w:cstheme="minorBidi"/>
          <w:sz w:val="14"/>
          <w:szCs w:val="14"/>
        </w:rPr>
      </w:pPr>
      <w:r w:rsidRPr="002F5B8F">
        <w:rPr>
          <w:rStyle w:val="Voetnootmarkering"/>
          <w:sz w:val="14"/>
          <w:szCs w:val="14"/>
        </w:rPr>
        <w:footnoteRef/>
      </w:r>
      <w:r w:rsidRPr="002F5B8F">
        <w:rPr>
          <w:sz w:val="14"/>
          <w:szCs w:val="14"/>
        </w:rPr>
        <w:t xml:space="preserve"> </w:t>
      </w:r>
      <w:r w:rsidRPr="002F5B8F">
        <w:rPr>
          <w:rFonts w:eastAsiaTheme="minorEastAsia" w:cstheme="minorBidi"/>
          <w:sz w:val="14"/>
          <w:szCs w:val="14"/>
        </w:rPr>
        <w:t>Het ACM-rapport stipt aan dat de conclusies over de snelheid en mate van doorwerking van hogere beleidsrentes afhankelijk zijn van het meetmoment. Een uitgebreide vergelijking van de Nederlandse spaarrente in Europees en internationaal perspectief ontbreekt in het rapport. Het is daarom goed om op deze plek te noemen dat de ECB vorig najaar constateerde dat de doorwerking van gestegen beleidsrentes naar spaarrentes relatief sterk is in Nederland.</w:t>
      </w:r>
      <w:r w:rsidRPr="00506AEB">
        <w:rPr>
          <w:rStyle w:val="Verwijzingopmerking"/>
          <w:sz w:val="14"/>
          <w:szCs w:val="14"/>
        </w:rPr>
        <w:t xml:space="preserve"> </w:t>
      </w:r>
    </w:p>
    <w:p w14:paraId="5AFD444E" w14:textId="77777777" w:rsidR="00506AEB" w:rsidRDefault="00506AEB">
      <w:pPr>
        <w:pStyle w:val="Voetnoottekst"/>
      </w:pPr>
    </w:p>
  </w:footnote>
  <w:footnote w:id="12">
    <w:p w14:paraId="41324119" w14:textId="77777777" w:rsidR="00736BDE" w:rsidRPr="00B45D7E" w:rsidRDefault="00736BDE" w:rsidP="00736BDE">
      <w:pPr>
        <w:pStyle w:val="Voetnoottekst"/>
        <w:rPr>
          <w:sz w:val="14"/>
          <w:szCs w:val="14"/>
        </w:rPr>
      </w:pPr>
      <w:r w:rsidRPr="00B45D7E">
        <w:rPr>
          <w:rStyle w:val="Voetnootmarkering"/>
          <w:sz w:val="14"/>
          <w:szCs w:val="14"/>
        </w:rPr>
        <w:footnoteRef/>
      </w:r>
      <w:r w:rsidRPr="00B45D7E">
        <w:rPr>
          <w:sz w:val="14"/>
          <w:szCs w:val="14"/>
        </w:rPr>
        <w:t xml:space="preserve"> </w:t>
      </w:r>
      <w:hyperlink r:id="rId1" w:history="1">
        <w:r w:rsidRPr="00B45D7E">
          <w:rPr>
            <w:rStyle w:val="Hyperlink"/>
            <w:sz w:val="14"/>
            <w:szCs w:val="14"/>
          </w:rPr>
          <w:t>Blog Paul de Bijl: Misverstanden stilzwijgende afstemming | ACM.nl</w:t>
        </w:r>
      </w:hyperlink>
      <w:r w:rsidRPr="00B45D7E">
        <w:rPr>
          <w:sz w:val="14"/>
          <w:szCs w:val="14"/>
        </w:rPr>
        <w:t xml:space="preserve">. </w:t>
      </w:r>
    </w:p>
  </w:footnote>
  <w:footnote w:id="13">
    <w:p w14:paraId="3FF830FA" w14:textId="77777777" w:rsidR="00776384" w:rsidRPr="0000469D" w:rsidRDefault="00776384" w:rsidP="005B3283">
      <w:pPr>
        <w:pStyle w:val="Voetnoottekst"/>
        <w:rPr>
          <w:sz w:val="14"/>
          <w:szCs w:val="14"/>
        </w:rPr>
      </w:pPr>
      <w:r w:rsidRPr="0000469D">
        <w:rPr>
          <w:rStyle w:val="Voetnootmarkering"/>
          <w:sz w:val="14"/>
          <w:szCs w:val="14"/>
        </w:rPr>
        <w:footnoteRef/>
      </w:r>
      <w:r w:rsidRPr="0000469D">
        <w:rPr>
          <w:sz w:val="14"/>
          <w:szCs w:val="14"/>
        </w:rPr>
        <w:t xml:space="preserve"> Zie onder meer het ACM onderzoek en </w:t>
      </w:r>
      <w:hyperlink r:id="rId2" w:history="1">
        <w:r w:rsidRPr="0000469D">
          <w:rPr>
            <w:rStyle w:val="Hyperlink"/>
            <w:sz w:val="14"/>
            <w:szCs w:val="14"/>
          </w:rPr>
          <w:t>SpaarInformatie | De informatiebron voor sparen en spaarrente - Banken op deze site</w:t>
        </w:r>
      </w:hyperlink>
      <w:r w:rsidRPr="0000469D">
        <w:rPr>
          <w:sz w:val="14"/>
          <w:szCs w:val="14"/>
        </w:rPr>
        <w:t xml:space="preserve"> voor het binnenlandse aanbod. De hoeveelheid spaarrekeningen die worden aangeboden hangt sterk af van de rentecyclus waarin een economie zich in bevindt. In een omgeving met lage rentes worden automatisch minder spaarproducten aangeboden, terwijl bij stijgende rentes het aanbod juist toeneemt.</w:t>
      </w:r>
    </w:p>
  </w:footnote>
  <w:footnote w:id="14">
    <w:p w14:paraId="2F7BB8F1" w14:textId="77777777" w:rsidR="00806A86" w:rsidRPr="0000469D" w:rsidRDefault="00806A86" w:rsidP="005B3283">
      <w:pPr>
        <w:pStyle w:val="Voetnoottekst"/>
        <w:rPr>
          <w:sz w:val="14"/>
          <w:szCs w:val="14"/>
        </w:rPr>
      </w:pPr>
      <w:r w:rsidRPr="0000469D">
        <w:rPr>
          <w:rStyle w:val="Voetnootmarkering"/>
          <w:sz w:val="14"/>
          <w:szCs w:val="14"/>
        </w:rPr>
        <w:footnoteRef/>
      </w:r>
      <w:r w:rsidRPr="0000469D">
        <w:rPr>
          <w:sz w:val="14"/>
          <w:szCs w:val="14"/>
        </w:rPr>
        <w:t xml:space="preserve"> Deposito’s van Nederlandse huishoudens gerapporteerd door Eurozone banken exclusief NL-banken </w:t>
      </w:r>
      <w:hyperlink r:id="rId3" w:history="1">
        <w:r w:rsidRPr="0000469D">
          <w:rPr>
            <w:rStyle w:val="Hyperlink"/>
            <w:sz w:val="14"/>
            <w:szCs w:val="14"/>
          </w:rPr>
          <w:t>Search Results | ECB Data Portal (europa.eu)</w:t>
        </w:r>
      </w:hyperlink>
      <w:r w:rsidRPr="0000469D">
        <w:rPr>
          <w:sz w:val="14"/>
          <w:szCs w:val="14"/>
        </w:rPr>
        <w:t xml:space="preserve"> gedeeld door totale bedrag aan deposito’s van Nederlandse huishoudens gerapporteerd door alle Eurozone banken </w:t>
      </w:r>
      <w:hyperlink r:id="rId4" w:history="1">
        <w:r w:rsidRPr="0000469D">
          <w:rPr>
            <w:rStyle w:val="Hyperlink"/>
            <w:rFonts w:eastAsia="Times New Roman"/>
            <w:sz w:val="14"/>
            <w:szCs w:val="14"/>
          </w:rPr>
          <w:t>Search Results | ECB Data Portal (europa.eu)</w:t>
        </w:r>
      </w:hyperlink>
      <w:r w:rsidRPr="0000469D">
        <w:rPr>
          <w:rStyle w:val="Hyperlink"/>
          <w:rFonts w:eastAsia="Times New Roman"/>
          <w:sz w:val="14"/>
          <w:szCs w:val="14"/>
        </w:rPr>
        <w:t>.</w:t>
      </w:r>
    </w:p>
  </w:footnote>
  <w:footnote w:id="15">
    <w:p w14:paraId="3872D263" w14:textId="77777777" w:rsidR="0000469D" w:rsidRPr="006E7477" w:rsidRDefault="0000469D" w:rsidP="006E7477">
      <w:pPr>
        <w:spacing w:line="240" w:lineRule="auto"/>
        <w:rPr>
          <w:i/>
          <w:iCs/>
          <w:color w:val="002060"/>
          <w:lang w:eastAsia="en-US"/>
        </w:rPr>
      </w:pPr>
      <w:r w:rsidRPr="006E7477">
        <w:rPr>
          <w:rStyle w:val="Voetnootmarkering"/>
          <w:sz w:val="14"/>
          <w:szCs w:val="14"/>
        </w:rPr>
        <w:footnoteRef/>
      </w:r>
      <w:r w:rsidRPr="006E7477">
        <w:rPr>
          <w:sz w:val="14"/>
          <w:szCs w:val="14"/>
          <w:lang w:val="en-US"/>
        </w:rPr>
        <w:t xml:space="preserve"> </w:t>
      </w:r>
      <w:r w:rsidRPr="006E7477">
        <w:rPr>
          <w:color w:val="002060"/>
          <w:sz w:val="14"/>
          <w:szCs w:val="14"/>
          <w:lang w:val="en-US" w:eastAsia="en-US"/>
        </w:rPr>
        <w:t xml:space="preserve">Ipsos I&amp;O / TOF tracker. </w:t>
      </w:r>
      <w:r w:rsidRPr="006E7477">
        <w:rPr>
          <w:color w:val="002060"/>
          <w:sz w:val="14"/>
          <w:szCs w:val="14"/>
          <w:lang w:eastAsia="en-US"/>
        </w:rPr>
        <w:t>TOF Tracker is een grootschalig multiclient onderzoek waarbij elk kwartaal aan netto 22.500 respondenten wordt gevraagd welke financiële producten ze het afgelopen kwartaal hebben afgesloten. Deze steekproef wordt m.b.v. CBS-data herwogen naar o.a. leeftijd, opleiding en regio, waardoor deze representatief is voor de 18+ populatie in Nederland.</w:t>
      </w:r>
      <w:r>
        <w:rPr>
          <w:i/>
          <w:iCs/>
          <w:color w:val="002060"/>
          <w:lang w:eastAsia="en-US"/>
        </w:rPr>
        <w:t xml:space="preserve"> </w:t>
      </w:r>
    </w:p>
  </w:footnote>
  <w:footnote w:id="16">
    <w:p w14:paraId="27FDFBD4" w14:textId="77777777" w:rsidR="00BC222F" w:rsidRPr="0030614C" w:rsidRDefault="00BC222F" w:rsidP="00BC222F">
      <w:pPr>
        <w:pStyle w:val="Voetnoottekst"/>
        <w:rPr>
          <w:sz w:val="14"/>
          <w:szCs w:val="14"/>
        </w:rPr>
      </w:pPr>
      <w:r w:rsidRPr="0030614C">
        <w:rPr>
          <w:rStyle w:val="Voetnootmarkering"/>
          <w:sz w:val="14"/>
          <w:szCs w:val="14"/>
        </w:rPr>
        <w:footnoteRef/>
      </w:r>
      <w:r w:rsidRPr="0030614C">
        <w:rPr>
          <w:sz w:val="14"/>
          <w:szCs w:val="14"/>
        </w:rPr>
        <w:t xml:space="preserve"> https://www.dnb.nl/algemeen-nieuws/persbericht-2023/weerbare-banken-hebben-ruimte-voor-stevige-impuls-aan-ambities/</w:t>
      </w:r>
    </w:p>
  </w:footnote>
  <w:footnote w:id="17">
    <w:p w14:paraId="55B2C204" w14:textId="77777777" w:rsidR="00BC222F" w:rsidRPr="0030614C" w:rsidRDefault="00BC222F" w:rsidP="00BC222F">
      <w:pPr>
        <w:pStyle w:val="Voetnoottekst"/>
        <w:rPr>
          <w:sz w:val="14"/>
          <w:szCs w:val="14"/>
        </w:rPr>
      </w:pPr>
      <w:r w:rsidRPr="0030614C">
        <w:rPr>
          <w:rStyle w:val="Voetnootmarkering"/>
          <w:sz w:val="14"/>
          <w:szCs w:val="14"/>
        </w:rPr>
        <w:footnoteRef/>
      </w:r>
      <w:r w:rsidRPr="0030614C">
        <w:rPr>
          <w:sz w:val="14"/>
          <w:szCs w:val="14"/>
        </w:rPr>
        <w:t xml:space="preserve"> </w:t>
      </w:r>
      <w:hyperlink r:id="rId5" w:history="1">
        <w:r w:rsidRPr="0030614C">
          <w:rPr>
            <w:rStyle w:val="Hyperlink"/>
            <w:sz w:val="14"/>
            <w:szCs w:val="14"/>
          </w:rPr>
          <w:t>Studie Bancair verdienmodel november 2023 (dnb.nl)</w:t>
        </w:r>
      </w:hyperlink>
    </w:p>
  </w:footnote>
  <w:footnote w:id="18">
    <w:p w14:paraId="45C9F0AA" w14:textId="77777777" w:rsidR="001B502F" w:rsidRPr="0030614C" w:rsidRDefault="001B502F">
      <w:pPr>
        <w:pStyle w:val="Voetnoottekst"/>
        <w:rPr>
          <w:sz w:val="14"/>
          <w:szCs w:val="14"/>
        </w:rPr>
      </w:pPr>
      <w:r w:rsidRPr="0030614C">
        <w:rPr>
          <w:rStyle w:val="Voetnootmarkering"/>
          <w:sz w:val="14"/>
          <w:szCs w:val="14"/>
        </w:rPr>
        <w:footnoteRef/>
      </w:r>
      <w:r w:rsidRPr="0030614C">
        <w:rPr>
          <w:sz w:val="14"/>
          <w:szCs w:val="14"/>
        </w:rPr>
        <w:t xml:space="preserve"> De inleenmarge is het verschil tussen de marktrente en de rente die banken betalen op betaal- en spaarrekeningen.</w:t>
      </w:r>
    </w:p>
  </w:footnote>
  <w:footnote w:id="19">
    <w:p w14:paraId="6F228219" w14:textId="77777777" w:rsidR="00806A86" w:rsidRPr="00B45D7E" w:rsidRDefault="00806A86" w:rsidP="00806A86">
      <w:pPr>
        <w:pStyle w:val="Voetnoottekst"/>
        <w:rPr>
          <w:sz w:val="14"/>
          <w:szCs w:val="14"/>
        </w:rPr>
      </w:pPr>
      <w:r w:rsidRPr="00B45D7E">
        <w:rPr>
          <w:rStyle w:val="Voetnootmarkering"/>
          <w:sz w:val="14"/>
          <w:szCs w:val="14"/>
        </w:rPr>
        <w:footnoteRef/>
      </w:r>
      <w:r w:rsidRPr="00B45D7E">
        <w:rPr>
          <w:sz w:val="14"/>
          <w:szCs w:val="14"/>
        </w:rPr>
        <w:t xml:space="preserve"> Reserves zijn de deposito’s die banken aanhouden bij de ECB en bestaan uit de verplichte en overtollige reserves. De ECB vereist momenteel dat banken in het eurogebied 1% van hun “depositobasis” aanhouden op hun lopende rekening bij de ECB.</w:t>
      </w:r>
    </w:p>
  </w:footnote>
  <w:footnote w:id="20">
    <w:p w14:paraId="19E5D8D8" w14:textId="77777777" w:rsidR="00806A86" w:rsidRPr="00B45D7E" w:rsidRDefault="00806A86" w:rsidP="00806A86">
      <w:pPr>
        <w:pStyle w:val="Voetnoottekst"/>
        <w:rPr>
          <w:sz w:val="14"/>
          <w:szCs w:val="14"/>
        </w:rPr>
      </w:pPr>
      <w:r w:rsidRPr="00B45D7E">
        <w:rPr>
          <w:rStyle w:val="Voetnootmarkering"/>
          <w:sz w:val="14"/>
          <w:szCs w:val="14"/>
        </w:rPr>
        <w:footnoteRef/>
      </w:r>
      <w:r w:rsidRPr="00B45D7E">
        <w:rPr>
          <w:sz w:val="14"/>
          <w:szCs w:val="14"/>
        </w:rPr>
        <w:t xml:space="preserve"> Zie voetnoot </w:t>
      </w:r>
      <w:r w:rsidR="002C68B0">
        <w:rPr>
          <w:sz w:val="14"/>
          <w:szCs w:val="14"/>
        </w:rPr>
        <w:t>5</w:t>
      </w:r>
      <w:r w:rsidR="00417143" w:rsidRPr="00B45D7E">
        <w:rPr>
          <w:sz w:val="14"/>
          <w:szCs w:val="14"/>
        </w:rPr>
        <w:t>.</w:t>
      </w:r>
    </w:p>
  </w:footnote>
  <w:footnote w:id="21">
    <w:p w14:paraId="21BC8F57" w14:textId="77777777" w:rsidR="00C85093" w:rsidRPr="006E7477" w:rsidRDefault="00C85093">
      <w:pPr>
        <w:pStyle w:val="Voetnoottekst"/>
        <w:rPr>
          <w:sz w:val="14"/>
          <w:szCs w:val="14"/>
        </w:rPr>
      </w:pPr>
      <w:r w:rsidRPr="006E7477">
        <w:rPr>
          <w:rStyle w:val="Voetnootmarkering"/>
          <w:sz w:val="14"/>
          <w:szCs w:val="14"/>
        </w:rPr>
        <w:footnoteRef/>
      </w:r>
      <w:r w:rsidRPr="006E7477">
        <w:rPr>
          <w:sz w:val="14"/>
          <w:szCs w:val="14"/>
        </w:rPr>
        <w:t xml:space="preserve"> </w:t>
      </w:r>
      <w:r w:rsidRPr="006E7477">
        <w:rPr>
          <w:rStyle w:val="Zwaar"/>
          <w:b w:val="0"/>
          <w:bCs w:val="0"/>
          <w:sz w:val="14"/>
          <w:szCs w:val="14"/>
        </w:rPr>
        <w:t>Looptijdtransformatie</w:t>
      </w:r>
      <w:r w:rsidRPr="00B45D7E">
        <w:rPr>
          <w:rStyle w:val="Zwaar"/>
          <w:b w:val="0"/>
          <w:bCs w:val="0"/>
          <w:sz w:val="14"/>
          <w:szCs w:val="14"/>
        </w:rPr>
        <w:t xml:space="preserve"> </w:t>
      </w:r>
      <w:r w:rsidR="00FD4B2B">
        <w:rPr>
          <w:rStyle w:val="Zwaar"/>
          <w:b w:val="0"/>
          <w:bCs w:val="0"/>
          <w:sz w:val="14"/>
          <w:szCs w:val="14"/>
        </w:rPr>
        <w:t xml:space="preserve">houdt in dat banken kortlopende verplichtingen (deposito’s) gebruiken om lange termijn activa (zoals hypotheken) te financieren. Dit veroorzaakt een mismatch in hoe snel veranderingen in de marktrentes worden doorgegeven in de portefeuille van banken. </w:t>
      </w:r>
    </w:p>
  </w:footnote>
  <w:footnote w:id="22">
    <w:p w14:paraId="59D3D146" w14:textId="77777777" w:rsidR="00806A86" w:rsidRPr="00B45D7E" w:rsidRDefault="00806A86" w:rsidP="00806A86">
      <w:pPr>
        <w:pStyle w:val="Voetnoottekst"/>
        <w:rPr>
          <w:sz w:val="14"/>
          <w:szCs w:val="14"/>
        </w:rPr>
      </w:pPr>
      <w:r w:rsidRPr="00B45D7E">
        <w:rPr>
          <w:rStyle w:val="Voetnootmarkering"/>
          <w:sz w:val="14"/>
          <w:szCs w:val="14"/>
        </w:rPr>
        <w:footnoteRef/>
      </w:r>
      <w:r w:rsidRPr="00B45D7E">
        <w:rPr>
          <w:sz w:val="14"/>
          <w:szCs w:val="14"/>
        </w:rPr>
        <w:t xml:space="preserve"> Kamerstukken II 2022-2023, 21501-07 nr. 1969 en Kamerstukken II, 2023/24, nr. 32013-288. </w:t>
      </w:r>
    </w:p>
  </w:footnote>
  <w:footnote w:id="23">
    <w:p w14:paraId="2E104E03" w14:textId="77777777" w:rsidR="00214CCF" w:rsidRPr="00F273D9" w:rsidRDefault="00214CCF" w:rsidP="00214CCF">
      <w:pPr>
        <w:pStyle w:val="Voetnoottekst"/>
        <w:rPr>
          <w:sz w:val="14"/>
          <w:szCs w:val="14"/>
        </w:rPr>
      </w:pPr>
      <w:r w:rsidRPr="00F273D9">
        <w:rPr>
          <w:rStyle w:val="Voetnootmarkering"/>
          <w:sz w:val="14"/>
          <w:szCs w:val="14"/>
        </w:rPr>
        <w:footnoteRef/>
      </w:r>
      <w:r w:rsidRPr="00F273D9">
        <w:rPr>
          <w:sz w:val="14"/>
          <w:szCs w:val="14"/>
        </w:rPr>
        <w:t xml:space="preserve"> Nummerportabiliteit is het meenemen/overzetten van je IBAN-nummer (bankrekeningnummer) naar een andere bank (ook wel IBAN-portabiliteit genoemd).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05BD3" w14:textId="77777777" w:rsidR="00CD2FE1" w:rsidRDefault="00CD2FE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94911" w14:textId="77777777" w:rsidR="00064936" w:rsidRDefault="00806A86">
    <w:r>
      <w:rPr>
        <w:noProof/>
      </w:rPr>
      <mc:AlternateContent>
        <mc:Choice Requires="wps">
          <w:drawing>
            <wp:anchor distT="0" distB="0" distL="0" distR="0" simplePos="0" relativeHeight="251652096" behindDoc="0" locked="1" layoutInCell="1" allowOverlap="1" wp14:anchorId="58D554DA" wp14:editId="0B2505AB">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B3DDDD6" w14:textId="77777777" w:rsidR="00064936" w:rsidRDefault="00806A86">
                          <w:pPr>
                            <w:pStyle w:val="StandaardReferentiegegevensKop"/>
                          </w:pPr>
                          <w:r>
                            <w:t>Directie Financiële Markten</w:t>
                          </w:r>
                        </w:p>
                        <w:p w14:paraId="1F74334F" w14:textId="77777777" w:rsidR="00064936" w:rsidRDefault="00064936">
                          <w:pPr>
                            <w:pStyle w:val="WitregelW1"/>
                          </w:pPr>
                        </w:p>
                        <w:p w14:paraId="47E12C00" w14:textId="77777777" w:rsidR="00064936" w:rsidRDefault="00806A86">
                          <w:pPr>
                            <w:pStyle w:val="StandaardReferentiegegevensKop"/>
                          </w:pPr>
                          <w:r>
                            <w:t>Ons kenmerk</w:t>
                          </w:r>
                        </w:p>
                        <w:p w14:paraId="2461CEB9" w14:textId="437986BC" w:rsidR="00EB78E0" w:rsidRDefault="00CD2FE1">
                          <w:pPr>
                            <w:pStyle w:val="StandaardReferentiegegevens"/>
                          </w:pPr>
                          <w:r>
                            <w:fldChar w:fldCharType="begin"/>
                          </w:r>
                          <w:r>
                            <w:instrText xml:space="preserve"> DOCPROPERTY  "Kenmerk"  \* MERGEFORMAT </w:instrText>
                          </w:r>
                          <w:r>
                            <w:fldChar w:fldCharType="separate"/>
                          </w:r>
                          <w:r>
                            <w:t>2024-0000465243</w:t>
                          </w:r>
                          <w:r>
                            <w:fldChar w:fldCharType="end"/>
                          </w:r>
                        </w:p>
                      </w:txbxContent>
                    </wps:txbx>
                    <wps:bodyPr vert="horz" wrap="square" lIns="0" tIns="0" rIns="0" bIns="0" anchor="t" anchorCtr="0"/>
                  </wps:wsp>
                </a:graphicData>
              </a:graphic>
            </wp:anchor>
          </w:drawing>
        </mc:Choice>
        <mc:Fallback>
          <w:pict>
            <v:shapetype w14:anchorId="58D554DA"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4B3DDDD6" w14:textId="77777777" w:rsidR="00064936" w:rsidRDefault="00806A86">
                    <w:pPr>
                      <w:pStyle w:val="StandaardReferentiegegevensKop"/>
                    </w:pPr>
                    <w:r>
                      <w:t>Directie Financiële Markten</w:t>
                    </w:r>
                  </w:p>
                  <w:p w14:paraId="1F74334F" w14:textId="77777777" w:rsidR="00064936" w:rsidRDefault="00064936">
                    <w:pPr>
                      <w:pStyle w:val="WitregelW1"/>
                    </w:pPr>
                  </w:p>
                  <w:p w14:paraId="47E12C00" w14:textId="77777777" w:rsidR="00064936" w:rsidRDefault="00806A86">
                    <w:pPr>
                      <w:pStyle w:val="StandaardReferentiegegevensKop"/>
                    </w:pPr>
                    <w:r>
                      <w:t>Ons kenmerk</w:t>
                    </w:r>
                  </w:p>
                  <w:p w14:paraId="2461CEB9" w14:textId="437986BC" w:rsidR="00EB78E0" w:rsidRDefault="00CD2FE1">
                    <w:pPr>
                      <w:pStyle w:val="StandaardReferentiegegevens"/>
                    </w:pPr>
                    <w:r>
                      <w:fldChar w:fldCharType="begin"/>
                    </w:r>
                    <w:r>
                      <w:instrText xml:space="preserve"> DOCPROPERTY  "Kenmerk"  \* MERGEFORMAT </w:instrText>
                    </w:r>
                    <w:r>
                      <w:fldChar w:fldCharType="separate"/>
                    </w:r>
                    <w:r>
                      <w:t>2024-0000465243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65715C3" wp14:editId="75EAACDC">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3CCE211" w14:textId="77777777" w:rsidR="00EB78E0" w:rsidRDefault="00CD2FE1">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65715C3"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73CCE211" w14:textId="77777777" w:rsidR="00EB78E0" w:rsidRDefault="00CD2FE1">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6F657A7" wp14:editId="738D7283">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09ED7840" w14:textId="3B77BCEC" w:rsidR="00EB78E0" w:rsidRDefault="00CD2FE1">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6F657A7"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09ED7840" w14:textId="3B77BCEC" w:rsidR="00EB78E0" w:rsidRDefault="00CD2FE1">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28B21" w14:textId="77777777" w:rsidR="00064936" w:rsidRDefault="00806A86">
    <w:pPr>
      <w:spacing w:after="7029" w:line="14" w:lineRule="exact"/>
    </w:pPr>
    <w:r>
      <w:rPr>
        <w:noProof/>
      </w:rPr>
      <mc:AlternateContent>
        <mc:Choice Requires="wps">
          <w:drawing>
            <wp:anchor distT="0" distB="0" distL="0" distR="0" simplePos="0" relativeHeight="251655168" behindDoc="0" locked="1" layoutInCell="1" allowOverlap="1" wp14:anchorId="146F0B6C" wp14:editId="0315DD38">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6565B575" w14:textId="77777777" w:rsidR="00064936" w:rsidRDefault="00806A86">
                          <w:pPr>
                            <w:spacing w:line="240" w:lineRule="auto"/>
                          </w:pPr>
                          <w:r>
                            <w:rPr>
                              <w:noProof/>
                            </w:rPr>
                            <w:drawing>
                              <wp:inline distT="0" distB="0" distL="0" distR="0" wp14:anchorId="332883DA" wp14:editId="34570389">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46F0B6C"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6565B575" w14:textId="77777777" w:rsidR="00064936" w:rsidRDefault="00806A86">
                    <w:pPr>
                      <w:spacing w:line="240" w:lineRule="auto"/>
                    </w:pPr>
                    <w:r>
                      <w:rPr>
                        <w:noProof/>
                      </w:rPr>
                      <w:drawing>
                        <wp:inline distT="0" distB="0" distL="0" distR="0" wp14:anchorId="332883DA" wp14:editId="34570389">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78D45C8C" wp14:editId="05EF5157">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38E91916" w14:textId="77777777" w:rsidR="00806A86" w:rsidRDefault="00806A86"/>
                      </w:txbxContent>
                    </wps:txbx>
                    <wps:bodyPr vert="horz" wrap="square" lIns="0" tIns="0" rIns="0" bIns="0" anchor="t" anchorCtr="0"/>
                  </wps:wsp>
                </a:graphicData>
              </a:graphic>
            </wp:anchor>
          </w:drawing>
        </mc:Choice>
        <mc:Fallback>
          <w:pict>
            <v:shape w14:anchorId="78D45C8C"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38E91916" w14:textId="77777777" w:rsidR="00806A86" w:rsidRDefault="00806A86"/>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9101EFE" wp14:editId="0A81CC72">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41BA1DCB" w14:textId="77777777" w:rsidR="00064936" w:rsidRDefault="00806A86">
                          <w:pPr>
                            <w:pStyle w:val="StandaardReferentiegegevensKop"/>
                          </w:pPr>
                          <w:r>
                            <w:t>Directie Financiële Markten</w:t>
                          </w:r>
                        </w:p>
                        <w:p w14:paraId="1C15D794" w14:textId="77777777" w:rsidR="00064936" w:rsidRDefault="00064936">
                          <w:pPr>
                            <w:pStyle w:val="WitregelW1"/>
                          </w:pPr>
                        </w:p>
                        <w:p w14:paraId="0CFC12A6" w14:textId="77777777" w:rsidR="00064936" w:rsidRDefault="00806A86">
                          <w:pPr>
                            <w:pStyle w:val="StandaardReferentiegegevens"/>
                          </w:pPr>
                          <w:r>
                            <w:t>Korte Voorhout 7</w:t>
                          </w:r>
                        </w:p>
                        <w:p w14:paraId="3D642187" w14:textId="77777777" w:rsidR="00064936" w:rsidRDefault="00806A86">
                          <w:pPr>
                            <w:pStyle w:val="StandaardReferentiegegevens"/>
                          </w:pPr>
                          <w:r>
                            <w:t>2511 CW  'S-GRAVENHAGE</w:t>
                          </w:r>
                        </w:p>
                        <w:p w14:paraId="45670CDD" w14:textId="77777777" w:rsidR="00064936" w:rsidRDefault="00806A86">
                          <w:pPr>
                            <w:pStyle w:val="StandaardReferentiegegevens"/>
                          </w:pPr>
                          <w:r>
                            <w:t>POSTBUS 20201</w:t>
                          </w:r>
                        </w:p>
                        <w:p w14:paraId="1D654571" w14:textId="77777777" w:rsidR="00064936" w:rsidRDefault="00806A86">
                          <w:pPr>
                            <w:pStyle w:val="StandaardReferentiegegevens"/>
                          </w:pPr>
                          <w:r>
                            <w:t>2500 EE  'S-GRAVENHAGE</w:t>
                          </w:r>
                        </w:p>
                        <w:p w14:paraId="5125BAA5" w14:textId="77777777" w:rsidR="00064936" w:rsidRDefault="00806A86">
                          <w:pPr>
                            <w:pStyle w:val="StandaardReferentiegegevens"/>
                          </w:pPr>
                          <w:r>
                            <w:t>www.rijksoverheid.nl/fin</w:t>
                          </w:r>
                        </w:p>
                        <w:p w14:paraId="2F76276E" w14:textId="77777777" w:rsidR="00064936" w:rsidRDefault="00064936">
                          <w:pPr>
                            <w:pStyle w:val="WitregelW2"/>
                          </w:pPr>
                        </w:p>
                        <w:p w14:paraId="62D3787B" w14:textId="77777777" w:rsidR="00064936" w:rsidRDefault="00806A86">
                          <w:pPr>
                            <w:pStyle w:val="StandaardReferentiegegevensKop"/>
                          </w:pPr>
                          <w:r>
                            <w:t>Ons kenmerk</w:t>
                          </w:r>
                        </w:p>
                        <w:p w14:paraId="65C1F87F" w14:textId="7F126AE6" w:rsidR="00EB78E0" w:rsidRDefault="00CD2FE1">
                          <w:pPr>
                            <w:pStyle w:val="StandaardReferentiegegevens"/>
                          </w:pPr>
                          <w:r>
                            <w:fldChar w:fldCharType="begin"/>
                          </w:r>
                          <w:r>
                            <w:instrText xml:space="preserve"> DOCPROPERTY  "Kenmerk"  \* MERGEFORMAT </w:instrText>
                          </w:r>
                          <w:r>
                            <w:fldChar w:fldCharType="separate"/>
                          </w:r>
                          <w:r>
                            <w:t>2024-0000465243</w:t>
                          </w:r>
                          <w:r>
                            <w:fldChar w:fldCharType="end"/>
                          </w:r>
                        </w:p>
                        <w:p w14:paraId="5D671CF7" w14:textId="77777777" w:rsidR="00064936" w:rsidRDefault="00064936">
                          <w:pPr>
                            <w:pStyle w:val="WitregelW1"/>
                          </w:pPr>
                        </w:p>
                        <w:p w14:paraId="57CF2119" w14:textId="77777777" w:rsidR="00064936" w:rsidRDefault="00806A86">
                          <w:pPr>
                            <w:pStyle w:val="StandaardReferentiegegevensKop"/>
                          </w:pPr>
                          <w:r>
                            <w:t>Uw brief (kenmerk)</w:t>
                          </w:r>
                        </w:p>
                        <w:p w14:paraId="40358F1A" w14:textId="7908ED65" w:rsidR="00EB78E0" w:rsidRDefault="00CD2FE1">
                          <w:pPr>
                            <w:pStyle w:val="StandaardReferentiegegevens"/>
                          </w:pPr>
                          <w:r>
                            <w:fldChar w:fldCharType="begin"/>
                          </w:r>
                          <w:r>
                            <w:instrText xml:space="preserve"> DOCPROPERTY  "UwKenmerk"  \* MERGEFORMAT </w:instrText>
                          </w:r>
                          <w:r>
                            <w:fldChar w:fldCharType="end"/>
                          </w:r>
                        </w:p>
                        <w:p w14:paraId="61BFBC2C" w14:textId="77777777" w:rsidR="00064936" w:rsidRDefault="00064936">
                          <w:pPr>
                            <w:pStyle w:val="WitregelW1"/>
                          </w:pPr>
                        </w:p>
                        <w:p w14:paraId="13A2DB20" w14:textId="77777777" w:rsidR="00064936" w:rsidRDefault="00806A86">
                          <w:pPr>
                            <w:pStyle w:val="StandaardReferentiegegevensKop"/>
                          </w:pPr>
                          <w:r>
                            <w:t>Bijlagen</w:t>
                          </w:r>
                        </w:p>
                        <w:p w14:paraId="69BD06C1" w14:textId="77777777" w:rsidR="00064936" w:rsidRDefault="00DD7D75">
                          <w:pPr>
                            <w:pStyle w:val="StandaardReferentiegegevens"/>
                          </w:pPr>
                          <w:r>
                            <w:t>1</w:t>
                          </w:r>
                          <w:r w:rsidR="00806A86">
                            <w:t>. Appreciatie aanbevelingen</w:t>
                          </w:r>
                        </w:p>
                        <w:p w14:paraId="13B919CB" w14:textId="77777777" w:rsidR="00064936" w:rsidRDefault="00DD7D75">
                          <w:pPr>
                            <w:pStyle w:val="StandaardReferentiegegevens"/>
                          </w:pPr>
                          <w:r>
                            <w:t>2</w:t>
                          </w:r>
                          <w:r w:rsidR="00806A86">
                            <w:t>. ACM-onderzoek spaarmarkt</w:t>
                          </w:r>
                        </w:p>
                      </w:txbxContent>
                    </wps:txbx>
                    <wps:bodyPr vert="horz" wrap="square" lIns="0" tIns="0" rIns="0" bIns="0" anchor="t" anchorCtr="0"/>
                  </wps:wsp>
                </a:graphicData>
              </a:graphic>
            </wp:anchor>
          </w:drawing>
        </mc:Choice>
        <mc:Fallback>
          <w:pict>
            <v:shape w14:anchorId="49101EFE"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41BA1DCB" w14:textId="77777777" w:rsidR="00064936" w:rsidRDefault="00806A86">
                    <w:pPr>
                      <w:pStyle w:val="StandaardReferentiegegevensKop"/>
                    </w:pPr>
                    <w:r>
                      <w:t>Directie Financiële Markten</w:t>
                    </w:r>
                  </w:p>
                  <w:p w14:paraId="1C15D794" w14:textId="77777777" w:rsidR="00064936" w:rsidRDefault="00064936">
                    <w:pPr>
                      <w:pStyle w:val="WitregelW1"/>
                    </w:pPr>
                  </w:p>
                  <w:p w14:paraId="0CFC12A6" w14:textId="77777777" w:rsidR="00064936" w:rsidRDefault="00806A86">
                    <w:pPr>
                      <w:pStyle w:val="StandaardReferentiegegevens"/>
                    </w:pPr>
                    <w:r>
                      <w:t>Korte Voorhout 7</w:t>
                    </w:r>
                  </w:p>
                  <w:p w14:paraId="3D642187" w14:textId="77777777" w:rsidR="00064936" w:rsidRDefault="00806A86">
                    <w:pPr>
                      <w:pStyle w:val="StandaardReferentiegegevens"/>
                    </w:pPr>
                    <w:r>
                      <w:t>2511 CW  'S-GRAVENHAGE</w:t>
                    </w:r>
                  </w:p>
                  <w:p w14:paraId="45670CDD" w14:textId="77777777" w:rsidR="00064936" w:rsidRDefault="00806A86">
                    <w:pPr>
                      <w:pStyle w:val="StandaardReferentiegegevens"/>
                    </w:pPr>
                    <w:r>
                      <w:t>POSTBUS 20201</w:t>
                    </w:r>
                  </w:p>
                  <w:p w14:paraId="1D654571" w14:textId="77777777" w:rsidR="00064936" w:rsidRDefault="00806A86">
                    <w:pPr>
                      <w:pStyle w:val="StandaardReferentiegegevens"/>
                    </w:pPr>
                    <w:r>
                      <w:t>2500 EE  'S-GRAVENHAGE</w:t>
                    </w:r>
                  </w:p>
                  <w:p w14:paraId="5125BAA5" w14:textId="77777777" w:rsidR="00064936" w:rsidRDefault="00806A86">
                    <w:pPr>
                      <w:pStyle w:val="StandaardReferentiegegevens"/>
                    </w:pPr>
                    <w:r>
                      <w:t>www.rijksoverheid.nl/fin</w:t>
                    </w:r>
                  </w:p>
                  <w:p w14:paraId="2F76276E" w14:textId="77777777" w:rsidR="00064936" w:rsidRDefault="00064936">
                    <w:pPr>
                      <w:pStyle w:val="WitregelW2"/>
                    </w:pPr>
                  </w:p>
                  <w:p w14:paraId="62D3787B" w14:textId="77777777" w:rsidR="00064936" w:rsidRDefault="00806A86">
                    <w:pPr>
                      <w:pStyle w:val="StandaardReferentiegegevensKop"/>
                    </w:pPr>
                    <w:r>
                      <w:t>Ons kenmerk</w:t>
                    </w:r>
                  </w:p>
                  <w:p w14:paraId="65C1F87F" w14:textId="7F126AE6" w:rsidR="00EB78E0" w:rsidRDefault="00CD2FE1">
                    <w:pPr>
                      <w:pStyle w:val="StandaardReferentiegegevens"/>
                    </w:pPr>
                    <w:r>
                      <w:fldChar w:fldCharType="begin"/>
                    </w:r>
                    <w:r>
                      <w:instrText xml:space="preserve"> DOCPROPERTY  "Kenmerk"  \* MERGEFORMAT </w:instrText>
                    </w:r>
                    <w:r>
                      <w:fldChar w:fldCharType="separate"/>
                    </w:r>
                    <w:r>
                      <w:t>2024-0000465243</w:t>
                    </w:r>
                    <w:r>
                      <w:fldChar w:fldCharType="end"/>
                    </w:r>
                  </w:p>
                  <w:p w14:paraId="5D671CF7" w14:textId="77777777" w:rsidR="00064936" w:rsidRDefault="00064936">
                    <w:pPr>
                      <w:pStyle w:val="WitregelW1"/>
                    </w:pPr>
                  </w:p>
                  <w:p w14:paraId="57CF2119" w14:textId="77777777" w:rsidR="00064936" w:rsidRDefault="00806A86">
                    <w:pPr>
                      <w:pStyle w:val="StandaardReferentiegegevensKop"/>
                    </w:pPr>
                    <w:r>
                      <w:t>Uw brief (kenmerk)</w:t>
                    </w:r>
                  </w:p>
                  <w:p w14:paraId="40358F1A" w14:textId="7908ED65" w:rsidR="00EB78E0" w:rsidRDefault="00CD2FE1">
                    <w:pPr>
                      <w:pStyle w:val="StandaardReferentiegegevens"/>
                    </w:pPr>
                    <w:r>
                      <w:fldChar w:fldCharType="begin"/>
                    </w:r>
                    <w:r>
                      <w:instrText xml:space="preserve"> DOCPROPERTY  "UwKenmerk"  \* MERGEFORMAT </w:instrText>
                    </w:r>
                    <w:r>
                      <w:fldChar w:fldCharType="end"/>
                    </w:r>
                  </w:p>
                  <w:p w14:paraId="61BFBC2C" w14:textId="77777777" w:rsidR="00064936" w:rsidRDefault="00064936">
                    <w:pPr>
                      <w:pStyle w:val="WitregelW1"/>
                    </w:pPr>
                  </w:p>
                  <w:p w14:paraId="13A2DB20" w14:textId="77777777" w:rsidR="00064936" w:rsidRDefault="00806A86">
                    <w:pPr>
                      <w:pStyle w:val="StandaardReferentiegegevensKop"/>
                    </w:pPr>
                    <w:r>
                      <w:t>Bijlagen</w:t>
                    </w:r>
                  </w:p>
                  <w:p w14:paraId="69BD06C1" w14:textId="77777777" w:rsidR="00064936" w:rsidRDefault="00DD7D75">
                    <w:pPr>
                      <w:pStyle w:val="StandaardReferentiegegevens"/>
                    </w:pPr>
                    <w:r>
                      <w:t>1</w:t>
                    </w:r>
                    <w:r w:rsidR="00806A86">
                      <w:t>. Appreciatie aanbevelingen</w:t>
                    </w:r>
                  </w:p>
                  <w:p w14:paraId="13B919CB" w14:textId="77777777" w:rsidR="00064936" w:rsidRDefault="00DD7D75">
                    <w:pPr>
                      <w:pStyle w:val="StandaardReferentiegegevens"/>
                    </w:pPr>
                    <w:r>
                      <w:t>2</w:t>
                    </w:r>
                    <w:r w:rsidR="00806A86">
                      <w:t>. ACM-onderzoek spaarmarkt</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08CE08C" wp14:editId="278F1801">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2E1A1E3D" w14:textId="77777777" w:rsidR="00064936" w:rsidRDefault="00806A86">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308CE08C"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2E1A1E3D" w14:textId="77777777" w:rsidR="00064936" w:rsidRDefault="00806A86">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7989A3B" wp14:editId="7461A84A">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10437E3F" w14:textId="13044231" w:rsidR="00EB78E0" w:rsidRDefault="00CD2FE1">
                          <w:pPr>
                            <w:pStyle w:val="Rubricering"/>
                          </w:pPr>
                          <w:r>
                            <w:fldChar w:fldCharType="begin"/>
                          </w:r>
                          <w:r>
                            <w:instrText xml:space="preserve"> DOCPROPERTY  "Rubricering"  \* MERGEFORMAT </w:instrText>
                          </w:r>
                          <w:r>
                            <w:fldChar w:fldCharType="end"/>
                          </w:r>
                        </w:p>
                        <w:p w14:paraId="084EF9A7" w14:textId="77777777" w:rsidR="00064936" w:rsidRDefault="00806A86">
                          <w:r>
                            <w:t>Voorzitter van de Tweede Kamer der Staten-Generaal</w:t>
                          </w:r>
                          <w:r>
                            <w:br/>
                          </w:r>
                          <w:r>
                            <w:br/>
                            <w:t>Postbus 20018</w:t>
                          </w:r>
                          <w:r>
                            <w:br/>
                            <w:t>2500 EA  DEN HAAG</w:t>
                          </w:r>
                          <w:r>
                            <w:br/>
                          </w:r>
                        </w:p>
                      </w:txbxContent>
                    </wps:txbx>
                    <wps:bodyPr vert="horz" wrap="square" lIns="0" tIns="0" rIns="0" bIns="0" anchor="t" anchorCtr="0"/>
                  </wps:wsp>
                </a:graphicData>
              </a:graphic>
            </wp:anchor>
          </w:drawing>
        </mc:Choice>
        <mc:Fallback>
          <w:pict>
            <v:shape w14:anchorId="37989A3B"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10437E3F" w14:textId="13044231" w:rsidR="00EB78E0" w:rsidRDefault="00CD2FE1">
                    <w:pPr>
                      <w:pStyle w:val="Rubricering"/>
                    </w:pPr>
                    <w:r>
                      <w:fldChar w:fldCharType="begin"/>
                    </w:r>
                    <w:r>
                      <w:instrText xml:space="preserve"> DOCPROPERTY  "Rubricering"  \* MERGEFORMAT </w:instrText>
                    </w:r>
                    <w:r>
                      <w:fldChar w:fldCharType="end"/>
                    </w:r>
                  </w:p>
                  <w:p w14:paraId="084EF9A7" w14:textId="77777777" w:rsidR="00064936" w:rsidRDefault="00806A86">
                    <w:r>
                      <w:t>Voorzitter van de Tweede Kamer der Staten-Generaal</w:t>
                    </w:r>
                    <w:r>
                      <w:br/>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1821D6F" wp14:editId="57B02395">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B509A97" w14:textId="77777777" w:rsidR="00EB78E0" w:rsidRDefault="00CD2FE1">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61821D6F"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2B509A97" w14:textId="77777777" w:rsidR="00EB78E0" w:rsidRDefault="00CD2FE1">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B51F96D" wp14:editId="32DA8C76">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064936" w14:paraId="0CCD9AD7" w14:textId="77777777">
                            <w:trPr>
                              <w:trHeight w:val="200"/>
                            </w:trPr>
                            <w:tc>
                              <w:tcPr>
                                <w:tcW w:w="1140" w:type="dxa"/>
                              </w:tcPr>
                              <w:p w14:paraId="2358AEE7" w14:textId="77777777" w:rsidR="00064936" w:rsidRDefault="00064936"/>
                            </w:tc>
                            <w:tc>
                              <w:tcPr>
                                <w:tcW w:w="5400" w:type="dxa"/>
                              </w:tcPr>
                              <w:p w14:paraId="1C3A8A05" w14:textId="77777777" w:rsidR="00064936" w:rsidRDefault="00064936"/>
                            </w:tc>
                          </w:tr>
                          <w:tr w:rsidR="00064936" w14:paraId="37B3ED12" w14:textId="77777777">
                            <w:trPr>
                              <w:trHeight w:val="240"/>
                            </w:trPr>
                            <w:tc>
                              <w:tcPr>
                                <w:tcW w:w="1140" w:type="dxa"/>
                              </w:tcPr>
                              <w:p w14:paraId="46B9E659" w14:textId="77777777" w:rsidR="00064936" w:rsidRDefault="00806A86">
                                <w:r>
                                  <w:t>Datum</w:t>
                                </w:r>
                              </w:p>
                            </w:tc>
                            <w:tc>
                              <w:tcPr>
                                <w:tcW w:w="5400" w:type="dxa"/>
                              </w:tcPr>
                              <w:p w14:paraId="64C6BFAB" w14:textId="71507B62" w:rsidR="00064936" w:rsidRDefault="00AA065F">
                                <w:r>
                                  <w:t>1 oktober 2024</w:t>
                                </w:r>
                              </w:p>
                            </w:tc>
                          </w:tr>
                          <w:tr w:rsidR="00064936" w14:paraId="5D2A1800" w14:textId="77777777">
                            <w:trPr>
                              <w:trHeight w:val="240"/>
                            </w:trPr>
                            <w:tc>
                              <w:tcPr>
                                <w:tcW w:w="1140" w:type="dxa"/>
                              </w:tcPr>
                              <w:p w14:paraId="0C9A9F3D" w14:textId="77777777" w:rsidR="00064936" w:rsidRDefault="00806A86">
                                <w:r>
                                  <w:t>Betreft</w:t>
                                </w:r>
                              </w:p>
                            </w:tc>
                            <w:tc>
                              <w:tcPr>
                                <w:tcW w:w="5400" w:type="dxa"/>
                              </w:tcPr>
                              <w:p w14:paraId="22DB9684" w14:textId="3BB46ABC" w:rsidR="00EB78E0" w:rsidRDefault="00CD2FE1">
                                <w:r>
                                  <w:fldChar w:fldCharType="begin"/>
                                </w:r>
                                <w:r>
                                  <w:instrText xml:space="preserve"> DOCPROPERTY  "Onderwerp"  \* MERGEFORMAT </w:instrText>
                                </w:r>
                                <w:r>
                                  <w:fldChar w:fldCharType="separate"/>
                                </w:r>
                                <w:r>
                                  <w:t>Reactie ACM-rapport concurrentie op de Nederlandse  spaarmarkt</w:t>
                                </w:r>
                                <w:r>
                                  <w:fldChar w:fldCharType="end"/>
                                </w:r>
                              </w:p>
                            </w:tc>
                          </w:tr>
                          <w:tr w:rsidR="00064936" w14:paraId="7226DD79" w14:textId="77777777">
                            <w:trPr>
                              <w:trHeight w:val="200"/>
                            </w:trPr>
                            <w:tc>
                              <w:tcPr>
                                <w:tcW w:w="1140" w:type="dxa"/>
                              </w:tcPr>
                              <w:p w14:paraId="32E78DDE" w14:textId="77777777" w:rsidR="00064936" w:rsidRDefault="00064936"/>
                            </w:tc>
                            <w:tc>
                              <w:tcPr>
                                <w:tcW w:w="4738" w:type="dxa"/>
                              </w:tcPr>
                              <w:p w14:paraId="783A5DA1" w14:textId="77777777" w:rsidR="00064936" w:rsidRDefault="00064936"/>
                            </w:tc>
                          </w:tr>
                        </w:tbl>
                        <w:p w14:paraId="580B720D" w14:textId="77777777" w:rsidR="00806A86" w:rsidRDefault="00806A86"/>
                      </w:txbxContent>
                    </wps:txbx>
                    <wps:bodyPr vert="horz" wrap="square" lIns="0" tIns="0" rIns="0" bIns="0" anchor="t" anchorCtr="0"/>
                  </wps:wsp>
                </a:graphicData>
              </a:graphic>
            </wp:anchor>
          </w:drawing>
        </mc:Choice>
        <mc:Fallback>
          <w:pict>
            <v:shape w14:anchorId="1B51F96D"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064936" w14:paraId="0CCD9AD7" w14:textId="77777777">
                      <w:trPr>
                        <w:trHeight w:val="200"/>
                      </w:trPr>
                      <w:tc>
                        <w:tcPr>
                          <w:tcW w:w="1140" w:type="dxa"/>
                        </w:tcPr>
                        <w:p w14:paraId="2358AEE7" w14:textId="77777777" w:rsidR="00064936" w:rsidRDefault="00064936"/>
                      </w:tc>
                      <w:tc>
                        <w:tcPr>
                          <w:tcW w:w="5400" w:type="dxa"/>
                        </w:tcPr>
                        <w:p w14:paraId="1C3A8A05" w14:textId="77777777" w:rsidR="00064936" w:rsidRDefault="00064936"/>
                      </w:tc>
                    </w:tr>
                    <w:tr w:rsidR="00064936" w14:paraId="37B3ED12" w14:textId="77777777">
                      <w:trPr>
                        <w:trHeight w:val="240"/>
                      </w:trPr>
                      <w:tc>
                        <w:tcPr>
                          <w:tcW w:w="1140" w:type="dxa"/>
                        </w:tcPr>
                        <w:p w14:paraId="46B9E659" w14:textId="77777777" w:rsidR="00064936" w:rsidRDefault="00806A86">
                          <w:r>
                            <w:t>Datum</w:t>
                          </w:r>
                        </w:p>
                      </w:tc>
                      <w:tc>
                        <w:tcPr>
                          <w:tcW w:w="5400" w:type="dxa"/>
                        </w:tcPr>
                        <w:p w14:paraId="64C6BFAB" w14:textId="71507B62" w:rsidR="00064936" w:rsidRDefault="00AA065F">
                          <w:r>
                            <w:t>1 oktober 2024</w:t>
                          </w:r>
                        </w:p>
                      </w:tc>
                    </w:tr>
                    <w:tr w:rsidR="00064936" w14:paraId="5D2A1800" w14:textId="77777777">
                      <w:trPr>
                        <w:trHeight w:val="240"/>
                      </w:trPr>
                      <w:tc>
                        <w:tcPr>
                          <w:tcW w:w="1140" w:type="dxa"/>
                        </w:tcPr>
                        <w:p w14:paraId="0C9A9F3D" w14:textId="77777777" w:rsidR="00064936" w:rsidRDefault="00806A86">
                          <w:r>
                            <w:t>Betreft</w:t>
                          </w:r>
                        </w:p>
                      </w:tc>
                      <w:tc>
                        <w:tcPr>
                          <w:tcW w:w="5400" w:type="dxa"/>
                        </w:tcPr>
                        <w:p w14:paraId="22DB9684" w14:textId="3BB46ABC" w:rsidR="00EB78E0" w:rsidRDefault="00CD2FE1">
                          <w:r>
                            <w:fldChar w:fldCharType="begin"/>
                          </w:r>
                          <w:r>
                            <w:instrText xml:space="preserve"> DOCPROPERTY  "Onderwerp"  \* MERGEFORMAT </w:instrText>
                          </w:r>
                          <w:r>
                            <w:fldChar w:fldCharType="separate"/>
                          </w:r>
                          <w:r>
                            <w:t>Reactie ACM-rapport concurrentie op de Nederlandse  spaarmarkt</w:t>
                          </w:r>
                          <w:r>
                            <w:fldChar w:fldCharType="end"/>
                          </w:r>
                        </w:p>
                      </w:tc>
                    </w:tr>
                    <w:tr w:rsidR="00064936" w14:paraId="7226DD79" w14:textId="77777777">
                      <w:trPr>
                        <w:trHeight w:val="200"/>
                      </w:trPr>
                      <w:tc>
                        <w:tcPr>
                          <w:tcW w:w="1140" w:type="dxa"/>
                        </w:tcPr>
                        <w:p w14:paraId="32E78DDE" w14:textId="77777777" w:rsidR="00064936" w:rsidRDefault="00064936"/>
                      </w:tc>
                      <w:tc>
                        <w:tcPr>
                          <w:tcW w:w="4738" w:type="dxa"/>
                        </w:tcPr>
                        <w:p w14:paraId="783A5DA1" w14:textId="77777777" w:rsidR="00064936" w:rsidRDefault="00064936"/>
                      </w:tc>
                    </w:tr>
                  </w:tbl>
                  <w:p w14:paraId="580B720D" w14:textId="77777777" w:rsidR="00806A86" w:rsidRDefault="00806A86"/>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54B57BF" wp14:editId="3671FBCD">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46D0E2E0" w14:textId="3617774C" w:rsidR="00EB78E0" w:rsidRDefault="00CD2FE1">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54B57BF"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46D0E2E0" w14:textId="3617774C" w:rsidR="00EB78E0" w:rsidRDefault="00CD2FE1">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DD5B0E7" wp14:editId="19F0680F">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507E0052" w14:textId="77777777" w:rsidR="00806A86" w:rsidRDefault="00806A86"/>
                      </w:txbxContent>
                    </wps:txbx>
                    <wps:bodyPr vert="horz" wrap="square" lIns="0" tIns="0" rIns="0" bIns="0" anchor="t" anchorCtr="0"/>
                  </wps:wsp>
                </a:graphicData>
              </a:graphic>
            </wp:anchor>
          </w:drawing>
        </mc:Choice>
        <mc:Fallback>
          <w:pict>
            <v:shape w14:anchorId="4DD5B0E7"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507E0052" w14:textId="77777777" w:rsidR="00806A86" w:rsidRDefault="00806A86"/>
                </w:txbxContent>
              </v:textbox>
              <w10:wrap anchorx="page" anchory="page"/>
              <w10:anchorlock/>
            </v:shape>
          </w:pict>
        </mc:Fallback>
      </mc:AlternateContent>
    </w:r>
    <w:bookmarkStart w:id="30" w:name="_MON_1789215744"/>
    <w:bookmarkEnd w:id="30"/>
    <w:r w:rsidR="00170DD1">
      <w:object w:dxaOrig="9723" w:dyaOrig="16383" w14:anchorId="36D4CE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819pt">
          <v:imagedata r:id="rId2" o:title=""/>
        </v:shape>
        <o:OLEObject Type="Embed" ProgID="Word.Document.12" ShapeID="_x0000_i1025" DrawAspect="Content" ObjectID="_1789298934" r:id="rId3">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C5AE25"/>
    <w:multiLevelType w:val="multilevel"/>
    <w:tmpl w:val="990BD7DC"/>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351F51D"/>
    <w:multiLevelType w:val="multilevel"/>
    <w:tmpl w:val="4635CBC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F6E6B381"/>
    <w:multiLevelType w:val="multilevel"/>
    <w:tmpl w:val="FD26ABC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16F56886"/>
    <w:multiLevelType w:val="multilevel"/>
    <w:tmpl w:val="7B5B9805"/>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D418EB"/>
    <w:multiLevelType w:val="hybridMultilevel"/>
    <w:tmpl w:val="54EC7AF2"/>
    <w:lvl w:ilvl="0" w:tplc="10A84D62">
      <w:start w:val="1"/>
      <w:numFmt w:val="decimal"/>
      <w:lvlText w:val="%1."/>
      <w:lvlJc w:val="left"/>
      <w:pPr>
        <w:ind w:left="1440" w:hanging="360"/>
      </w:pPr>
    </w:lvl>
    <w:lvl w:ilvl="1" w:tplc="F5E634A8">
      <w:start w:val="1"/>
      <w:numFmt w:val="decimal"/>
      <w:lvlText w:val="%2."/>
      <w:lvlJc w:val="left"/>
      <w:pPr>
        <w:ind w:left="1440" w:hanging="360"/>
      </w:pPr>
    </w:lvl>
    <w:lvl w:ilvl="2" w:tplc="8028F2AA">
      <w:start w:val="1"/>
      <w:numFmt w:val="decimal"/>
      <w:lvlText w:val="%3."/>
      <w:lvlJc w:val="left"/>
      <w:pPr>
        <w:ind w:left="1440" w:hanging="360"/>
      </w:pPr>
    </w:lvl>
    <w:lvl w:ilvl="3" w:tplc="076053A6">
      <w:start w:val="1"/>
      <w:numFmt w:val="decimal"/>
      <w:lvlText w:val="%4."/>
      <w:lvlJc w:val="left"/>
      <w:pPr>
        <w:ind w:left="1440" w:hanging="360"/>
      </w:pPr>
    </w:lvl>
    <w:lvl w:ilvl="4" w:tplc="66B49682">
      <w:start w:val="1"/>
      <w:numFmt w:val="decimal"/>
      <w:lvlText w:val="%5."/>
      <w:lvlJc w:val="left"/>
      <w:pPr>
        <w:ind w:left="1440" w:hanging="360"/>
      </w:pPr>
    </w:lvl>
    <w:lvl w:ilvl="5" w:tplc="859062EE">
      <w:start w:val="1"/>
      <w:numFmt w:val="decimal"/>
      <w:lvlText w:val="%6."/>
      <w:lvlJc w:val="left"/>
      <w:pPr>
        <w:ind w:left="1440" w:hanging="360"/>
      </w:pPr>
    </w:lvl>
    <w:lvl w:ilvl="6" w:tplc="E190FD24">
      <w:start w:val="1"/>
      <w:numFmt w:val="decimal"/>
      <w:lvlText w:val="%7."/>
      <w:lvlJc w:val="left"/>
      <w:pPr>
        <w:ind w:left="1440" w:hanging="360"/>
      </w:pPr>
    </w:lvl>
    <w:lvl w:ilvl="7" w:tplc="D60C3362">
      <w:start w:val="1"/>
      <w:numFmt w:val="decimal"/>
      <w:lvlText w:val="%8."/>
      <w:lvlJc w:val="left"/>
      <w:pPr>
        <w:ind w:left="1440" w:hanging="360"/>
      </w:pPr>
    </w:lvl>
    <w:lvl w:ilvl="8" w:tplc="98A8E68E">
      <w:start w:val="1"/>
      <w:numFmt w:val="decimal"/>
      <w:lvlText w:val="%9."/>
      <w:lvlJc w:val="left"/>
      <w:pPr>
        <w:ind w:left="1440" w:hanging="360"/>
      </w:pPr>
    </w:lvl>
  </w:abstractNum>
  <w:abstractNum w:abstractNumId="5" w15:restartNumberingAfterBreak="0">
    <w:nsid w:val="3C73E9EF"/>
    <w:multiLevelType w:val="multilevel"/>
    <w:tmpl w:val="FDE03539"/>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484CF9"/>
    <w:multiLevelType w:val="multilevel"/>
    <w:tmpl w:val="C8F0E7E0"/>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62463602">
    <w:abstractNumId w:val="0"/>
  </w:num>
  <w:num w:numId="2" w16cid:durableId="805901215">
    <w:abstractNumId w:val="3"/>
  </w:num>
  <w:num w:numId="3" w16cid:durableId="1431662404">
    <w:abstractNumId w:val="2"/>
  </w:num>
  <w:num w:numId="4" w16cid:durableId="1772123125">
    <w:abstractNumId w:val="1"/>
  </w:num>
  <w:num w:numId="5" w16cid:durableId="2051955719">
    <w:abstractNumId w:val="6"/>
  </w:num>
  <w:num w:numId="6" w16cid:durableId="1703628709">
    <w:abstractNumId w:val="5"/>
  </w:num>
  <w:num w:numId="7" w16cid:durableId="12026667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936"/>
    <w:rsid w:val="00000E99"/>
    <w:rsid w:val="00001C73"/>
    <w:rsid w:val="0000469D"/>
    <w:rsid w:val="00005554"/>
    <w:rsid w:val="00010289"/>
    <w:rsid w:val="00025909"/>
    <w:rsid w:val="00033C45"/>
    <w:rsid w:val="00040FCC"/>
    <w:rsid w:val="00056F9D"/>
    <w:rsid w:val="0006137D"/>
    <w:rsid w:val="00064936"/>
    <w:rsid w:val="0007294B"/>
    <w:rsid w:val="00074803"/>
    <w:rsid w:val="000770BB"/>
    <w:rsid w:val="00081E60"/>
    <w:rsid w:val="00085FAD"/>
    <w:rsid w:val="000924F7"/>
    <w:rsid w:val="00095A23"/>
    <w:rsid w:val="000E0247"/>
    <w:rsid w:val="000E148F"/>
    <w:rsid w:val="0011366D"/>
    <w:rsid w:val="00120D5D"/>
    <w:rsid w:val="0012158C"/>
    <w:rsid w:val="00125730"/>
    <w:rsid w:val="00132020"/>
    <w:rsid w:val="001324F5"/>
    <w:rsid w:val="00134762"/>
    <w:rsid w:val="00162386"/>
    <w:rsid w:val="001648CD"/>
    <w:rsid w:val="00170DD1"/>
    <w:rsid w:val="0017540A"/>
    <w:rsid w:val="00184F92"/>
    <w:rsid w:val="001936F5"/>
    <w:rsid w:val="001A35BD"/>
    <w:rsid w:val="001B4FA1"/>
    <w:rsid w:val="001B502F"/>
    <w:rsid w:val="001B68C8"/>
    <w:rsid w:val="001C4FF4"/>
    <w:rsid w:val="001D1484"/>
    <w:rsid w:val="001D244B"/>
    <w:rsid w:val="001E5EA5"/>
    <w:rsid w:val="001F43FA"/>
    <w:rsid w:val="00203CD4"/>
    <w:rsid w:val="00205271"/>
    <w:rsid w:val="00205335"/>
    <w:rsid w:val="0020675E"/>
    <w:rsid w:val="00207081"/>
    <w:rsid w:val="00207A9A"/>
    <w:rsid w:val="00214CCF"/>
    <w:rsid w:val="00221074"/>
    <w:rsid w:val="0022180F"/>
    <w:rsid w:val="00250B09"/>
    <w:rsid w:val="002518AC"/>
    <w:rsid w:val="002520B0"/>
    <w:rsid w:val="00273FA5"/>
    <w:rsid w:val="002759B9"/>
    <w:rsid w:val="00287EE9"/>
    <w:rsid w:val="0029399B"/>
    <w:rsid w:val="002A2721"/>
    <w:rsid w:val="002A397A"/>
    <w:rsid w:val="002B5EB5"/>
    <w:rsid w:val="002C2520"/>
    <w:rsid w:val="002C68B0"/>
    <w:rsid w:val="002C6CB2"/>
    <w:rsid w:val="002F5B8F"/>
    <w:rsid w:val="0030614C"/>
    <w:rsid w:val="00307889"/>
    <w:rsid w:val="003127F1"/>
    <w:rsid w:val="003232D3"/>
    <w:rsid w:val="003353A1"/>
    <w:rsid w:val="0034517C"/>
    <w:rsid w:val="003526E8"/>
    <w:rsid w:val="003558A7"/>
    <w:rsid w:val="00355FC7"/>
    <w:rsid w:val="00375848"/>
    <w:rsid w:val="00382A92"/>
    <w:rsid w:val="00395FBA"/>
    <w:rsid w:val="003A4950"/>
    <w:rsid w:val="003C5638"/>
    <w:rsid w:val="003C63F1"/>
    <w:rsid w:val="003D1622"/>
    <w:rsid w:val="003D6CEA"/>
    <w:rsid w:val="003E4AC9"/>
    <w:rsid w:val="003F0B3F"/>
    <w:rsid w:val="003F6C39"/>
    <w:rsid w:val="004024C0"/>
    <w:rsid w:val="004025D2"/>
    <w:rsid w:val="00410D1A"/>
    <w:rsid w:val="0041447A"/>
    <w:rsid w:val="00417143"/>
    <w:rsid w:val="00427E53"/>
    <w:rsid w:val="00442C33"/>
    <w:rsid w:val="00481CBD"/>
    <w:rsid w:val="00484D14"/>
    <w:rsid w:val="00485BDB"/>
    <w:rsid w:val="004A07BC"/>
    <w:rsid w:val="004C1B73"/>
    <w:rsid w:val="004C3C6A"/>
    <w:rsid w:val="004F1BBD"/>
    <w:rsid w:val="004F1DFF"/>
    <w:rsid w:val="004F7EA4"/>
    <w:rsid w:val="00506AEB"/>
    <w:rsid w:val="0050791B"/>
    <w:rsid w:val="0051068B"/>
    <w:rsid w:val="00513E22"/>
    <w:rsid w:val="00520B61"/>
    <w:rsid w:val="005233AF"/>
    <w:rsid w:val="00523FED"/>
    <w:rsid w:val="0052452D"/>
    <w:rsid w:val="00536522"/>
    <w:rsid w:val="00542092"/>
    <w:rsid w:val="00572C49"/>
    <w:rsid w:val="0058055D"/>
    <w:rsid w:val="00583C36"/>
    <w:rsid w:val="005907EC"/>
    <w:rsid w:val="00594ED4"/>
    <w:rsid w:val="005A0B99"/>
    <w:rsid w:val="005B30A2"/>
    <w:rsid w:val="005B3283"/>
    <w:rsid w:val="005B3A00"/>
    <w:rsid w:val="005D07D6"/>
    <w:rsid w:val="005D663E"/>
    <w:rsid w:val="005D7758"/>
    <w:rsid w:val="00600C2E"/>
    <w:rsid w:val="00610255"/>
    <w:rsid w:val="00610F0A"/>
    <w:rsid w:val="00623E95"/>
    <w:rsid w:val="006344A4"/>
    <w:rsid w:val="0063710C"/>
    <w:rsid w:val="006429CD"/>
    <w:rsid w:val="006460BE"/>
    <w:rsid w:val="00666D66"/>
    <w:rsid w:val="00683D98"/>
    <w:rsid w:val="006938AF"/>
    <w:rsid w:val="006A39D6"/>
    <w:rsid w:val="006B69FA"/>
    <w:rsid w:val="006C2C72"/>
    <w:rsid w:val="006C7DF7"/>
    <w:rsid w:val="006D62CC"/>
    <w:rsid w:val="006E4289"/>
    <w:rsid w:val="006E7477"/>
    <w:rsid w:val="00720D65"/>
    <w:rsid w:val="00736BDE"/>
    <w:rsid w:val="007441E2"/>
    <w:rsid w:val="00776384"/>
    <w:rsid w:val="00782C08"/>
    <w:rsid w:val="007A0EB1"/>
    <w:rsid w:val="007A41C4"/>
    <w:rsid w:val="007C7816"/>
    <w:rsid w:val="007F500B"/>
    <w:rsid w:val="00806A86"/>
    <w:rsid w:val="00810079"/>
    <w:rsid w:val="00821FCE"/>
    <w:rsid w:val="008347A8"/>
    <w:rsid w:val="00836A74"/>
    <w:rsid w:val="00837466"/>
    <w:rsid w:val="00846D86"/>
    <w:rsid w:val="00847E2E"/>
    <w:rsid w:val="008554DB"/>
    <w:rsid w:val="0087432D"/>
    <w:rsid w:val="008926CA"/>
    <w:rsid w:val="00893294"/>
    <w:rsid w:val="00893800"/>
    <w:rsid w:val="008A7294"/>
    <w:rsid w:val="008B4587"/>
    <w:rsid w:val="008B5958"/>
    <w:rsid w:val="008C64A9"/>
    <w:rsid w:val="008D4BD7"/>
    <w:rsid w:val="008D58D8"/>
    <w:rsid w:val="008E6276"/>
    <w:rsid w:val="008E7B90"/>
    <w:rsid w:val="008F1A7E"/>
    <w:rsid w:val="0090334A"/>
    <w:rsid w:val="00935ECE"/>
    <w:rsid w:val="00941D57"/>
    <w:rsid w:val="00943F48"/>
    <w:rsid w:val="009457DC"/>
    <w:rsid w:val="00946B68"/>
    <w:rsid w:val="009724F9"/>
    <w:rsid w:val="009A7283"/>
    <w:rsid w:val="009B4F39"/>
    <w:rsid w:val="009B5552"/>
    <w:rsid w:val="009D515D"/>
    <w:rsid w:val="009E1E05"/>
    <w:rsid w:val="009E7EC4"/>
    <w:rsid w:val="009F5571"/>
    <w:rsid w:val="00A33276"/>
    <w:rsid w:val="00A51F96"/>
    <w:rsid w:val="00A53E4D"/>
    <w:rsid w:val="00A75030"/>
    <w:rsid w:val="00A812E1"/>
    <w:rsid w:val="00AA065F"/>
    <w:rsid w:val="00AB2CFC"/>
    <w:rsid w:val="00AC7A9F"/>
    <w:rsid w:val="00AD4E15"/>
    <w:rsid w:val="00AD746F"/>
    <w:rsid w:val="00B0003C"/>
    <w:rsid w:val="00B06E37"/>
    <w:rsid w:val="00B13C33"/>
    <w:rsid w:val="00B168A0"/>
    <w:rsid w:val="00B178F6"/>
    <w:rsid w:val="00B212DB"/>
    <w:rsid w:val="00B2609E"/>
    <w:rsid w:val="00B45D7E"/>
    <w:rsid w:val="00B5573C"/>
    <w:rsid w:val="00B727CB"/>
    <w:rsid w:val="00BB76BE"/>
    <w:rsid w:val="00BC222F"/>
    <w:rsid w:val="00BD6B08"/>
    <w:rsid w:val="00BF1678"/>
    <w:rsid w:val="00C01AA6"/>
    <w:rsid w:val="00C25AC5"/>
    <w:rsid w:val="00C2606F"/>
    <w:rsid w:val="00C531DD"/>
    <w:rsid w:val="00C57534"/>
    <w:rsid w:val="00C83CB7"/>
    <w:rsid w:val="00C85093"/>
    <w:rsid w:val="00CB05B1"/>
    <w:rsid w:val="00CB76B9"/>
    <w:rsid w:val="00CC14ED"/>
    <w:rsid w:val="00CC2268"/>
    <w:rsid w:val="00CD2FE1"/>
    <w:rsid w:val="00CF7BF6"/>
    <w:rsid w:val="00D02E2E"/>
    <w:rsid w:val="00D04618"/>
    <w:rsid w:val="00D05F31"/>
    <w:rsid w:val="00D17D91"/>
    <w:rsid w:val="00D21CBE"/>
    <w:rsid w:val="00D22B86"/>
    <w:rsid w:val="00D31102"/>
    <w:rsid w:val="00D33EA6"/>
    <w:rsid w:val="00D43D5E"/>
    <w:rsid w:val="00D43DA1"/>
    <w:rsid w:val="00D44C7B"/>
    <w:rsid w:val="00D7778E"/>
    <w:rsid w:val="00D82794"/>
    <w:rsid w:val="00D91445"/>
    <w:rsid w:val="00D91E10"/>
    <w:rsid w:val="00D94AA9"/>
    <w:rsid w:val="00DA4ED5"/>
    <w:rsid w:val="00DA58C2"/>
    <w:rsid w:val="00DB3D71"/>
    <w:rsid w:val="00DB53FD"/>
    <w:rsid w:val="00DD7D75"/>
    <w:rsid w:val="00DF32F7"/>
    <w:rsid w:val="00DF4418"/>
    <w:rsid w:val="00E15213"/>
    <w:rsid w:val="00E21F9A"/>
    <w:rsid w:val="00E26820"/>
    <w:rsid w:val="00E41349"/>
    <w:rsid w:val="00E43151"/>
    <w:rsid w:val="00E464CC"/>
    <w:rsid w:val="00E54007"/>
    <w:rsid w:val="00E67681"/>
    <w:rsid w:val="00EA0B0A"/>
    <w:rsid w:val="00EB78E0"/>
    <w:rsid w:val="00ED4571"/>
    <w:rsid w:val="00EE63BD"/>
    <w:rsid w:val="00EE6924"/>
    <w:rsid w:val="00F03EE9"/>
    <w:rsid w:val="00F05180"/>
    <w:rsid w:val="00F205A0"/>
    <w:rsid w:val="00F25D5F"/>
    <w:rsid w:val="00F273D9"/>
    <w:rsid w:val="00F3576A"/>
    <w:rsid w:val="00F557E3"/>
    <w:rsid w:val="00F6431E"/>
    <w:rsid w:val="00F91538"/>
    <w:rsid w:val="00FB2030"/>
    <w:rsid w:val="00FC6F02"/>
    <w:rsid w:val="00FD4B2B"/>
    <w:rsid w:val="00FE7A79"/>
    <w:rsid w:val="00FE7AE9"/>
    <w:rsid w:val="00FF7270"/>
    <w:rsid w:val="557CDE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1F2B1"/>
  <w15:docId w15:val="{880E266A-2D60-4312-A766-2AB976DEE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806A8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06A86"/>
    <w:rPr>
      <w:rFonts w:ascii="Verdana" w:hAnsi="Verdana"/>
      <w:color w:val="000000"/>
      <w:sz w:val="18"/>
      <w:szCs w:val="18"/>
    </w:rPr>
  </w:style>
  <w:style w:type="paragraph" w:styleId="Voettekst">
    <w:name w:val="footer"/>
    <w:basedOn w:val="Standaard"/>
    <w:link w:val="VoettekstChar"/>
    <w:uiPriority w:val="99"/>
    <w:unhideWhenUsed/>
    <w:rsid w:val="00806A8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06A86"/>
    <w:rPr>
      <w:rFonts w:ascii="Verdana" w:hAnsi="Verdana"/>
      <w:color w:val="000000"/>
      <w:sz w:val="18"/>
      <w:szCs w:val="18"/>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Char,Footnote text"/>
    <w:basedOn w:val="Standaard"/>
    <w:link w:val="VoetnoottekstChar"/>
    <w:uiPriority w:val="99"/>
    <w:unhideWhenUsed/>
    <w:qFormat/>
    <w:rsid w:val="00806A86"/>
    <w:pPr>
      <w:spacing w:line="240" w:lineRule="auto"/>
    </w:pPr>
    <w:rPr>
      <w:sz w:val="20"/>
      <w:szCs w:val="20"/>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806A86"/>
    <w:rPr>
      <w:rFonts w:ascii="Verdana" w:hAnsi="Verdana"/>
      <w:color w:val="000000"/>
    </w:rPr>
  </w:style>
  <w:style w:type="character" w:styleId="Voetnootmarkering">
    <w:name w:val="footnote reference"/>
    <w:aliases w:val="Footnote symbol,Footnote,E Fußnotenzeichen,Footnote reference number,note TESI,Footnote Reference Superscript,BVI fnr,Odwołanie przypisu,Footnote Reference_LVL6,Footnote Reference_LVL61,Footnote Reference_LVL62,SUPERS,Times 10 Point,FR"/>
    <w:basedOn w:val="Standaardalinea-lettertype"/>
    <w:link w:val="FootnotesymbolCarZchn"/>
    <w:uiPriority w:val="99"/>
    <w:unhideWhenUsed/>
    <w:qFormat/>
    <w:rsid w:val="00806A86"/>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Standaard"/>
    <w:link w:val="Voetnootmarkering"/>
    <w:uiPriority w:val="99"/>
    <w:rsid w:val="00806A86"/>
    <w:pPr>
      <w:autoSpaceDN/>
      <w:spacing w:after="160" w:line="240" w:lineRule="exact"/>
      <w:jc w:val="both"/>
      <w:textAlignment w:val="auto"/>
    </w:pPr>
    <w:rPr>
      <w:rFonts w:ascii="Times New Roman" w:hAnsi="Times New Roman"/>
      <w:color w:val="auto"/>
      <w:sz w:val="20"/>
      <w:szCs w:val="20"/>
      <w:vertAlign w:val="superscript"/>
    </w:rPr>
  </w:style>
  <w:style w:type="paragraph" w:styleId="Revisie">
    <w:name w:val="Revision"/>
    <w:hidden/>
    <w:uiPriority w:val="99"/>
    <w:semiHidden/>
    <w:rsid w:val="0020675E"/>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20675E"/>
    <w:rPr>
      <w:sz w:val="16"/>
      <w:szCs w:val="16"/>
    </w:rPr>
  </w:style>
  <w:style w:type="paragraph" w:styleId="Tekstopmerking">
    <w:name w:val="annotation text"/>
    <w:basedOn w:val="Standaard"/>
    <w:link w:val="TekstopmerkingChar"/>
    <w:uiPriority w:val="99"/>
    <w:unhideWhenUsed/>
    <w:rsid w:val="0020675E"/>
    <w:pPr>
      <w:spacing w:line="240" w:lineRule="auto"/>
    </w:pPr>
    <w:rPr>
      <w:sz w:val="20"/>
      <w:szCs w:val="20"/>
    </w:rPr>
  </w:style>
  <w:style w:type="character" w:customStyle="1" w:styleId="TekstopmerkingChar">
    <w:name w:val="Tekst opmerking Char"/>
    <w:basedOn w:val="Standaardalinea-lettertype"/>
    <w:link w:val="Tekstopmerking"/>
    <w:uiPriority w:val="99"/>
    <w:rsid w:val="0020675E"/>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20675E"/>
    <w:rPr>
      <w:b/>
      <w:bCs/>
    </w:rPr>
  </w:style>
  <w:style w:type="character" w:customStyle="1" w:styleId="OnderwerpvanopmerkingChar">
    <w:name w:val="Onderwerp van opmerking Char"/>
    <w:basedOn w:val="TekstopmerkingChar"/>
    <w:link w:val="Onderwerpvanopmerking"/>
    <w:uiPriority w:val="99"/>
    <w:semiHidden/>
    <w:rsid w:val="0020675E"/>
    <w:rPr>
      <w:rFonts w:ascii="Verdana" w:hAnsi="Verdana"/>
      <w:b/>
      <w:bCs/>
      <w:color w:val="000000"/>
    </w:rPr>
  </w:style>
  <w:style w:type="character" w:styleId="GevolgdeHyperlink">
    <w:name w:val="FollowedHyperlink"/>
    <w:basedOn w:val="Standaardalinea-lettertype"/>
    <w:uiPriority w:val="99"/>
    <w:semiHidden/>
    <w:unhideWhenUsed/>
    <w:rsid w:val="00025909"/>
    <w:rPr>
      <w:color w:val="954F72" w:themeColor="followedHyperlink"/>
      <w:u w:val="single"/>
    </w:rPr>
  </w:style>
  <w:style w:type="character" w:styleId="Zwaar">
    <w:name w:val="Strong"/>
    <w:basedOn w:val="Standaardalinea-lettertype"/>
    <w:uiPriority w:val="22"/>
    <w:qFormat/>
    <w:rsid w:val="00C85093"/>
    <w:rPr>
      <w:b/>
      <w:bCs/>
    </w:rPr>
  </w:style>
  <w:style w:type="paragraph" w:styleId="Normaalweb">
    <w:name w:val="Normal (Web)"/>
    <w:basedOn w:val="Standaard"/>
    <w:uiPriority w:val="99"/>
    <w:semiHidden/>
    <w:unhideWhenUsed/>
    <w:rsid w:val="00893294"/>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01080">
      <w:bodyDiv w:val="1"/>
      <w:marLeft w:val="0"/>
      <w:marRight w:val="0"/>
      <w:marTop w:val="0"/>
      <w:marBottom w:val="0"/>
      <w:divBdr>
        <w:top w:val="none" w:sz="0" w:space="0" w:color="auto"/>
        <w:left w:val="none" w:sz="0" w:space="0" w:color="auto"/>
        <w:bottom w:val="none" w:sz="0" w:space="0" w:color="auto"/>
        <w:right w:val="none" w:sz="0" w:space="0" w:color="auto"/>
      </w:divBdr>
    </w:div>
    <w:div w:id="300889152">
      <w:bodyDiv w:val="1"/>
      <w:marLeft w:val="0"/>
      <w:marRight w:val="0"/>
      <w:marTop w:val="0"/>
      <w:marBottom w:val="0"/>
      <w:divBdr>
        <w:top w:val="none" w:sz="0" w:space="0" w:color="auto"/>
        <w:left w:val="none" w:sz="0" w:space="0" w:color="auto"/>
        <w:bottom w:val="none" w:sz="0" w:space="0" w:color="auto"/>
        <w:right w:val="none" w:sz="0" w:space="0" w:color="auto"/>
      </w:divBdr>
    </w:div>
    <w:div w:id="954681090">
      <w:bodyDiv w:val="1"/>
      <w:marLeft w:val="0"/>
      <w:marRight w:val="0"/>
      <w:marTop w:val="0"/>
      <w:marBottom w:val="0"/>
      <w:divBdr>
        <w:top w:val="none" w:sz="0" w:space="0" w:color="auto"/>
        <w:left w:val="none" w:sz="0" w:space="0" w:color="auto"/>
        <w:bottom w:val="none" w:sz="0" w:space="0" w:color="auto"/>
        <w:right w:val="none" w:sz="0" w:space="0" w:color="auto"/>
      </w:divBdr>
      <w:divsChild>
        <w:div w:id="1073284208">
          <w:marLeft w:val="0"/>
          <w:marRight w:val="0"/>
          <w:marTop w:val="0"/>
          <w:marBottom w:val="0"/>
          <w:divBdr>
            <w:top w:val="none" w:sz="0" w:space="0" w:color="auto"/>
            <w:left w:val="none" w:sz="0" w:space="0" w:color="auto"/>
            <w:bottom w:val="none" w:sz="0" w:space="0" w:color="auto"/>
            <w:right w:val="none" w:sz="0" w:space="0" w:color="auto"/>
          </w:divBdr>
          <w:divsChild>
            <w:div w:id="147748634">
              <w:marLeft w:val="0"/>
              <w:marRight w:val="0"/>
              <w:marTop w:val="0"/>
              <w:marBottom w:val="0"/>
              <w:divBdr>
                <w:top w:val="none" w:sz="0" w:space="0" w:color="auto"/>
                <w:left w:val="none" w:sz="0" w:space="0" w:color="auto"/>
                <w:bottom w:val="none" w:sz="0" w:space="0" w:color="auto"/>
                <w:right w:val="none" w:sz="0" w:space="0" w:color="auto"/>
              </w:divBdr>
              <w:divsChild>
                <w:div w:id="928080553">
                  <w:marLeft w:val="0"/>
                  <w:marRight w:val="0"/>
                  <w:marTop w:val="0"/>
                  <w:marBottom w:val="0"/>
                  <w:divBdr>
                    <w:top w:val="none" w:sz="0" w:space="0" w:color="auto"/>
                    <w:left w:val="none" w:sz="0" w:space="0" w:color="auto"/>
                    <w:bottom w:val="none" w:sz="0" w:space="0" w:color="auto"/>
                    <w:right w:val="none" w:sz="0" w:space="0" w:color="auto"/>
                  </w:divBdr>
                  <w:divsChild>
                    <w:div w:id="724524554">
                      <w:marLeft w:val="0"/>
                      <w:marRight w:val="0"/>
                      <w:marTop w:val="0"/>
                      <w:marBottom w:val="0"/>
                      <w:divBdr>
                        <w:top w:val="none" w:sz="0" w:space="0" w:color="auto"/>
                        <w:left w:val="none" w:sz="0" w:space="0" w:color="auto"/>
                        <w:bottom w:val="none" w:sz="0" w:space="0" w:color="auto"/>
                        <w:right w:val="none" w:sz="0" w:space="0" w:color="auto"/>
                      </w:divBdr>
                      <w:divsChild>
                        <w:div w:id="242687676">
                          <w:marLeft w:val="0"/>
                          <w:marRight w:val="0"/>
                          <w:marTop w:val="0"/>
                          <w:marBottom w:val="0"/>
                          <w:divBdr>
                            <w:top w:val="none" w:sz="0" w:space="0" w:color="auto"/>
                            <w:left w:val="none" w:sz="0" w:space="0" w:color="auto"/>
                            <w:bottom w:val="none" w:sz="0" w:space="0" w:color="auto"/>
                            <w:right w:val="none" w:sz="0" w:space="0" w:color="auto"/>
                          </w:divBdr>
                          <w:divsChild>
                            <w:div w:id="1961296039">
                              <w:marLeft w:val="0"/>
                              <w:marRight w:val="0"/>
                              <w:marTop w:val="0"/>
                              <w:marBottom w:val="0"/>
                              <w:divBdr>
                                <w:top w:val="none" w:sz="0" w:space="0" w:color="auto"/>
                                <w:left w:val="none" w:sz="0" w:space="0" w:color="auto"/>
                                <w:bottom w:val="single" w:sz="6" w:space="0" w:color="BEBEBE"/>
                                <w:right w:val="none" w:sz="0" w:space="0" w:color="auto"/>
                              </w:divBdr>
                              <w:divsChild>
                                <w:div w:id="213467917">
                                  <w:marLeft w:val="0"/>
                                  <w:marRight w:val="0"/>
                                  <w:marTop w:val="0"/>
                                  <w:marBottom w:val="0"/>
                                  <w:divBdr>
                                    <w:top w:val="none" w:sz="0" w:space="0" w:color="auto"/>
                                    <w:left w:val="none" w:sz="0" w:space="0" w:color="auto"/>
                                    <w:bottom w:val="none" w:sz="0" w:space="0" w:color="auto"/>
                                    <w:right w:val="none" w:sz="0" w:space="0" w:color="auto"/>
                                  </w:divBdr>
                                  <w:divsChild>
                                    <w:div w:id="1091853849">
                                      <w:marLeft w:val="0"/>
                                      <w:marRight w:val="0"/>
                                      <w:marTop w:val="0"/>
                                      <w:marBottom w:val="0"/>
                                      <w:divBdr>
                                        <w:top w:val="none" w:sz="0" w:space="0" w:color="auto"/>
                                        <w:left w:val="none" w:sz="0" w:space="0" w:color="auto"/>
                                        <w:bottom w:val="none" w:sz="0" w:space="0" w:color="auto"/>
                                        <w:right w:val="none" w:sz="0" w:space="0" w:color="auto"/>
                                      </w:divBdr>
                                      <w:divsChild>
                                        <w:div w:id="1737708061">
                                          <w:marLeft w:val="0"/>
                                          <w:marRight w:val="0"/>
                                          <w:marTop w:val="0"/>
                                          <w:marBottom w:val="0"/>
                                          <w:divBdr>
                                            <w:top w:val="none" w:sz="0" w:space="0" w:color="auto"/>
                                            <w:left w:val="none" w:sz="0" w:space="0" w:color="auto"/>
                                            <w:bottom w:val="none" w:sz="0" w:space="0" w:color="auto"/>
                                            <w:right w:val="none" w:sz="0" w:space="0" w:color="auto"/>
                                          </w:divBdr>
                                          <w:divsChild>
                                            <w:div w:id="7956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8306">
                                  <w:marLeft w:val="0"/>
                                  <w:marRight w:val="0"/>
                                  <w:marTop w:val="0"/>
                                  <w:marBottom w:val="0"/>
                                  <w:divBdr>
                                    <w:top w:val="none" w:sz="0" w:space="0" w:color="auto"/>
                                    <w:left w:val="none" w:sz="0" w:space="0" w:color="auto"/>
                                    <w:bottom w:val="none" w:sz="0" w:space="0" w:color="auto"/>
                                    <w:right w:val="none" w:sz="0" w:space="0" w:color="auto"/>
                                  </w:divBdr>
                                  <w:divsChild>
                                    <w:div w:id="2050106773">
                                      <w:marLeft w:val="0"/>
                                      <w:marRight w:val="0"/>
                                      <w:marTop w:val="0"/>
                                      <w:marBottom w:val="0"/>
                                      <w:divBdr>
                                        <w:top w:val="none" w:sz="0" w:space="0" w:color="auto"/>
                                        <w:left w:val="none" w:sz="0" w:space="0" w:color="auto"/>
                                        <w:bottom w:val="none" w:sz="0" w:space="0" w:color="auto"/>
                                        <w:right w:val="none" w:sz="0" w:space="0" w:color="auto"/>
                                      </w:divBdr>
                                      <w:divsChild>
                                        <w:div w:id="1777484861">
                                          <w:marLeft w:val="0"/>
                                          <w:marRight w:val="0"/>
                                          <w:marTop w:val="0"/>
                                          <w:marBottom w:val="0"/>
                                          <w:divBdr>
                                            <w:top w:val="none" w:sz="0" w:space="0" w:color="auto"/>
                                            <w:left w:val="none" w:sz="0" w:space="0" w:color="auto"/>
                                            <w:bottom w:val="none" w:sz="0" w:space="0" w:color="auto"/>
                                            <w:right w:val="none" w:sz="0" w:space="0" w:color="auto"/>
                                          </w:divBdr>
                                          <w:divsChild>
                                            <w:div w:id="199321550">
                                              <w:marLeft w:val="0"/>
                                              <w:marRight w:val="0"/>
                                              <w:marTop w:val="0"/>
                                              <w:marBottom w:val="0"/>
                                              <w:divBdr>
                                                <w:top w:val="none" w:sz="0" w:space="0" w:color="auto"/>
                                                <w:left w:val="none" w:sz="0" w:space="0" w:color="auto"/>
                                                <w:bottom w:val="none" w:sz="0" w:space="0" w:color="auto"/>
                                                <w:right w:val="none" w:sz="0" w:space="0" w:color="auto"/>
                                              </w:divBdr>
                                              <w:divsChild>
                                                <w:div w:id="1582716214">
                                                  <w:marLeft w:val="0"/>
                                                  <w:marRight w:val="0"/>
                                                  <w:marTop w:val="0"/>
                                                  <w:marBottom w:val="0"/>
                                                  <w:divBdr>
                                                    <w:top w:val="none" w:sz="0" w:space="0" w:color="auto"/>
                                                    <w:left w:val="none" w:sz="0" w:space="0" w:color="auto"/>
                                                    <w:bottom w:val="none" w:sz="0" w:space="0" w:color="auto"/>
                                                    <w:right w:val="none" w:sz="0" w:space="0" w:color="auto"/>
                                                  </w:divBdr>
                                                  <w:divsChild>
                                                    <w:div w:id="177717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232767">
      <w:bodyDiv w:val="1"/>
      <w:marLeft w:val="0"/>
      <w:marRight w:val="0"/>
      <w:marTop w:val="0"/>
      <w:marBottom w:val="0"/>
      <w:divBdr>
        <w:top w:val="none" w:sz="0" w:space="0" w:color="auto"/>
        <w:left w:val="none" w:sz="0" w:space="0" w:color="auto"/>
        <w:bottom w:val="none" w:sz="0" w:space="0" w:color="auto"/>
        <w:right w:val="none" w:sz="0" w:space="0" w:color="auto"/>
      </w:divBdr>
    </w:div>
    <w:div w:id="1291086013">
      <w:bodyDiv w:val="1"/>
      <w:marLeft w:val="0"/>
      <w:marRight w:val="0"/>
      <w:marTop w:val="0"/>
      <w:marBottom w:val="0"/>
      <w:divBdr>
        <w:top w:val="none" w:sz="0" w:space="0" w:color="auto"/>
        <w:left w:val="none" w:sz="0" w:space="0" w:color="auto"/>
        <w:bottom w:val="none" w:sz="0" w:space="0" w:color="auto"/>
        <w:right w:val="none" w:sz="0" w:space="0" w:color="auto"/>
      </w:divBdr>
      <w:divsChild>
        <w:div w:id="277378899">
          <w:marLeft w:val="0"/>
          <w:marRight w:val="0"/>
          <w:marTop w:val="0"/>
          <w:marBottom w:val="0"/>
          <w:divBdr>
            <w:top w:val="none" w:sz="0" w:space="0" w:color="auto"/>
            <w:left w:val="none" w:sz="0" w:space="0" w:color="auto"/>
            <w:bottom w:val="none" w:sz="0" w:space="0" w:color="auto"/>
            <w:right w:val="none" w:sz="0" w:space="0" w:color="auto"/>
          </w:divBdr>
        </w:div>
      </w:divsChild>
    </w:div>
    <w:div w:id="1341006794">
      <w:bodyDiv w:val="1"/>
      <w:marLeft w:val="0"/>
      <w:marRight w:val="0"/>
      <w:marTop w:val="0"/>
      <w:marBottom w:val="0"/>
      <w:divBdr>
        <w:top w:val="none" w:sz="0" w:space="0" w:color="auto"/>
        <w:left w:val="none" w:sz="0" w:space="0" w:color="auto"/>
        <w:bottom w:val="none" w:sz="0" w:space="0" w:color="auto"/>
        <w:right w:val="none" w:sz="0" w:space="0" w:color="auto"/>
      </w:divBdr>
      <w:divsChild>
        <w:div w:id="1366716386">
          <w:marLeft w:val="0"/>
          <w:marRight w:val="0"/>
          <w:marTop w:val="0"/>
          <w:marBottom w:val="0"/>
          <w:divBdr>
            <w:top w:val="none" w:sz="0" w:space="0" w:color="auto"/>
            <w:left w:val="none" w:sz="0" w:space="0" w:color="auto"/>
            <w:bottom w:val="none" w:sz="0" w:space="0" w:color="auto"/>
            <w:right w:val="none" w:sz="0" w:space="0" w:color="auto"/>
          </w:divBdr>
          <w:divsChild>
            <w:div w:id="1743791636">
              <w:marLeft w:val="0"/>
              <w:marRight w:val="0"/>
              <w:marTop w:val="0"/>
              <w:marBottom w:val="0"/>
              <w:divBdr>
                <w:top w:val="none" w:sz="0" w:space="0" w:color="auto"/>
                <w:left w:val="none" w:sz="0" w:space="0" w:color="auto"/>
                <w:bottom w:val="none" w:sz="0" w:space="0" w:color="auto"/>
                <w:right w:val="none" w:sz="0" w:space="0" w:color="auto"/>
              </w:divBdr>
              <w:divsChild>
                <w:div w:id="1786537490">
                  <w:marLeft w:val="0"/>
                  <w:marRight w:val="0"/>
                  <w:marTop w:val="0"/>
                  <w:marBottom w:val="0"/>
                  <w:divBdr>
                    <w:top w:val="none" w:sz="0" w:space="0" w:color="auto"/>
                    <w:left w:val="none" w:sz="0" w:space="0" w:color="auto"/>
                    <w:bottom w:val="none" w:sz="0" w:space="0" w:color="auto"/>
                    <w:right w:val="none" w:sz="0" w:space="0" w:color="auto"/>
                  </w:divBdr>
                  <w:divsChild>
                    <w:div w:id="10212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633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22" Type="http://schemas.openxmlformats.org/officeDocument/2006/relationships/webSetting" Target="webSettings0.xml"/></Relationships>
</file>

<file path=word/_rels/footnotes.xml.rels><?xml version="1.0" encoding="UTF-8" standalone="yes"?>
<Relationships xmlns="http://schemas.openxmlformats.org/package/2006/relationships"><Relationship Id="rId3" Type="http://schemas.openxmlformats.org/officeDocument/2006/relationships/hyperlink" Target="https://data.ecb.europa.eu/search-results?searchTerm=BSI.Q.U5.N.A.L20.A.1.NL.2250.Z01.E" TargetMode="External"/><Relationship Id="rId2" Type="http://schemas.openxmlformats.org/officeDocument/2006/relationships/hyperlink" Target="https://www.spaarinformatie.nl/sparen/banken" TargetMode="External"/><Relationship Id="rId1" Type="http://schemas.openxmlformats.org/officeDocument/2006/relationships/hyperlink" Target="https://www.acm.nl/nl/publicaties/blog-paul-de-bijl-misverstanden-stilzwijgende-afstemming" TargetMode="External"/><Relationship Id="rId5" Type="http://schemas.openxmlformats.org/officeDocument/2006/relationships/hyperlink" Target="https://www.dnb.nl/media/r3mldqij/dnb-studie-bancair-verdienmodel.pdf" TargetMode="External"/><Relationship Id="rId4" Type="http://schemas.openxmlformats.org/officeDocument/2006/relationships/hyperlink" Target="https://data.ecb.europa.eu/search-results?searchTerm=BSI.Q.U2.N.A.L20.A.1.NL.2250.Z01.E" TargetMode="External"/></Relationships>
</file>

<file path=word/_rels/header3.xml.rels><?xml version="1.0" encoding="UTF-8" standalone="yes"?>
<Relationships xmlns="http://schemas.openxmlformats.org/package/2006/relationships"><Relationship Id="rId3" Type="http://schemas.openxmlformats.org/officeDocument/2006/relationships/package" Target="embeddings/Microsoft_Word_Document.docx"/><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2893</ap:Words>
  <ap:Characters>15913</ap:Characters>
  <ap:DocSecurity>0</ap:DocSecurity>
  <ap:Lines>132</ap:Lines>
  <ap:Paragraphs>37</ap:Paragraphs>
  <ap:ScaleCrop>false</ap:ScaleCrop>
  <ap:HeadingPairs>
    <vt:vector baseType="variant" size="2">
      <vt:variant>
        <vt:lpstr>Titel</vt:lpstr>
      </vt:variant>
      <vt:variant>
        <vt:i4>1</vt:i4>
      </vt:variant>
    </vt:vector>
  </ap:HeadingPairs>
  <ap:TitlesOfParts>
    <vt:vector baseType="lpstr" size="1">
      <vt:lpstr>Brief aan Eerste of Tweede Kamer - Reactie ACM-rapport concurrentie op de Nederlandse  spaarmarkt</vt:lpstr>
    </vt:vector>
  </ap:TitlesOfParts>
  <ap:LinksUpToDate>false</ap:LinksUpToDate>
  <ap:CharactersWithSpaces>18769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2024-10-01T12:42:00.0000000Z</lastPrinted>
  <dcterms:created xsi:type="dcterms:W3CDTF">2024-10-01T12:42:00.0000000Z</dcterms:created>
  <dcterms:modified xsi:type="dcterms:W3CDTF">2024-10-01T12:42:00.0000000Z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Reactie ACM-rapport concurrentie op de Nederlandse  spaarmarkt</vt:lpwstr>
  </property>
  <property fmtid="{D5CDD505-2E9C-101B-9397-08002B2CF9AE}" pid="5" name="Publicatiedatum">
    <vt:lpwstr/>
  </property>
  <property fmtid="{D5CDD505-2E9C-101B-9397-08002B2CF9AE}" pid="6" name="Verantwoordelijke organisatie">
    <vt:lpwstr>Directie Financiële Markten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30 augustus 2024</vt:lpwstr>
  </property>
  <property fmtid="{D5CDD505-2E9C-101B-9397-08002B2CF9AE}" pid="13" name="Opgesteld door, Naam">
    <vt:lpwstr/>
  </property>
  <property fmtid="{D5CDD505-2E9C-101B-9397-08002B2CF9AE}" pid="14" name="Opgesteld door, Telefoonnummer">
    <vt:lpwstr>088-4427964</vt:lpwstr>
  </property>
  <property fmtid="{D5CDD505-2E9C-101B-9397-08002B2CF9AE}" pid="15" name="Kenmerk">
    <vt:lpwstr>2024-0000465243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Reactie ACM-rapport concurrentie op de Nederlandse  spaarmarkt</vt:lpwstr>
  </property>
  <property fmtid="{D5CDD505-2E9C-101B-9397-08002B2CF9AE}" pid="30" name="UwKenmerk">
    <vt:lpwstr/>
  </property>
  <property fmtid="{D5CDD505-2E9C-101B-9397-08002B2CF9AE}" pid="31" name="MSIP_Label_e913c72d-4ff4-4b4e-b1b7-a3b0df073745_Enabled">
    <vt:lpwstr>true</vt:lpwstr>
  </property>
  <property fmtid="{D5CDD505-2E9C-101B-9397-08002B2CF9AE}" pid="32" name="MSIP_Label_e913c72d-4ff4-4b4e-b1b7-a3b0df073745_SetDate">
    <vt:lpwstr>2024-09-05T07:06:24Z</vt:lpwstr>
  </property>
  <property fmtid="{D5CDD505-2E9C-101B-9397-08002B2CF9AE}" pid="33" name="MSIP_Label_e913c72d-4ff4-4b4e-b1b7-a3b0df073745_Method">
    <vt:lpwstr>Privileged</vt:lpwstr>
  </property>
  <property fmtid="{D5CDD505-2E9C-101B-9397-08002B2CF9AE}" pid="34" name="MSIP_Label_e913c72d-4ff4-4b4e-b1b7-a3b0df073745_Name">
    <vt:lpwstr>FIN-DGGT-Dep. V.</vt:lpwstr>
  </property>
  <property fmtid="{D5CDD505-2E9C-101B-9397-08002B2CF9AE}" pid="35" name="MSIP_Label_e913c72d-4ff4-4b4e-b1b7-a3b0df073745_SiteId">
    <vt:lpwstr>84712536-f524-40a0-913b-5d25ba502732</vt:lpwstr>
  </property>
  <property fmtid="{D5CDD505-2E9C-101B-9397-08002B2CF9AE}" pid="36" name="MSIP_Label_e913c72d-4ff4-4b4e-b1b7-a3b0df073745_ActionId">
    <vt:lpwstr>f8cc65dc-8e32-4630-9a49-6dfa79490b7d</vt:lpwstr>
  </property>
  <property fmtid="{D5CDD505-2E9C-101B-9397-08002B2CF9AE}" pid="37" name="MSIP_Label_e913c72d-4ff4-4b4e-b1b7-a3b0df073745_ContentBits">
    <vt:lpwstr>0</vt:lpwstr>
  </property>
</Properties>
</file>